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3"/>
          <w:szCs w:val="23"/>
          <w:b w:val="1"/>
          <w:bCs w:val="1"/>
          <w:color w:val="auto"/>
        </w:rPr>
        <w:t>UNITED STATES</w:t>
      </w:r>
    </w:p>
    <w:p>
      <w:pPr>
        <w:spacing w:after="0" w:line="35" w:lineRule="exact"/>
        <w:rPr>
          <w:sz w:val="24"/>
          <w:szCs w:val="24"/>
          <w:color w:val="auto"/>
        </w:rPr>
      </w:pPr>
    </w:p>
    <w:p>
      <w:pPr>
        <w:jc w:val="center"/>
        <w:ind w:right="-1220"/>
        <w:spacing w:after="0"/>
        <w:rPr>
          <w:sz w:val="20"/>
          <w:szCs w:val="20"/>
          <w:color w:val="auto"/>
        </w:rPr>
      </w:pPr>
      <w:r>
        <w:rPr>
          <w:rFonts w:ascii="Arial" w:cs="Arial" w:eastAsia="Arial" w:hAnsi="Arial"/>
          <w:sz w:val="23"/>
          <w:szCs w:val="23"/>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Washington, D.C. 20549</w:t>
      </w:r>
    </w:p>
    <w:p>
      <w:pPr>
        <w:spacing w:after="0" w:line="159" w:lineRule="exact"/>
        <w:rPr>
          <w:sz w:val="24"/>
          <w:szCs w:val="24"/>
          <w:color w:val="auto"/>
        </w:rPr>
      </w:pPr>
    </w:p>
    <w:p>
      <w:pPr>
        <w:ind w:left="5240"/>
        <w:spacing w:after="0"/>
        <w:rPr>
          <w:sz w:val="20"/>
          <w:szCs w:val="20"/>
          <w:color w:val="auto"/>
        </w:rPr>
      </w:pPr>
      <w:r>
        <w:rPr>
          <w:rFonts w:ascii="Arial" w:cs="Arial" w:eastAsia="Arial" w:hAnsi="Arial"/>
          <w:sz w:val="20"/>
          <w:szCs w:val="20"/>
          <w:b w:val="1"/>
          <w:bCs w:val="1"/>
          <w:color w:val="auto"/>
        </w:rPr>
        <w:t>FORM 8-K</w:t>
      </w:r>
    </w:p>
    <w:p>
      <w:pPr>
        <w:spacing w:after="0" w:line="363"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CURRENT REPORT</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343"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Date of Report (Date of earliest event reported):</w:t>
      </w:r>
    </w:p>
    <w:p>
      <w:pPr>
        <w:spacing w:after="0" w:line="90"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July 21, 2016 (July 20, 2016)</w:t>
      </w:r>
    </w:p>
    <w:p>
      <w:pPr>
        <w:spacing w:after="0" w:line="162" w:lineRule="exact"/>
        <w:rPr>
          <w:sz w:val="24"/>
          <w:szCs w:val="24"/>
          <w:color w:val="auto"/>
        </w:rPr>
      </w:pPr>
    </w:p>
    <w:p>
      <w:pPr>
        <w:jc w:val="center"/>
        <w:ind w:right="-1220"/>
        <w:spacing w:after="0"/>
        <w:rPr>
          <w:sz w:val="20"/>
          <w:szCs w:val="20"/>
          <w:color w:val="auto"/>
        </w:rPr>
      </w:pPr>
      <w:r>
        <w:rPr>
          <w:rFonts w:ascii="Arial" w:cs="Arial" w:eastAsia="Arial" w:hAnsi="Arial"/>
          <w:sz w:val="23"/>
          <w:szCs w:val="23"/>
          <w:b w:val="1"/>
          <w:bCs w:val="1"/>
          <w:color w:val="auto"/>
        </w:rPr>
        <w:t>SL GREEN REALTY CORP.</w:t>
      </w:r>
    </w:p>
    <w:p>
      <w:pPr>
        <w:spacing w:after="0" w:line="35" w:lineRule="exact"/>
        <w:rPr>
          <w:sz w:val="24"/>
          <w:szCs w:val="24"/>
          <w:color w:val="auto"/>
        </w:rPr>
      </w:pPr>
    </w:p>
    <w:p>
      <w:pPr>
        <w:ind w:left="3560"/>
        <w:spacing w:after="0"/>
        <w:rPr>
          <w:sz w:val="20"/>
          <w:szCs w:val="20"/>
          <w:color w:val="auto"/>
        </w:rPr>
      </w:pPr>
      <w:r>
        <w:rPr>
          <w:rFonts w:ascii="Arial" w:cs="Arial" w:eastAsia="Arial" w:hAnsi="Arial"/>
          <w:sz w:val="15"/>
          <w:szCs w:val="15"/>
          <w:color w:val="auto"/>
        </w:rPr>
        <w:t>(EXACT NAME OF REGISTRANT AS SPECIFIED IN ITS CHARTER)</w:t>
      </w:r>
    </w:p>
    <w:p>
      <w:pPr>
        <w:spacing w:after="0" w:line="34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MARYLAND</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(STATE OF INCORPORATION)</w:t>
      </w:r>
    </w:p>
    <w:p>
      <w:pPr>
        <w:spacing w:after="0" w:line="299" w:lineRule="exact"/>
        <w:rPr>
          <w:sz w:val="24"/>
          <w:szCs w:val="24"/>
          <w:color w:val="auto"/>
        </w:rPr>
      </w:pPr>
    </w:p>
    <w:tbl>
      <w:tblPr>
        <w:tblLayout w:type="fixed"/>
        <w:tblInd w:w="1840" w:type="dxa"/>
        <w:tblCellMar>
          <w:top w:w="0" w:type="dxa"/>
          <w:left w:w="0" w:type="dxa"/>
          <w:bottom w:w="0" w:type="dxa"/>
          <w:right w:w="0" w:type="dxa"/>
        </w:tblCellMar>
      </w:tblPr>
      <w:tr>
        <w:trPr>
          <w:trHeight w:val="184"/>
        </w:trPr>
        <w:tc>
          <w:tcPr>
            <w:tcW w:w="2160" w:type="dxa"/>
            <w:vAlign w:val="bottom"/>
          </w:tcPr>
          <w:p>
            <w:pPr>
              <w:jc w:val="center"/>
              <w:ind w:right="47"/>
              <w:spacing w:after="0"/>
              <w:rPr>
                <w:sz w:val="20"/>
                <w:szCs w:val="20"/>
                <w:color w:val="auto"/>
              </w:rPr>
            </w:pPr>
            <w:r>
              <w:rPr>
                <w:rFonts w:ascii="Arial" w:cs="Arial" w:eastAsia="Arial" w:hAnsi="Arial"/>
                <w:sz w:val="15"/>
                <w:szCs w:val="15"/>
                <w:color w:val="auto"/>
                <w:w w:val="87"/>
              </w:rPr>
              <w:t>1-13199</w:t>
            </w:r>
          </w:p>
        </w:tc>
        <w:tc>
          <w:tcPr>
            <w:tcW w:w="5640" w:type="dxa"/>
            <w:vAlign w:val="bottom"/>
          </w:tcPr>
          <w:p>
            <w:pPr>
              <w:ind w:left="4380"/>
              <w:spacing w:after="0"/>
              <w:rPr>
                <w:sz w:val="20"/>
                <w:szCs w:val="20"/>
                <w:color w:val="auto"/>
              </w:rPr>
            </w:pPr>
            <w:r>
              <w:rPr>
                <w:rFonts w:ascii="Arial" w:cs="Arial" w:eastAsia="Arial" w:hAnsi="Arial"/>
                <w:sz w:val="15"/>
                <w:szCs w:val="15"/>
                <w:color w:val="auto"/>
              </w:rPr>
              <w:t>13-3956775</w:t>
            </w:r>
          </w:p>
        </w:tc>
      </w:tr>
      <w:tr>
        <w:trPr>
          <w:trHeight w:val="219"/>
        </w:trPr>
        <w:tc>
          <w:tcPr>
            <w:tcW w:w="2160" w:type="dxa"/>
            <w:vAlign w:val="bottom"/>
          </w:tcPr>
          <w:p>
            <w:pPr>
              <w:jc w:val="center"/>
              <w:ind w:right="47"/>
              <w:spacing w:after="0"/>
              <w:rPr>
                <w:sz w:val="20"/>
                <w:szCs w:val="20"/>
                <w:color w:val="auto"/>
              </w:rPr>
            </w:pPr>
            <w:r>
              <w:rPr>
                <w:rFonts w:ascii="Arial" w:cs="Arial" w:eastAsia="Arial" w:hAnsi="Arial"/>
                <w:sz w:val="15"/>
                <w:szCs w:val="15"/>
                <w:color w:val="auto"/>
                <w:w w:val="95"/>
              </w:rPr>
              <w:t>(COMMISSION FILE NUMBER)</w:t>
            </w:r>
          </w:p>
        </w:tc>
        <w:tc>
          <w:tcPr>
            <w:tcW w:w="5640" w:type="dxa"/>
            <w:vAlign w:val="bottom"/>
          </w:tcPr>
          <w:p>
            <w:pPr>
              <w:ind w:left="3620"/>
              <w:spacing w:after="0"/>
              <w:rPr>
                <w:sz w:val="20"/>
                <w:szCs w:val="20"/>
                <w:color w:val="auto"/>
              </w:rPr>
            </w:pPr>
            <w:r>
              <w:rPr>
                <w:rFonts w:ascii="Arial" w:cs="Arial" w:eastAsia="Arial" w:hAnsi="Arial"/>
                <w:sz w:val="15"/>
                <w:szCs w:val="15"/>
                <w:color w:val="auto"/>
                <w:w w:val="92"/>
              </w:rPr>
              <w:t>(IRS EMPLOYER ID. NUMBER)</w:t>
            </w:r>
          </w:p>
        </w:tc>
      </w:tr>
      <w:tr>
        <w:trPr>
          <w:trHeight w:val="503"/>
        </w:trPr>
        <w:tc>
          <w:tcPr>
            <w:tcW w:w="2160" w:type="dxa"/>
            <w:vAlign w:val="bottom"/>
          </w:tcPr>
          <w:p>
            <w:pPr>
              <w:jc w:val="center"/>
              <w:ind w:right="27"/>
              <w:spacing w:after="0"/>
              <w:rPr>
                <w:sz w:val="20"/>
                <w:szCs w:val="20"/>
                <w:color w:val="auto"/>
              </w:rPr>
            </w:pPr>
            <w:r>
              <w:rPr>
                <w:rFonts w:ascii="Arial" w:cs="Arial" w:eastAsia="Arial" w:hAnsi="Arial"/>
                <w:sz w:val="15"/>
                <w:szCs w:val="15"/>
                <w:color w:val="auto"/>
                <w:w w:val="89"/>
              </w:rPr>
              <w:t>420 Lexington Avenue</w:t>
            </w:r>
          </w:p>
        </w:tc>
        <w:tc>
          <w:tcPr>
            <w:tcW w:w="5640" w:type="dxa"/>
            <w:vAlign w:val="bottom"/>
          </w:tcPr>
          <w:p>
            <w:pPr>
              <w:ind w:left="4580"/>
              <w:spacing w:after="0"/>
              <w:rPr>
                <w:sz w:val="20"/>
                <w:szCs w:val="20"/>
                <w:color w:val="auto"/>
              </w:rPr>
            </w:pPr>
            <w:r>
              <w:rPr>
                <w:rFonts w:ascii="Arial" w:cs="Arial" w:eastAsia="Arial" w:hAnsi="Arial"/>
                <w:sz w:val="15"/>
                <w:szCs w:val="15"/>
                <w:color w:val="auto"/>
              </w:rPr>
              <w:t>10170</w:t>
            </w:r>
          </w:p>
        </w:tc>
      </w:tr>
      <w:tr>
        <w:trPr>
          <w:trHeight w:val="219"/>
        </w:trPr>
        <w:tc>
          <w:tcPr>
            <w:tcW w:w="2160" w:type="dxa"/>
            <w:vAlign w:val="bottom"/>
          </w:tcPr>
          <w:p>
            <w:pPr>
              <w:jc w:val="center"/>
              <w:ind w:right="27"/>
              <w:spacing w:after="0"/>
              <w:rPr>
                <w:sz w:val="20"/>
                <w:szCs w:val="20"/>
                <w:color w:val="auto"/>
              </w:rPr>
            </w:pPr>
            <w:r>
              <w:rPr>
                <w:rFonts w:ascii="Arial" w:cs="Arial" w:eastAsia="Arial" w:hAnsi="Arial"/>
                <w:sz w:val="15"/>
                <w:szCs w:val="15"/>
                <w:color w:val="auto"/>
                <w:w w:val="91"/>
              </w:rPr>
              <w:t>New York, New York</w:t>
            </w:r>
          </w:p>
        </w:tc>
        <w:tc>
          <w:tcPr>
            <w:tcW w:w="5640" w:type="dxa"/>
            <w:vAlign w:val="bottom"/>
          </w:tcPr>
          <w:p>
            <w:pPr>
              <w:ind w:left="4360"/>
              <w:spacing w:after="0"/>
              <w:rPr>
                <w:sz w:val="20"/>
                <w:szCs w:val="20"/>
                <w:color w:val="auto"/>
              </w:rPr>
            </w:pPr>
            <w:r>
              <w:rPr>
                <w:rFonts w:ascii="Arial" w:cs="Arial" w:eastAsia="Arial" w:hAnsi="Arial"/>
                <w:sz w:val="15"/>
                <w:szCs w:val="15"/>
                <w:color w:val="auto"/>
              </w:rPr>
              <w:t>(ZIP CODE)</w:t>
            </w:r>
          </w:p>
        </w:tc>
      </w:tr>
      <w:tr>
        <w:trPr>
          <w:trHeight w:val="197"/>
        </w:trPr>
        <w:tc>
          <w:tcPr>
            <w:tcW w:w="2160" w:type="dxa"/>
            <w:vAlign w:val="bottom"/>
          </w:tcPr>
          <w:p>
            <w:pPr>
              <w:spacing w:after="0"/>
              <w:rPr>
                <w:sz w:val="17"/>
                <w:szCs w:val="17"/>
                <w:color w:val="auto"/>
              </w:rPr>
            </w:pPr>
          </w:p>
        </w:tc>
        <w:tc>
          <w:tcPr>
            <w:tcW w:w="5640" w:type="dxa"/>
            <w:vAlign w:val="bottom"/>
          </w:tcPr>
          <w:p>
            <w:pPr>
              <w:ind w:left="120"/>
              <w:spacing w:after="0"/>
              <w:rPr>
                <w:sz w:val="20"/>
                <w:szCs w:val="20"/>
                <w:color w:val="auto"/>
              </w:rPr>
            </w:pPr>
            <w:r>
              <w:rPr>
                <w:rFonts w:ascii="Arial" w:cs="Arial" w:eastAsia="Arial" w:hAnsi="Arial"/>
                <w:sz w:val="15"/>
                <w:szCs w:val="15"/>
                <w:color w:val="auto"/>
              </w:rPr>
              <w:t>(ADDRESS OF PRINCIPAL EXECUTIVE OFFICES)</w:t>
            </w:r>
          </w:p>
        </w:tc>
      </w:tr>
    </w:tbl>
    <w:p>
      <w:pPr>
        <w:spacing w:after="0" w:line="166"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(212) 594-2700</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(REGISTRANT'S TELEPHONE NUMBER, INCLUDING AREA CODE)</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00" w:hanging="93"/>
        <w:spacing w:after="0"/>
        <w:tabs>
          <w:tab w:leader="none" w:pos="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2" w:lineRule="exact"/>
        <w:rPr>
          <w:rFonts w:ascii="Arial" w:cs="Arial" w:eastAsia="Arial" w:hAnsi="Arial"/>
          <w:sz w:val="15"/>
          <w:szCs w:val="15"/>
          <w:color w:val="auto"/>
        </w:rPr>
      </w:pPr>
    </w:p>
    <w:p>
      <w:pPr>
        <w:ind w:left="100" w:hanging="93"/>
        <w:spacing w:after="0"/>
        <w:tabs>
          <w:tab w:leader="none" w:pos="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2" w:lineRule="exact"/>
        <w:rPr>
          <w:rFonts w:ascii="Arial" w:cs="Arial" w:eastAsia="Arial" w:hAnsi="Arial"/>
          <w:sz w:val="15"/>
          <w:szCs w:val="15"/>
          <w:color w:val="auto"/>
        </w:rPr>
      </w:pPr>
    </w:p>
    <w:p>
      <w:pPr>
        <w:ind w:left="100" w:hanging="93"/>
        <w:spacing w:after="0"/>
        <w:tabs>
          <w:tab w:leader="none" w:pos="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2" w:lineRule="exact"/>
        <w:rPr>
          <w:rFonts w:ascii="Arial" w:cs="Arial" w:eastAsia="Arial" w:hAnsi="Arial"/>
          <w:sz w:val="15"/>
          <w:szCs w:val="15"/>
          <w:color w:val="auto"/>
        </w:rPr>
      </w:pPr>
    </w:p>
    <w:p>
      <w:pPr>
        <w:ind w:left="100" w:hanging="93"/>
        <w:spacing w:after="0"/>
        <w:tabs>
          <w:tab w:leader="none" w:pos="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ectPr>
          <w:pgSz w:w="11900" w:h="16838" w:orient="portrait"/>
          <w:cols w:equalWidth="0" w:num="1">
            <w:col w:w="10239"/>
          </w:cols>
          <w:pgMar w:left="220" w:top="922" w:right="1440" w:bottom="1440" w:gutter="0" w:footer="0" w:header="0"/>
        </w:sectPr>
      </w:pPr>
    </w:p>
    <w:bookmarkStart w:id="1" w:name="page2"/>
    <w:bookmarkEnd w:id="1"/>
    <w:p>
      <w:pPr>
        <w:spacing w:after="0"/>
        <w:tabs>
          <w:tab w:leader="none" w:pos="76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Following the issuance of a press release on July 20, 2016 announcing SL Green Realty Corp.’s, or the Company, results for the quarter ended June 30, 2016, the Company intends has made available on its website supplemental information regarding the Company’s operations that is too voluminous for a press release. The Company is attaching the press release as Exhibit 99.1 and the supplemental package as Exhibit 99.2 to this Current Report on Form 8-K.</w:t>
      </w:r>
    </w:p>
    <w:p>
      <w:pPr>
        <w:spacing w:after="0" w:line="158"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The information (including Exhibits 99.1 and 99.2) being furnished pursuant to this “Item 2.02. Results of Operations and Financial Condition” shall not be deemed to be “filed” for the purposes of Section 18 of the Securities Exchange Act of 1934, as amended, or the Exchange Act, or otherwise subject to the liabilities of that section and shall not be deemed to be incorporated by reference into any filing under the Securities Act of 1933, as amended, or the Securities Act, or the Exchange Act regardless of any general incorporation language in such filing.</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Item 2.02 above, on July 20, 2016, the Company issued a press release announcing its results for the quarter ended July 30, 2016.</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information being furnished pursuant to this “Item 7.01. Regulation FD Disclosure” shall not be deemed to be “filed” for the purposes of Section 18 of the Exchange Act or otherwise subject to the liabilities of that section and shall not be deemed to be incorporated by reference into any filing under the Securities Act or the Exchange Act regardless of any general incorporation language in such filing. This information will not be deemed an admission as to the materiality of such information that is required to be disclosed solely by Regulation FD.</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81" w:lineRule="exact"/>
        <w:rPr>
          <w:sz w:val="20"/>
          <w:szCs w:val="20"/>
          <w:color w:val="auto"/>
        </w:rPr>
      </w:pPr>
    </w:p>
    <w:p>
      <w:pPr>
        <w:ind w:left="360" w:hanging="353"/>
        <w:spacing w:after="0"/>
        <w:tabs>
          <w:tab w:leader="none" w:pos="36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Exhibits</w:t>
      </w:r>
    </w:p>
    <w:p>
      <w:pPr>
        <w:spacing w:after="0" w:line="177" w:lineRule="exact"/>
        <w:rPr>
          <w:sz w:val="20"/>
          <w:szCs w:val="20"/>
          <w:color w:val="auto"/>
        </w:rPr>
      </w:pPr>
    </w:p>
    <w:p>
      <w:pPr>
        <w:ind w:left="540"/>
        <w:spacing w:after="0"/>
        <w:tabs>
          <w:tab w:leader="none" w:pos="9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Press Release regarding results for the quarter ended June 30, 2016.</w:t>
      </w:r>
    </w:p>
    <w:p>
      <w:pPr>
        <w:spacing w:after="0" w:line="11" w:lineRule="exact"/>
        <w:rPr>
          <w:sz w:val="20"/>
          <w:szCs w:val="20"/>
          <w:color w:val="auto"/>
        </w:rPr>
      </w:pPr>
    </w:p>
    <w:p>
      <w:pPr>
        <w:ind w:left="540"/>
        <w:spacing w:after="0"/>
        <w:tabs>
          <w:tab w:leader="none" w:pos="92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2"/>
          <w:szCs w:val="12"/>
          <w:color w:val="auto"/>
        </w:rPr>
        <w:t>Supplemental package.</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Supplemental Financial Measures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Funds from Operations (FFO)</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FFO is a widely recognized measure of REIT performance. The Company computes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defines FFO as net income (loss) (computed in accordance with GAAP), excluding gains (or losses) from debt restructuring, sales of properties and real estate related impairment charges, plus real estate related depreciation and amortization and after adjustments for unconsolidated partnerships and joint ventures. 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bonuses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ectPr>
          <w:pgSz w:w="11900" w:h="16838" w:orient="portrait"/>
          <w:cols w:equalWidth="0" w:num="1">
            <w:col w:w="11460"/>
          </w:cols>
          <w:pgMar w:left="220" w:top="496" w:right="2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u w:val="single" w:color="auto"/>
          <w:color w:val="auto"/>
        </w:rPr>
        <w:t>Funds Available for Distribution (FAD)</w:t>
      </w:r>
    </w:p>
    <w:p>
      <w:pPr>
        <w:spacing w:after="0" w:line="181" w:lineRule="exact"/>
        <w:rPr>
          <w:sz w:val="20"/>
          <w:szCs w:val="20"/>
          <w:color w:val="auto"/>
        </w:rPr>
      </w:pPr>
    </w:p>
    <w:p>
      <w:pPr>
        <w:jc w:val="both"/>
        <w:spacing w:after="0" w:line="324" w:lineRule="auto"/>
        <w:rPr>
          <w:sz w:val="20"/>
          <w:szCs w:val="20"/>
          <w:color w:val="auto"/>
        </w:rPr>
      </w:pPr>
      <w:r>
        <w:rPr>
          <w:rFonts w:ascii="Arial" w:cs="Arial" w:eastAsia="Arial" w:hAnsi="Arial"/>
          <w:sz w:val="12"/>
          <w:szCs w:val="12"/>
          <w:color w:val="auto"/>
        </w:rPr>
        <w:t>FAD is a non-GAAP financial measure that is not intended to represent cash flow for the period and is not indicative of cash flow provided by operating activities as determined in accordance with GAAP. FAD is presented solely as a supplemental disclosure with respect to liquidity because the Company believes it provides useful information regarding the Company’s ability to fund its dividends.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Earnings Before Interest, Taxes, Depreciation and Amortization (EBITDA)</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 presents earnings before interest, taxes, depreciation and amortization, or EBITDA, because the Company believes that EBITDA, along with cash flow from operating activities, investing activities and financing activities, provides investors with an additional indicator of the Company’s ability to incur and service debt. EBITDA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 Adjusted earnings before interest, taxes, depreciation and amortization (Adjusted EBITDA) is calculated by adding income taxes, loan loss reserves and the Company’s share of joint venture depreciation and amortization to EBITDA.</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Same-Store Net Operating Income, Same-Store Cash Net Operating Income and Related Measures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 presents same-store net operating income, same-store cash net operating income, same-store joint venture net operating income, and same-store joint venture cash net operating income because the Company believes that these measures provide investors with useful information regarding the operating performance of properties that are comparable for the periods presented. For properties owned since January 1, 2015 and still owned in the same manner at the end of the current quarter, the Company determines same-store net operating income by subtracting same-store property operating expenses and ground rent from same-store recurring rental and tenant reimbursement revenues. Same-store cash net operating income is derived by deducting same-store straight line and free rent from, and adding same-store tenant credit loss allowance to, same-store net operating income. Same-store joint venture net operating income and same-store joint venture cash net operating income are calculated in the same manner as noted above, but includes just the Company’s pro-rata share of the joint venture net operating income. None of these measures is an alternative to net income (determined in accordance with GAAP) and same-store performance should not be considered an alternative to GAAP net income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Debt to Market Capitalization Ratio</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presents the ratio of debt to market capitalization as a measure of the Company’s leverage position relative to the Company’s estimated market value. The Company’s estimated market value is based upon the quarter-end trading price of the Company’s common stock multiplied by all common shares and operating partnership units outstanding plus the face value of the Company’s preferred equity. This ratio is presented on a consolidated basis and a combined basis. The combined debt to market capitalization includes the Company’s pro-rata share of off-balance sheet (unconsolidated) joint venture debt. The Company believes this ratio may provide investors with another measure of the Company’s current leverage position. The debt to market capitalization ratio should be used as one measure of the Company’s leverage position, and this measure is commonly used in the REIT sector; however, this may not be comparable to other REITs that do not compute in the same manner. The debt to market capitalization ratio does not represent the Company’s borrowing capacity and should not be considered an alternative measure to the Company’s current lending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Coverage Ratios</w:t>
      </w:r>
    </w:p>
    <w:p>
      <w:pPr>
        <w:spacing w:after="0" w:line="181"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Company presents fixed charge and interest coverage ratios to provide a measure of the Company’s financial flexibility to service current debt amortization, interest expense and ground rent from current cash net operating income. These coverage ratios are provided on both a consolidated and combined basis. The combined coverage ratios include the Company’s pro-rata share of off-balance sheet (unconsolidated) joint venture fixed charges and cash net operating income. These coverage ratios represent a common measure of the Company’s ability to service fixed cash payments; however, these ratios are not used as an alternative to cash flow from operating, financing and investing activities (determined in accordance with GAAP).</w:t>
      </w:r>
    </w:p>
    <w:p>
      <w:pPr>
        <w:sectPr>
          <w:pgSz w:w="11900" w:h="16838" w:orient="portrait"/>
          <w:cols w:equalWidth="0" w:num="1">
            <w:col w:w="11460"/>
          </w:cols>
          <w:pgMar w:left="220" w:top="496" w:right="219" w:bottom="1440" w:gutter="0" w:footer="0" w:header="0"/>
        </w:sectPr>
      </w:pPr>
    </w:p>
    <w:bookmarkStart w:id="3" w:name="page4"/>
    <w:bookmarkEnd w:id="3"/>
    <w:p>
      <w:pPr>
        <w:ind w:left="5260"/>
        <w:spacing w:after="0"/>
        <w:rPr>
          <w:sz w:val="20"/>
          <w:szCs w:val="20"/>
          <w:color w:val="auto"/>
        </w:rPr>
      </w:pPr>
      <w:r>
        <w:rPr>
          <w:rFonts w:ascii="Arial" w:cs="Arial" w:eastAsia="Arial" w:hAnsi="Arial"/>
          <w:sz w:val="15"/>
          <w:szCs w:val="15"/>
          <w:b w:val="1"/>
          <w:bCs w:val="1"/>
          <w:color w:val="auto"/>
        </w:rPr>
        <w:t>SIGNATURES</w:t>
      </w: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360"/>
        <w:spacing w:after="0"/>
        <w:rPr>
          <w:sz w:val="20"/>
          <w:szCs w:val="20"/>
          <w:color w:val="auto"/>
        </w:rPr>
      </w:pPr>
      <w:r>
        <w:rPr>
          <w:rFonts w:ascii="Arial" w:cs="Arial" w:eastAsia="Arial" w:hAnsi="Arial"/>
          <w:sz w:val="15"/>
          <w:szCs w:val="15"/>
          <w:u w:val="single" w:color="auto"/>
          <w:color w:val="auto"/>
        </w:rPr>
        <w:t>SL GREEN REALTY CORP.</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22225</wp:posOffset>
            </wp:positionV>
            <wp:extent cx="23736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3630" cy="6985"/>
                    </a:xfrm>
                    <a:prstGeom prst="rect">
                      <a:avLst/>
                    </a:prstGeom>
                    <a:noFill/>
                  </pic:spPr>
                </pic:pic>
              </a:graphicData>
            </a:graphic>
          </wp:anchor>
        </w:drawing>
      </w:r>
    </w:p>
    <w:p>
      <w:pPr>
        <w:spacing w:after="0" w:line="37"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Matthew J. DiLiberto</w:t>
      </w:r>
    </w:p>
    <w:p>
      <w:pPr>
        <w:spacing w:after="0" w:line="4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Date: July 21, 2016</w:t>
      </w:r>
    </w:p>
    <w:p>
      <w:pPr>
        <w:sectPr>
          <w:pgSz w:w="11900" w:h="16838" w:orient="portrait"/>
          <w:cols w:equalWidth="0" w:num="1">
            <w:col w:w="10640"/>
          </w:cols>
          <w:pgMar w:left="220" w:top="496" w:right="1039"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99.1</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Matt DiLiberto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(212) 594-2700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SL GREEN REALTY CORP. REPORTS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QUARTER 2016 FFO OF $3.41 PER SHARE BEFORE TRANSACTION COSTS; AND EPS OF $1.33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177165</wp:posOffset>
            </wp:positionV>
            <wp:extent cx="729805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and Operating Highlights</w:t>
      </w:r>
    </w:p>
    <w:p>
      <w:pPr>
        <w:spacing w:after="0" w:line="143" w:lineRule="exact"/>
        <w:rPr>
          <w:sz w:val="20"/>
          <w:szCs w:val="20"/>
          <w:color w:val="auto"/>
        </w:rPr>
      </w:pPr>
    </w:p>
    <w:p>
      <w:pPr>
        <w:jc w:val="both"/>
        <w:ind w:left="540" w:hanging="270"/>
        <w:spacing w:after="0" w:line="264"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Second quarter 2016 FFO of $3.41 per share before transaction related costs of $0.02 per share compared to second quarter 2015 FFO of $1.65 per share before transaction related costs of $0.03 per share. Second quarter 2016 FFO includes a lease termination fee of $94.0 million, or $0.90 per share, and the write-off of accounting related balances of $75.3 million, or $0.72 per share, related to the early lease termination and sale of 388-390 Greenwich Street to Citigroup, Inc. (“Citi”) as well as receipt of promote income of $10.8 million, or $0.10 per share, related to the sale of 33 Beekman Street.</w:t>
      </w:r>
    </w:p>
    <w:p>
      <w:pPr>
        <w:spacing w:after="0" w:line="94"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Second quarter 2016 net income attributable to common stockholders of $1.33 per share compared to second quarter 2015 net loss attributable to common stockholders of $0.39 per share.</w:t>
      </w:r>
    </w:p>
    <w:p>
      <w:pPr>
        <w:spacing w:after="0" w:line="67" w:lineRule="exact"/>
        <w:rPr>
          <w:rFonts w:ascii="Arial" w:cs="Arial" w:eastAsia="Arial" w:hAnsi="Arial"/>
          <w:sz w:val="17"/>
          <w:szCs w:val="17"/>
          <w:b w:val="1"/>
          <w:bCs w:val="1"/>
          <w:color w:val="auto"/>
        </w:rPr>
      </w:pPr>
    </w:p>
    <w:p>
      <w:pPr>
        <w:ind w:left="540" w:hanging="270"/>
        <w:spacing w:after="0"/>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Combined same-store cash NOI increased 8.4 percent for the first six months of 2016 as compared to the same period in the prior year.</w:t>
      </w:r>
    </w:p>
    <w:p>
      <w:pPr>
        <w:spacing w:after="0" w:line="143" w:lineRule="exact"/>
        <w:rPr>
          <w:rFonts w:ascii="Arial" w:cs="Arial" w:eastAsia="Arial" w:hAnsi="Arial"/>
          <w:sz w:val="17"/>
          <w:szCs w:val="17"/>
          <w:b w:val="1"/>
          <w:bCs w:val="1"/>
          <w:color w:val="auto"/>
        </w:rPr>
      </w:pPr>
    </w:p>
    <w:p>
      <w:pPr>
        <w:jc w:val="both"/>
        <w:ind w:left="540" w:hanging="270"/>
        <w:spacing w:after="0" w:line="274"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Signed 50 Manhattan office leases covering 621,150 square feet during the second quarter. The mark-to-market on signed Manhattan office leases was 16.1 percent higher in the second quarter than the previously fully escalated rents on the same spaces inclusive of the 204,442 square foot expansion lease with Bloomberg at 919 Third Avenue, which had a mark-to-market of 14.0 percent.</w:t>
      </w:r>
    </w:p>
    <w:p>
      <w:pPr>
        <w:spacing w:after="0" w:line="84" w:lineRule="exact"/>
        <w:rPr>
          <w:rFonts w:ascii="Arial" w:cs="Arial" w:eastAsia="Arial" w:hAnsi="Arial"/>
          <w:sz w:val="17"/>
          <w:szCs w:val="17"/>
          <w:b w:val="1"/>
          <w:bCs w:val="1"/>
          <w:color w:val="auto"/>
        </w:rPr>
      </w:pPr>
    </w:p>
    <w:p>
      <w:pPr>
        <w:ind w:left="540" w:hanging="270"/>
        <w:spacing w:after="0" w:line="328"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Signed 97 Manhattan office leases covering 1,470,736 square feet during the first six months of 2016. The mark-to-market on signed Manhattan office leases during the first six months of 2016 was 28.5 percent higher than the previously fully escalated rents on the same spaces.</w:t>
      </w:r>
    </w:p>
    <w:p>
      <w:pPr>
        <w:spacing w:after="0" w:line="43" w:lineRule="exact"/>
        <w:rPr>
          <w:rFonts w:ascii="Arial" w:cs="Arial" w:eastAsia="Arial" w:hAnsi="Arial"/>
          <w:sz w:val="16"/>
          <w:szCs w:val="16"/>
          <w:b w:val="1"/>
          <w:bCs w:val="1"/>
          <w:color w:val="auto"/>
        </w:rPr>
      </w:pPr>
    </w:p>
    <w:p>
      <w:pPr>
        <w:ind w:left="540" w:hanging="270"/>
        <w:spacing w:after="0" w:line="294"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Signed 19 Suburban office leases covering 177,684 square feet during the second quarter. The mark-to-market on signed Suburban office leases was 2.5 percent higher in the second quarter than the previous fully escalated rents on the same spaces.</w:t>
      </w:r>
    </w:p>
    <w:p>
      <w:pPr>
        <w:spacing w:after="0" w:line="67" w:lineRule="exact"/>
        <w:rPr>
          <w:rFonts w:ascii="Arial" w:cs="Arial" w:eastAsia="Arial" w:hAnsi="Arial"/>
          <w:sz w:val="17"/>
          <w:szCs w:val="17"/>
          <w:b w:val="1"/>
          <w:bCs w:val="1"/>
          <w:color w:val="auto"/>
        </w:rPr>
      </w:pPr>
    </w:p>
    <w:p>
      <w:pPr>
        <w:ind w:left="540" w:hanging="270"/>
        <w:spacing w:after="0" w:line="328"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Signed 46 Suburban office leases covering 422,479 square feet during the first six months of 2016. The mark-to-market on signed Suburban office leases during the first six months of 2016 was 5.6 percent higher than the previous fully escalated rents on the same spaces.</w:t>
      </w:r>
    </w:p>
    <w:p>
      <w:pPr>
        <w:sectPr>
          <w:pgSz w:w="11900" w:h="16838" w:orient="portrait"/>
          <w:cols w:equalWidth="0" w:num="1">
            <w:col w:w="11460"/>
          </w:cols>
          <w:pgMar w:left="220" w:top="129" w:right="219" w:bottom="1440" w:gutter="0" w:footer="0" w:header="0"/>
        </w:sectPr>
      </w:pPr>
    </w:p>
    <w:bookmarkStart w:id="5" w:name="page6"/>
    <w:bookmarkEnd w:id="5"/>
    <w:p>
      <w:pPr>
        <w:ind w:left="540" w:hanging="270"/>
        <w:spacing w:after="0" w:line="294" w:lineRule="auto"/>
        <w:tabs>
          <w:tab w:leader="none" w:pos="5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Manhattan same-store occupancy, inclusive of leases signed but not yet commenced, was 97.4 percent as of June 30, 2016 as compared to 97.1 percent as of June 30, 2015 and 97.4 percent as of March 31, 2016.</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Investing Highlights</w:t>
      </w:r>
    </w:p>
    <w:p>
      <w:pPr>
        <w:spacing w:after="0" w:line="143" w:lineRule="exact"/>
        <w:rPr>
          <w:sz w:val="20"/>
          <w:szCs w:val="20"/>
          <w:color w:val="auto"/>
        </w:rPr>
      </w:pPr>
    </w:p>
    <w:p>
      <w:pPr>
        <w:jc w:val="both"/>
        <w:ind w:left="540" w:hanging="270"/>
        <w:spacing w:after="0" w:line="274"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Closed on the previously announced sale of 388-390 Greenwich Street to Citi for $2.0 billion, net of any unfunded tenant concessions, and received a $94.0 million termination payment in connection with the early termination of Citi's lease at the property. The Company recognized a gain on sale of the property of $206.5 million.</w:t>
      </w:r>
    </w:p>
    <w:p>
      <w:pPr>
        <w:spacing w:after="0" w:line="84"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Together with our joint venture partner, closed on the previously announced sale of the Pace University dormitory tower at 33 Beekman Street for $196.0 million. The Company recognized a gain on the sale of the property of $33.0 million.</w:t>
      </w:r>
    </w:p>
    <w:p>
      <w:pPr>
        <w:spacing w:after="0" w:line="67"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Completed the acquisition of a 20 percent interest in the newly completed, 1,176 unit "Sky" residential tower, located at 605 West 42nd Street, for a previously agreed upon purchase option valuation.</w:t>
      </w:r>
    </w:p>
    <w:p>
      <w:pPr>
        <w:spacing w:after="0" w:line="67"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Entered into an agreement to sell 500 West Putnam Avenue in Greenwich, Connecticut for a total gross asset valuation of $41.0 million. The Company closed on the sale in July and recognized cash proceeds of $39.5 million.</w:t>
      </w:r>
    </w:p>
    <w:p>
      <w:pPr>
        <w:spacing w:after="0" w:line="67"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Originated new debt and preferred equity investments totaling $458.5 million in the second quarter, of which $120.5 million was retained at a yield of 9.5 percent.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Financing Highlights</w:t>
      </w:r>
    </w:p>
    <w:p>
      <w:pPr>
        <w:spacing w:after="0" w:line="143" w:lineRule="exact"/>
        <w:rPr>
          <w:sz w:val="20"/>
          <w:szCs w:val="20"/>
          <w:color w:val="auto"/>
        </w:rPr>
      </w:pPr>
    </w:p>
    <w:p>
      <w:pPr>
        <w:jc w:val="both"/>
        <w:ind w:left="540" w:hanging="270"/>
        <w:spacing w:after="0" w:line="274" w:lineRule="auto"/>
        <w:tabs>
          <w:tab w:leader="none" w:pos="5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Together with our joint venture partners, closed on a $900.0 million refinancing of 280 Park Avenue. The new facility has a 3-year term (subject to four 1-year extension options), carries a floating interest rate of LIBOR plus 2.0 percent and replaces the previous $721.0 million of indebtedness on the property that was set to mature in June 2016.</w:t>
      </w:r>
    </w:p>
    <w:p>
      <w:pPr>
        <w:spacing w:after="0" w:line="84" w:lineRule="exact"/>
        <w:rPr>
          <w:rFonts w:ascii="Arial" w:cs="Arial" w:eastAsia="Arial" w:hAnsi="Arial"/>
          <w:sz w:val="17"/>
          <w:szCs w:val="17"/>
          <w:b w:val="1"/>
          <w:bCs w:val="1"/>
          <w:color w:val="auto"/>
        </w:rPr>
      </w:pPr>
    </w:p>
    <w:p>
      <w:pPr>
        <w:ind w:left="540" w:hanging="270"/>
        <w:spacing w:after="0" w:line="328" w:lineRule="auto"/>
        <w:tabs>
          <w:tab w:leader="none" w:pos="5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In July, closed on the refinancing of the Company's $300.0 million debt and preferred equity liquidity facility, which provides for favorable financing of the Company's debt and preferred equity portfolio. The new facility has a 2-year term with a 1-year extension option.</w:t>
      </w:r>
    </w:p>
    <w:p>
      <w:pPr>
        <w:spacing w:after="0" w:line="43" w:lineRule="exact"/>
        <w:rPr>
          <w:rFonts w:ascii="Arial" w:cs="Arial" w:eastAsia="Arial" w:hAnsi="Arial"/>
          <w:sz w:val="16"/>
          <w:szCs w:val="16"/>
          <w:b w:val="1"/>
          <w:bCs w:val="1"/>
          <w:color w:val="auto"/>
        </w:rPr>
      </w:pPr>
    </w:p>
    <w:p>
      <w:pPr>
        <w:ind w:left="540" w:hanging="270"/>
        <w:spacing w:after="0" w:line="294" w:lineRule="auto"/>
        <w:tabs>
          <w:tab w:leader="none" w:pos="5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In July, entered into $300.0 million of 7-year interest rate swaps at a fixed rate of 1.14 percent, taking advantage of the current favorable interest rate environment to lock in rates on our corporate unsecured debt.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New York, NY, July 20, 2016 - SL Green Realty Corp. (the "Company") (NYSE: SLG) today reported funds from operations, or FFO, for the quarter ended June 30, 2016 of $357.8 million, or $3.41 per share, before transaction related costs of $2.1 million, or $0.02 per share, as compared to FFO for the same period in 2015 of $171.7 million, or $1.65 per share, before transaction related costs of $3.1 million, or $0.03 per share.</w:t>
      </w:r>
    </w:p>
    <w:p>
      <w:pPr>
        <w:sectPr>
          <w:pgSz w:w="11900" w:h="16838" w:orient="portrait"/>
          <w:cols w:equalWidth="0" w:num="1">
            <w:col w:w="11460"/>
          </w:cols>
          <w:pgMar w:left="220" w:top="324" w:right="21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7"/>
          <w:szCs w:val="17"/>
          <w:color w:val="auto"/>
        </w:rPr>
        <w:t>Second quarter 2016 FFO includes a lease termination fee of $94.0 million, or $0.90 per share, and a write-off of accounting related balances of $75.3 million, of $0.72 per share, related to the early lease termination and sale of 388-390 Greenwich Street to Citigroup, Inc. (“Citi”) as well as a receipts of promote income of $10.8 million, or $0.10 per share, related to the sale of 33 Beekman Street.</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also reported funds from operations, or FFO, for the six month period ended June 30, 2016 of $550.9 million, or $5.27 per share, before transaction related costs of $3.4 million, or $0.03 per share, as compared to FFO for the same period in 2015 of $327.3 million, or $3.16 per share, before transaction related costs of $4.2 million, or $0.04 per share.</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Net income attributable to common stockholders for the quarter ended June 30, 2016 totaled $133.5 million, or $1.33 per share as compared to net loss attributable to common stockholders of $39.1 million, or $0.39 per share for the same quarter in 2015. Net income attributable to common stockholders for the quarter ended June 30, 2016 includes $230.0 million, or $2.20 per share, of net gains recognized from the sale of real estate as compared to $0.8 million, or $0.01 per share for the same quarter in 2015.</w:t>
      </w:r>
    </w:p>
    <w:p>
      <w:pPr>
        <w:spacing w:after="0" w:line="9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Net income attributable to common stockholders for the six month period ended June 30, 2016 totaled $156.7 million, or $1.56 per share as compared to net income attributable to common stockholders of $4.2 million, or $0.04 per share for the same period in 2015. Net income attributable to common stockholders for the six month period ended June 30, 2016 includes $253.7 million, or $2.43 per share, of net gains recognized from the sale of real estate as compared to $13.8 million, or $0.13 per share for the same period in 2015.</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All per share amounts in this press release are presented on a diluted basis.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and Leasing Activity</w:t>
      </w:r>
    </w:p>
    <w:p>
      <w:pPr>
        <w:spacing w:after="0" w:line="14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the quarter ended June 30, 2016, the Company reported consolidated revenues and operating income of $617.6 million and $451.1 million, respectively, compared to $409.1 million and $251.3 million, respectively, for the same period in 2015. For the six months ended June 30, 2016, the Company reported consolidated revenues and operating income of $1.1 billion and $741.8 million, respectively, compared to $805.4 million and $484.3 million, respectively, for the same period in 2015.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Same-store cash NOI on a combined basis increased by 6.5 percent to $186.1 million for the quarter as compared to the same period in 2015. For the quarter ended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June 30, 2016, consolidated property same-store cash NOI increased by 6.1 percent to $166.3 million and unconsolidated joint venture property same-store cash</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NOI increased by 9.3 percent to $19.9 million, as compared to the same period in 2015.</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Same-store cash NOI on a combined basis increased by 8.4 percent to $362.2 million for the six months ended June 30, 2016 as compared to the same period in 2015. For the six months ended June 30, 2016, consolidated property same-store cash NOI increased by 8.2 percent to $322.9 million and unconsolidated joint venture property same-store cash NOI increased by 9.4 percent to $39.3 million, as compared to the same period in 2015.</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second quarter, the Company signed 50 office leases in its Manhattan portfolio totaling 621,150 square feet. Eight leases comprising 35,130 square feet represented office leases that replaced previous vacancy. Forty-two leases comprising 586,020 square feet, representing office leases on space that had been occupied within the prior twelve months,</w:t>
      </w:r>
    </w:p>
    <w:p>
      <w:pPr>
        <w:sectPr>
          <w:pgSz w:w="11900" w:h="16838" w:orient="portrait"/>
          <w:cols w:equalWidth="0" w:num="1">
            <w:col w:w="11460"/>
          </w:cols>
          <w:pgMar w:left="220" w:top="330" w:right="219" w:bottom="1440" w:gutter="0" w:footer="0" w:header="0"/>
        </w:sectPr>
      </w:pPr>
    </w:p>
    <w:bookmarkStart w:id="7" w:name="page8"/>
    <w:bookmarkEnd w:id="7"/>
    <w:p>
      <w:pPr>
        <w:jc w:val="both"/>
        <w:spacing w:after="0" w:line="265" w:lineRule="auto"/>
        <w:rPr>
          <w:sz w:val="20"/>
          <w:szCs w:val="20"/>
          <w:color w:val="auto"/>
        </w:rPr>
      </w:pPr>
      <w:r>
        <w:rPr>
          <w:rFonts w:ascii="Arial" w:cs="Arial" w:eastAsia="Arial" w:hAnsi="Arial"/>
          <w:sz w:val="17"/>
          <w:szCs w:val="17"/>
          <w:color w:val="auto"/>
        </w:rPr>
        <w:t>are considered replacement leases on which mark-to-market is calculated. Those replacement leases had average starting rents of $64.75 per rentable square foot, representing a 16.1 percent increase over the previously fully escalated rents on the same office spaces. The average lease term on the Manhattan office leases signed in the second quarter was 6.8 years and average tenant concessions were 2.3 months of free rent with a tenant improvement allowance of $25.93 per rentable square foot.</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first six months of 2016, the Company signed 97 office leases in its Manhattan portfolio totaling 1,470,736 square feet. Sixteen leases comprising 162,558 square feet represented office leases that replaced previous vacancy. Eighty-one leases comprising 1,308,178 square feet, representing office leases on space that had been occupied within the prior twelve months, are considered replacement leases on which mark-to-market is calculated. Those replacement leases had average starting rents of $68.33 per rentable square foot, representing a 28.5 percent increase over the previously fully escalated rents on the same office spaces. The average lease term on the Manhattan office leases signed in the first six months of 2016 was 9.6 years and average tenant concessions were 3.5 months of free rent with a tenant improvement allowance of $37.93 per rentable square foot.</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Manhattan same-store occupancy was 97.4 percent at June 30, 2016, inclusive of 194,733 square feet of leases signed but not yet commenced as compared to 97.1 percent at June 30, 2015 and 97.4 percent at March 31, 2016.</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second quarter, the Company signed 19 office leases in its Suburban portfolio totaling 177,684 square feet. Eight leases comprising 80,761 square feet represented office leases that replaced previous vacancy. Eleven leases comprising the remaining 96,923 square feet, representing office leases on space that had been occupied within the prior twelve months, are considered replacement leases on which mark-to-market is calculated. Those replacement leases had average starting rents of $40.24 per rentable square foot, representing a 2.5 percent increase over the previously fully escalated rents on the same office spaces. The average lease term on the Suburban office leases signed in the second quarter was 8.5 years and average tenant concessions were 7.2 months of free rent with a tenant improvement allowance of $33.79 per rentable square foot.</w:t>
      </w:r>
    </w:p>
    <w:p>
      <w:pPr>
        <w:spacing w:after="0" w:line="10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the first six months of 2016, the Company signed 46 office leases in its Suburban portfolio totaling 422,479 square feet. Seventeen leases comprising 142,085 square feet represented office leases that replaced previous vacancy. Twenty nine leases comprising the remaining 280,394 square feet, representing office leases on space that had been occupied within the prior twelve months, are considered replacement leases on which mark-to-market is calculated. Those replacement leases had average starting rents of $39.84 per rentable square foot, representing a 5.6 percent increase over the previously fully escalated rents on the same office spaces. The average lease term on the Suburban office leases signed in the first six months of 2016 was 7.1 years and average tenant concessions were 6.1 months of free rent with a tenant improvement allowance of $29.92 per rentable square foot.</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Same-store occupancy for the Company's Suburban portfolio was 83.0 percent at June 30, 2016, inclusive of 38,815 square feet of leases signed but not yet commenced as compared to 83.6 percent at June 30, 2015 and 84.0 percent at March 31, 2016.</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Significant leases that were signed during the second quarter included:</w:t>
      </w:r>
    </w:p>
    <w:p>
      <w:pPr>
        <w:spacing w:after="0" w:line="143" w:lineRule="exact"/>
        <w:rPr>
          <w:sz w:val="20"/>
          <w:szCs w:val="20"/>
          <w:color w:val="auto"/>
        </w:rPr>
      </w:pPr>
    </w:p>
    <w:p>
      <w:pPr>
        <w:ind w:left="540" w:hanging="27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Expansion on 204,442 square feet with Bloomberg at 919 Third Avenue;</w:t>
      </w:r>
    </w:p>
    <w:p>
      <w:pPr>
        <w:sectPr>
          <w:pgSz w:w="11900" w:h="16838" w:orient="portrait"/>
          <w:cols w:equalWidth="0" w:num="1">
            <w:col w:w="11460"/>
          </w:cols>
          <w:pgMar w:left="220" w:top="330" w:right="219" w:bottom="1440" w:gutter="0" w:footer="0" w:header="0"/>
        </w:sectPr>
      </w:pPr>
    </w:p>
    <w:bookmarkStart w:id="8" w:name="page9"/>
    <w:bookmarkEnd w:id="8"/>
    <w:p>
      <w:pPr>
        <w:ind w:left="540" w:right="300" w:hanging="270"/>
        <w:spacing w:after="0" w:line="287"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Renewal and expansion on 114,709 square feet with New York Life Insurance Company at 420 Lexington Avenue, bringing the remaining lease term to 14.3 years;</w:t>
      </w:r>
    </w:p>
    <w:p>
      <w:pPr>
        <w:spacing w:after="0" w:line="78" w:lineRule="exact"/>
        <w:rPr>
          <w:rFonts w:ascii="Arial" w:cs="Arial" w:eastAsia="Arial" w:hAnsi="Arial"/>
          <w:sz w:val="17"/>
          <w:szCs w:val="17"/>
          <w:color w:val="auto"/>
        </w:rPr>
      </w:pPr>
    </w:p>
    <w:p>
      <w:pPr>
        <w:ind w:left="540" w:hanging="270"/>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Renewal on 47,278 square feet with Citi at 750 Washington Boulevard in Stamford, Connecticut, bringing the remaining lease term to 11.5 years; and</w:t>
      </w:r>
    </w:p>
    <w:p>
      <w:pPr>
        <w:spacing w:after="0" w:line="154" w:lineRule="exact"/>
        <w:rPr>
          <w:rFonts w:ascii="Arial" w:cs="Arial" w:eastAsia="Arial" w:hAnsi="Arial"/>
          <w:sz w:val="16"/>
          <w:szCs w:val="16"/>
          <w:color w:val="auto"/>
        </w:rPr>
      </w:pPr>
    </w:p>
    <w:p>
      <w:pPr>
        <w:ind w:left="540" w:hanging="270"/>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Renewal on 31,514 square feet with Morgan Stanley Smith Barney at Jericho Plaza in Jericho, New York, bringing the remaining lease term to 10.3 years.</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Marketing, general and administrative, or MG&amp;A, expenses for the quarter ended June 30, 2016 were $24.5 million, or 3.6 percent of total combined revenues and an annualized 50 basis points of total combined assets.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Real Estate Investment Activity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June, the Company closed on the previously announced sale of 388-390 Greenwich Street to an affiliate of Citigroup, Inc. ("Citi") for $2.0 billion, net of $242.5 million of unfunded tenant concessions. Separately, the Company received a $94.0 million payment from Citi for the early termination of Citi's lease at 388-390 Greenwich Street. Proceeds from the sale and the termination payment were used by the Company to repay $350.0 million of its corporate credit facility and retire the $1.45 billion mortgage on the property, resulting in reduction of Company indebtedness of approximately $1.8 billion. The Company recognized a gain on sale of $206.5 million.</w:t>
      </w:r>
    </w:p>
    <w:p>
      <w:pPr>
        <w:spacing w:after="0" w:line="98"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In May, the Company and its joint venture partner, the Naftali Group, closed on the previously announced sale of the Pace University dormitory tower at 33 Beekman Street for a gross sale price of $196.0 million or approximately $1,199 per square foot. The Company recognized a gain on sale of $33.0 million.</w:t>
      </w:r>
    </w:p>
    <w:p>
      <w:pPr>
        <w:spacing w:after="0" w:line="5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April, the Company completed the acquisition of a 20 percent interest in the newly completed, 1,176 unit "Sky" residential tower, located at 605 West 42nd Street. The Company was granted an option to purchase the interest at an agreed upon valuation in July 2014 when it originated a $50.0 million mezzanine loan on the property to The Moinian Group, the project's developer. The mezzanine loan was repaid prior to the closing of the Company's acquisition.</w:t>
      </w:r>
    </w:p>
    <w:p>
      <w:pPr>
        <w:spacing w:after="0" w:line="76"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In April, the Company reached an agreement to sell 500 West Putnam Avenue, a 121,500-square-foot office property located in Greenwich, Connecticut, for a gross sale price of $41.0 million, or $337 per square foot. The transaction closed in July and the Company recognized net proceeds of $39.5 million.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Debt and Preferred Equity Investment Activity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carrying value of the Company’s debt and preferred equity investment portfolio totaled $1.4 billion at June 30, 2016 at a weighted average current yield of 9.4 percent, excluding $0.3 billion of debt and preferred equity investments that are included in other balance sheet line items for accounting purposes. During the second quarter, the Company originated new debt and preferred equity investments totaling $458.5 million, of which $120.5 million was retained and $103.2 million was funded, at a weighted average current yield of 9.5 percent. During the second quarter, the Company recorded $147.7 million of principal reductions from investments that were repaid.</w:t>
      </w:r>
    </w:p>
    <w:p>
      <w:pPr>
        <w:sectPr>
          <w:pgSz w:w="11900" w:h="16838" w:orient="portrait"/>
          <w:cols w:equalWidth="0" w:num="1">
            <w:col w:w="11460"/>
          </w:cols>
          <w:pgMar w:left="220" w:top="330" w:right="2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Financing Activity</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the Company signed a final and comprehensive term sheet for a $1.5 billion construction loan facility with Wells Fargo Bank, N.A., The Bank of New York Mellon, JP Morgan Chase Bank, Bank of China New York Branch and TD Bank, N.A. for the development of One Vanderbilt Avenue. Commitment and closing are expected to occur within the third quarter of 2016.</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the Company closed on a refinancing of our $300 million debt and preferred equity liquidity facility. The facility, which is secured by select assets in the Company's debt portfolio, has a 2-year term with a 1-year extension option and bears interest ranging from 225 and 400 basis points over LIBOR, depending on the pledged collateral and advance rate. The new facility is favorable, providing higher advance rates than the previous facility.</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July, the Company entered into $300.0 million of 7-year interest rate swaps with a fixed rate of 1.14 percent, taking advantage of the current favorable interest environment to lock in rates on our corporate unsecured debt.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May, the Company, along with its joint venture partner, Vornado Realty Trust, successfully closed on the refinancing of 280 Park Avenue. The new $900.0 million facility has a 3-year term (subject to four 1-year extension options), carries a floating interest rate of LIBOR plus 2.00 percent, and replaces the previous $721.0 million of indebtedness on the property that was set to mature in June 2016. The Company, which owns a 50.0 percent interest in the asset, received approximately $75.9 million in net proceeds from the refinancing, inclusive of $30.0 million which was held at the property for future operating and capital costs.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of 2016, the Company declared quarterly dividends on its outstanding common and preferred stock as follows:</w:t>
      </w:r>
    </w:p>
    <w:p>
      <w:pPr>
        <w:spacing w:after="0" w:line="143" w:lineRule="exact"/>
        <w:rPr>
          <w:sz w:val="20"/>
          <w:szCs w:val="20"/>
          <w:color w:val="auto"/>
        </w:rPr>
      </w:pPr>
    </w:p>
    <w:p>
      <w:pPr>
        <w:ind w:left="540" w:hanging="270"/>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7"/>
          <w:szCs w:val="17"/>
          <w:color w:val="auto"/>
        </w:rPr>
        <w:t>$0.72 per share of common stock, which was paid on July 15, 2016 to shareholders of record on the close of business on June 30, 2016; and</w:t>
      </w:r>
    </w:p>
    <w:p>
      <w:pPr>
        <w:spacing w:after="0" w:line="143" w:lineRule="exact"/>
        <w:rPr>
          <w:rFonts w:ascii="Arial" w:cs="Arial" w:eastAsia="Arial" w:hAnsi="Arial"/>
          <w:sz w:val="15"/>
          <w:szCs w:val="15"/>
          <w:color w:val="auto"/>
        </w:rPr>
      </w:pPr>
    </w:p>
    <w:p>
      <w:pPr>
        <w:jc w:val="both"/>
        <w:ind w:left="540" w:hanging="270"/>
        <w:spacing w:after="0" w:line="271"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7"/>
          <w:szCs w:val="17"/>
          <w:color w:val="auto"/>
        </w:rPr>
        <w:t>$0.40625 per share on the Company's 6.50% Series I Cumulative Redeemable Preferred Stock for the period April 15, 2016 through and including July 14, 2016, which was paid on July 15, 2016 to shareholders of record on the close of business on June 30, 2016, and reflects the regular quarterly dividend, which is the equivalent of an annualized dividend of $1.625 per share.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and Audio Webcast</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Company's executive management team, led by Marc Holliday, Chief Executive Officer, will host a conference call and audio webcast on Thursday, July 21, 2016 at 2:00 pm ET to discuss the financial results.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The supplemental data will be available prior to the quarterly conference call in the Investors section of the SL Green Realty Corp. website at </w:t>
      </w:r>
      <w:r>
        <w:rPr>
          <w:rFonts w:ascii="Arial" w:cs="Arial" w:eastAsia="Arial" w:hAnsi="Arial"/>
          <w:sz w:val="17"/>
          <w:szCs w:val="17"/>
          <w:color w:val="336699"/>
        </w:rPr>
        <w:t>http://slgreen.com/</w:t>
      </w:r>
      <w:r>
        <w:rPr>
          <w:rFonts w:ascii="Arial" w:cs="Arial" w:eastAsia="Arial" w:hAnsi="Arial"/>
          <w:sz w:val="17"/>
          <w:szCs w:val="17"/>
          <w:color w:val="auto"/>
        </w:rPr>
        <w:t xml:space="preserve"> under “Financial Reports.”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The live conference call will be webcast in listen-only mode in the Investors section of the SL Green Realty Corp. website at </w:t>
      </w:r>
      <w:r>
        <w:rPr>
          <w:rFonts w:ascii="Arial" w:cs="Arial" w:eastAsia="Arial" w:hAnsi="Arial"/>
          <w:sz w:val="17"/>
          <w:szCs w:val="17"/>
          <w:color w:val="336699"/>
        </w:rPr>
        <w:t>http://slgreen.com/</w:t>
      </w:r>
      <w:r>
        <w:rPr>
          <w:rFonts w:ascii="Arial" w:cs="Arial" w:eastAsia="Arial" w:hAnsi="Arial"/>
          <w:sz w:val="17"/>
          <w:szCs w:val="17"/>
          <w:color w:val="auto"/>
        </w:rPr>
        <w:t xml:space="preserve"> under “Event Calendar &amp; Webcasts”.</w:t>
      </w:r>
    </w:p>
    <w:p>
      <w:pPr>
        <w:sectPr>
          <w:pgSz w:w="11900" w:h="16838" w:orient="portrait"/>
          <w:cols w:equalWidth="0" w:num="1">
            <w:col w:w="11460"/>
          </w:cols>
          <w:pgMar w:left="220" w:top="390" w:right="21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conference may also be accessed by dialing toll-free (877) 312-8765 or international (419) 386-0002, and using passcode 38223940.</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A replay of the call will be available 7 days after the call by dialing (855) 859-2056 using pass-code 38223940. A webcast replay will also be available in the Investors section of the SL Green Realty Corp. website at </w:t>
      </w:r>
      <w:r>
        <w:rPr>
          <w:rFonts w:ascii="Arial" w:cs="Arial" w:eastAsia="Arial" w:hAnsi="Arial"/>
          <w:sz w:val="17"/>
          <w:szCs w:val="17"/>
          <w:color w:val="336699"/>
        </w:rPr>
        <w:t>http://slgreen.com/</w:t>
      </w:r>
      <w:r>
        <w:rPr>
          <w:rFonts w:ascii="Arial" w:cs="Arial" w:eastAsia="Arial" w:hAnsi="Arial"/>
          <w:sz w:val="17"/>
          <w:szCs w:val="17"/>
          <w:color w:val="auto"/>
        </w:rPr>
        <w:t xml:space="preserve"> under “Event Calendar &amp; Webcasts”.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Company Profile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SL Green Realty Corp., an S&amp;P 500 company and New York City's largest office landlord, is a fully integrated real estate investment trust, or REIT, that is focused primarily on acquiring, managing and maximizing value of Manhattan commercial properties. As of June 30, 2016, SL Green held interests in 119 Manhattan buildings totaling 44.7 million square feet. This included ownership interests in 28.1 million square feet of commercial buildings and debt and preferred equity investments secured by 16.7 million square feet of buildings. In addition, SL Green held ownership interests in 31 suburban buildings totaling 4.9 million square feet in Brooklyn, Long Island, Westchester County, Connecticut and New Jersey.</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To be added to the Company's distribution list or to obtain the latest news releases and other Company information, please visit our website at </w:t>
      </w:r>
      <w:r>
        <w:rPr>
          <w:rFonts w:ascii="Arial" w:cs="Arial" w:eastAsia="Arial" w:hAnsi="Arial"/>
          <w:sz w:val="17"/>
          <w:szCs w:val="17"/>
          <w:color w:val="336699"/>
        </w:rPr>
        <w:t>www.slgreen.com</w:t>
      </w:r>
      <w:r>
        <w:rPr>
          <w:rFonts w:ascii="Arial" w:cs="Arial" w:eastAsia="Arial" w:hAnsi="Arial"/>
          <w:sz w:val="17"/>
          <w:szCs w:val="17"/>
          <w:color w:val="auto"/>
        </w:rPr>
        <w:t xml:space="preserve"> or contact Investor Relations at (212) 594-2700.</w:t>
      </w:r>
    </w:p>
    <w:p>
      <w:pPr>
        <w:sectPr>
          <w:pgSz w:w="11900" w:h="16838" w:orient="portrait"/>
          <w:cols w:equalWidth="0" w:num="1">
            <w:col w:w="11460"/>
          </w:cols>
          <w:pgMar w:left="220" w:top="330" w:right="21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auto"/>
        </w:rPr>
        <w:t>Disclaimers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During the quarterly conference call, the Company may discuss non-GAAP financial measures as defined by SEC Regulation G. In addition, the Company has used non-GAAP financial measures in this press release. A reconciliation of each non-GAAP financial measure and the comparable GAAP financial measure can be found in this release and in the Company’s Supplemental Package.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This press release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press release that address activities, events or developments that we expect, believe or anticipate will or may occur in the future, are forward-looking statements. Forward-looking statements are not guarantees of future performance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Forward-looking statements contained in this press release are subject to a number of risks and uncertainties, many of which are beyond our control, that may cause our actual results, performance or achievements to be materially different from future results, performance or achievements expressed or implied by forward-looking statements made by us. Factors and risks to our business that could cause actual results to differ from those contained in the forward-looking statements are described in our filings with the Securities and Exchange Commission. We undertake no obligation to publicly update or revise any forward-looking statements, whether as a result of future events, new information or otherwise.</w:t>
      </w:r>
    </w:p>
    <w:p>
      <w:pPr>
        <w:sectPr>
          <w:pgSz w:w="11900" w:h="16838" w:orient="portrait"/>
          <w:cols w:equalWidth="0" w:num="1">
            <w:col w:w="11460"/>
          </w:cols>
          <w:pgMar w:left="220" w:top="324" w:right="2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 and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ind w:left="36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3"/>
                <w:szCs w:val="13"/>
                <w:color w:val="auto"/>
              </w:rPr>
            </w:pPr>
          </w:p>
        </w:tc>
        <w:tc>
          <w:tcPr>
            <w:tcW w:w="1900" w:type="dxa"/>
            <w:vAlign w:val="bottom"/>
            <w:gridSpan w:val="4"/>
          </w:tcPr>
          <w:p>
            <w:pPr>
              <w:jc w:val="right"/>
              <w:ind w:right="542"/>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2"/>
                <w:szCs w:val="12"/>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2"/>
                <w:szCs w:val="12"/>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09"/>
        </w:trPr>
        <w:tc>
          <w:tcPr>
            <w:tcW w:w="6860" w:type="dxa"/>
            <w:vAlign w:val="bottom"/>
            <w:gridSpan w:val="3"/>
          </w:tcPr>
          <w:p>
            <w:pPr>
              <w:spacing w:after="0"/>
              <w:rPr>
                <w:sz w:val="20"/>
                <w:szCs w:val="20"/>
                <w:color w:val="auto"/>
              </w:rPr>
            </w:pPr>
            <w:r>
              <w:rPr>
                <w:rFonts w:ascii="Arial" w:cs="Arial" w:eastAsia="Arial" w:hAnsi="Arial"/>
                <w:sz w:val="12"/>
                <w:szCs w:val="12"/>
                <w:b w:val="1"/>
                <w:bCs w:val="1"/>
                <w:color w:val="auto"/>
              </w:rPr>
              <w:t>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Rental revenue, net</w:t>
            </w:r>
          </w:p>
        </w:tc>
        <w:tc>
          <w:tcPr>
            <w:tcW w:w="240" w:type="dxa"/>
            <w:vAlign w:val="bottom"/>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416,809</w:t>
            </w:r>
          </w:p>
        </w:tc>
        <w:tc>
          <w:tcPr>
            <w:tcW w:w="120" w:type="dxa"/>
            <w:vAlign w:val="bottom"/>
          </w:tcPr>
          <w:p>
            <w:pPr>
              <w:spacing w:after="0"/>
              <w:rPr>
                <w:sz w:val="19"/>
                <w:szCs w:val="19"/>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304,226</w:t>
            </w:r>
          </w:p>
        </w:tc>
        <w:tc>
          <w:tcPr>
            <w:tcW w:w="220" w:type="dxa"/>
            <w:vAlign w:val="bottom"/>
          </w:tcPr>
          <w:p>
            <w:pPr>
              <w:spacing w:after="0"/>
              <w:rPr>
                <w:sz w:val="19"/>
                <w:szCs w:val="19"/>
                <w:color w:val="auto"/>
              </w:rPr>
            </w:pPr>
          </w:p>
        </w:tc>
        <w:tc>
          <w:tcPr>
            <w:tcW w:w="240" w:type="dxa"/>
            <w:vAlign w:val="bottom"/>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762,416</w:t>
            </w:r>
          </w:p>
        </w:tc>
        <w:tc>
          <w:tcPr>
            <w:tcW w:w="100" w:type="dxa"/>
            <w:vAlign w:val="bottom"/>
          </w:tcPr>
          <w:p>
            <w:pPr>
              <w:spacing w:after="0"/>
              <w:rPr>
                <w:sz w:val="19"/>
                <w:szCs w:val="19"/>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607,555</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Escalation and reimbursement</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48,616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41,407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94,227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82,376</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Investment income</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44,214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45,191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98,951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87,260</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Other income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107,975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18,250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117,464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28,182</w:t>
            </w:r>
          </w:p>
        </w:tc>
        <w:tc>
          <w:tcPr>
            <w:tcW w:w="0" w:type="dxa"/>
            <w:vAlign w:val="bottom"/>
          </w:tcPr>
          <w:p>
            <w:pPr>
              <w:spacing w:after="0"/>
              <w:rPr>
                <w:sz w:val="1"/>
                <w:szCs w:val="1"/>
                <w:color w:val="auto"/>
              </w:rPr>
            </w:pPr>
          </w:p>
        </w:tc>
      </w:tr>
      <w:tr>
        <w:trPr>
          <w:trHeight w:val="194"/>
        </w:trPr>
        <w:tc>
          <w:tcPr>
            <w:tcW w:w="6860" w:type="dxa"/>
            <w:vAlign w:val="bottom"/>
            <w:gridSpan w:val="3"/>
          </w:tcPr>
          <w:p>
            <w:pPr>
              <w:ind w:left="240"/>
              <w:spacing w:after="0"/>
              <w:rPr>
                <w:sz w:val="20"/>
                <w:szCs w:val="20"/>
                <w:color w:val="auto"/>
              </w:rPr>
            </w:pPr>
            <w:r>
              <w:rPr>
                <w:rFonts w:ascii="Arial" w:cs="Arial" w:eastAsia="Arial" w:hAnsi="Arial"/>
                <w:sz w:val="12"/>
                <w:szCs w:val="12"/>
                <w:color w:val="auto"/>
              </w:rPr>
              <w:t>Total revenues</w:t>
            </w:r>
          </w:p>
        </w:tc>
        <w:tc>
          <w:tcPr>
            <w:tcW w:w="24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617,614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409,074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1,073,058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805,373</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b w:val="1"/>
                <w:bCs w:val="1"/>
                <w:color w:val="auto"/>
              </w:rPr>
              <w:t>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Operating expenses, including related party expenses of $6,667 and $10,129 in 2016 and $4,472 and $8,189 in 2015.</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75,324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70,114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154,844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146,891</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Real estate taxes</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62,124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56,286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123,798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112,009</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Ground rent</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8,307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8,086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16,615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16,274</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Interest expense, net of interest income</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89,089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75,746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183,761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151,553</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Amortization of deferred financing costs</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7,433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5,952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15,365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12,567</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425,042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199,565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604,350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307,902</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Transaction related costs</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2,115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3,067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3,394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4,210</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Marketing, general and administrative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24,484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23,200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48,516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48,664</w:t>
            </w:r>
          </w:p>
        </w:tc>
        <w:tc>
          <w:tcPr>
            <w:tcW w:w="0" w:type="dxa"/>
            <w:vAlign w:val="bottom"/>
          </w:tcPr>
          <w:p>
            <w:pPr>
              <w:spacing w:after="0"/>
              <w:rPr>
                <w:sz w:val="1"/>
                <w:szCs w:val="1"/>
                <w:color w:val="auto"/>
              </w:rPr>
            </w:pPr>
          </w:p>
        </w:tc>
      </w:tr>
      <w:tr>
        <w:trPr>
          <w:trHeight w:val="194"/>
        </w:trPr>
        <w:tc>
          <w:tcPr>
            <w:tcW w:w="6860" w:type="dxa"/>
            <w:vAlign w:val="bottom"/>
            <w:gridSpan w:val="3"/>
          </w:tcPr>
          <w:p>
            <w:pPr>
              <w:ind w:left="240"/>
              <w:spacing w:after="0"/>
              <w:rPr>
                <w:sz w:val="20"/>
                <w:szCs w:val="20"/>
                <w:color w:val="auto"/>
              </w:rPr>
            </w:pPr>
            <w:r>
              <w:rPr>
                <w:rFonts w:ascii="Arial" w:cs="Arial" w:eastAsia="Arial" w:hAnsi="Arial"/>
                <w:sz w:val="12"/>
                <w:szCs w:val="12"/>
                <w:color w:val="auto"/>
              </w:rPr>
              <w:t>Total expenses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693,918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442,016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1,150,643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800,070</w:t>
            </w:r>
          </w:p>
        </w:tc>
        <w:tc>
          <w:tcPr>
            <w:tcW w:w="0" w:type="dxa"/>
            <w:vAlign w:val="bottom"/>
          </w:tcPr>
          <w:p>
            <w:pPr>
              <w:spacing w:after="0"/>
              <w:rPr>
                <w:sz w:val="1"/>
                <w:szCs w:val="1"/>
                <w:color w:val="auto"/>
              </w:rPr>
            </w:pPr>
          </w:p>
        </w:tc>
      </w:tr>
      <w:tr>
        <w:trPr>
          <w:trHeight w:val="116"/>
        </w:trPr>
        <w:tc>
          <w:tcPr>
            <w:tcW w:w="6860" w:type="dxa"/>
            <w:vAlign w:val="bottom"/>
            <w:gridSpan w:val="3"/>
          </w:tcPr>
          <w:p>
            <w:pPr>
              <w:spacing w:after="0" w:line="116" w:lineRule="exact"/>
              <w:rPr>
                <w:sz w:val="20"/>
                <w:szCs w:val="20"/>
                <w:color w:val="auto"/>
              </w:rPr>
            </w:pPr>
            <w:r>
              <w:rPr>
                <w:rFonts w:ascii="Arial" w:cs="Arial" w:eastAsia="Arial" w:hAnsi="Arial"/>
                <w:sz w:val="12"/>
                <w:szCs w:val="12"/>
                <w:color w:val="auto"/>
              </w:rPr>
              <w:t>(Loss) income from continuing operations before equity in net income from unconsolidated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860" w:type="dxa"/>
            <w:vAlign w:val="bottom"/>
            <w:gridSpan w:val="3"/>
          </w:tcPr>
          <w:p>
            <w:pPr>
              <w:ind w:left="60"/>
              <w:spacing w:after="0" w:line="121" w:lineRule="exact"/>
              <w:rPr>
                <w:sz w:val="20"/>
                <w:szCs w:val="20"/>
                <w:color w:val="auto"/>
              </w:rPr>
            </w:pPr>
            <w:r>
              <w:rPr>
                <w:rFonts w:ascii="Arial" w:cs="Arial" w:eastAsia="Arial" w:hAnsi="Arial"/>
                <w:sz w:val="12"/>
                <w:szCs w:val="12"/>
                <w:color w:val="auto"/>
              </w:rPr>
              <w:t>joint ventures, equity in net gain on sale of interest in unconsolidated joint venture/real</w:t>
            </w:r>
          </w:p>
        </w:tc>
        <w:tc>
          <w:tcPr>
            <w:tcW w:w="240" w:type="dxa"/>
            <w:vAlign w:val="bottom"/>
          </w:tcPr>
          <w:p>
            <w:pPr>
              <w:spacing w:after="0"/>
              <w:rPr>
                <w:sz w:val="10"/>
                <w:szCs w:val="10"/>
                <w:color w:val="auto"/>
              </w:rPr>
            </w:pPr>
          </w:p>
        </w:tc>
        <w:tc>
          <w:tcPr>
            <w:tcW w:w="8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(76,304)</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(77,585)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60" w:type="dxa"/>
            <w:vAlign w:val="bottom"/>
            <w:gridSpan w:val="3"/>
          </w:tcPr>
          <w:p>
            <w:pPr>
              <w:ind w:left="60"/>
              <w:spacing w:after="0"/>
              <w:rPr>
                <w:sz w:val="20"/>
                <w:szCs w:val="20"/>
                <w:color w:val="auto"/>
              </w:rPr>
            </w:pPr>
            <w:r>
              <w:rPr>
                <w:rFonts w:ascii="Arial" w:cs="Arial" w:eastAsia="Arial" w:hAnsi="Arial"/>
                <w:sz w:val="12"/>
                <w:szCs w:val="12"/>
                <w:color w:val="auto"/>
              </w:rPr>
              <w:t>estate, gain on sale of real estate, loss on sale of marketable securities and loss on early extinguishment of debt</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(32,942)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5,303</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5,841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2,994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15,937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7,024</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Equity in net gain on sale of interest in unconsolidated joint venture/real estate</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33,448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769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43,363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769</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Gain on sale of real estate, net</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196,580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210,353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Depreciable real estate reserves</w:t>
            </w:r>
          </w:p>
        </w:tc>
        <w:tc>
          <w:tcPr>
            <w:tcW w:w="24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(10,387)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(10,387)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Loss on sale of marketable securities</w:t>
            </w:r>
          </w:p>
        </w:tc>
        <w:tc>
          <w:tcPr>
            <w:tcW w:w="24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Loss on early extinguishment of debt</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94"/>
        </w:trPr>
        <w:tc>
          <w:tcPr>
            <w:tcW w:w="6860" w:type="dxa"/>
            <w:vAlign w:val="bottom"/>
            <w:gridSpan w:val="3"/>
          </w:tcPr>
          <w:p>
            <w:pPr>
              <w:spacing w:after="0"/>
              <w:rPr>
                <w:sz w:val="20"/>
                <w:szCs w:val="20"/>
                <w:color w:val="auto"/>
              </w:rPr>
            </w:pPr>
            <w:r>
              <w:rPr>
                <w:rFonts w:ascii="Arial" w:cs="Arial" w:eastAsia="Arial" w:hAnsi="Arial"/>
                <w:sz w:val="12"/>
                <w:szCs w:val="12"/>
                <w:color w:val="auto"/>
              </w:rPr>
              <w:t>Income from continuing operations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149,095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(29,179)</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181,598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13,047</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from discontinued operations</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Gain on sale of discontinued operations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12,983</w:t>
            </w:r>
          </w:p>
        </w:tc>
        <w:tc>
          <w:tcPr>
            <w:tcW w:w="0" w:type="dxa"/>
            <w:vAlign w:val="bottom"/>
          </w:tcPr>
          <w:p>
            <w:pPr>
              <w:spacing w:after="0"/>
              <w:rPr>
                <w:sz w:val="1"/>
                <w:szCs w:val="1"/>
                <w:color w:val="auto"/>
              </w:rPr>
            </w:pPr>
          </w:p>
        </w:tc>
      </w:tr>
      <w:tr>
        <w:trPr>
          <w:trHeight w:val="194"/>
        </w:trPr>
        <w:tc>
          <w:tcPr>
            <w:tcW w:w="6860" w:type="dxa"/>
            <w:vAlign w:val="bottom"/>
            <w:gridSpan w:val="3"/>
          </w:tcPr>
          <w:p>
            <w:pPr>
              <w:ind w:left="240"/>
              <w:spacing w:after="0"/>
              <w:rPr>
                <w:sz w:val="20"/>
                <w:szCs w:val="20"/>
                <w:color w:val="auto"/>
              </w:rPr>
            </w:pPr>
            <w:r>
              <w:rPr>
                <w:rFonts w:ascii="Arial" w:cs="Arial" w:eastAsia="Arial" w:hAnsi="Arial"/>
                <w:sz w:val="12"/>
                <w:szCs w:val="12"/>
                <w:color w:val="auto"/>
              </w:rPr>
              <w:t>Net income (loss)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149,095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(29,179)</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181,598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26,457</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(loss) attributable to noncontrolling interests in the Operating Partnership</w:t>
            </w:r>
          </w:p>
        </w:tc>
        <w:tc>
          <w:tcPr>
            <w:tcW w:w="24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(5,586)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1,577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(6,508)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attributable to noncontrolling interests in other partnerships</w:t>
            </w:r>
          </w:p>
        </w:tc>
        <w:tc>
          <w:tcPr>
            <w:tcW w:w="24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(3,435)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(6,626)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(5,409)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(12,553)</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Preferred unit distributions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(2,880)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(1,140)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(5,528)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(2,091)</w:t>
            </w:r>
          </w:p>
        </w:tc>
        <w:tc>
          <w:tcPr>
            <w:tcW w:w="0" w:type="dxa"/>
            <w:vAlign w:val="bottom"/>
          </w:tcPr>
          <w:p>
            <w:pPr>
              <w:spacing w:after="0"/>
              <w:rPr>
                <w:sz w:val="1"/>
                <w:szCs w:val="1"/>
                <w:color w:val="auto"/>
              </w:rPr>
            </w:pPr>
          </w:p>
        </w:tc>
      </w:tr>
      <w:tr>
        <w:trPr>
          <w:trHeight w:val="194"/>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attributable to SL Green</w:t>
            </w:r>
          </w:p>
        </w:tc>
        <w:tc>
          <w:tcPr>
            <w:tcW w:w="24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137,194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(35,368)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164,153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11,647</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Perpetual preferred stock dividends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(3,737)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(3,738)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(7,475)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(7,476)</w:t>
            </w:r>
          </w:p>
        </w:tc>
        <w:tc>
          <w:tcPr>
            <w:tcW w:w="0" w:type="dxa"/>
            <w:vAlign w:val="bottom"/>
          </w:tcPr>
          <w:p>
            <w:pPr>
              <w:spacing w:after="0"/>
              <w:rPr>
                <w:sz w:val="1"/>
                <w:szCs w:val="1"/>
                <w:color w:val="auto"/>
              </w:rPr>
            </w:pPr>
          </w:p>
        </w:tc>
      </w:tr>
      <w:tr>
        <w:trPr>
          <w:trHeight w:val="193"/>
        </w:trPr>
        <w:tc>
          <w:tcPr>
            <w:tcW w:w="6860" w:type="dxa"/>
            <w:vAlign w:val="bottom"/>
            <w:gridSpan w:val="3"/>
          </w:tcPr>
          <w:p>
            <w:pPr>
              <w:ind w:left="240"/>
              <w:spacing w:after="0"/>
              <w:rPr>
                <w:sz w:val="20"/>
                <w:szCs w:val="20"/>
                <w:color w:val="auto"/>
              </w:rPr>
            </w:pPr>
            <w:r>
              <w:rPr>
                <w:rFonts w:ascii="Arial" w:cs="Arial" w:eastAsia="Arial" w:hAnsi="Arial"/>
                <w:sz w:val="12"/>
                <w:szCs w:val="12"/>
                <w:color w:val="auto"/>
              </w:rPr>
              <w:t>Net income (loss) attributable to SL Green common stockholders</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133,457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(39,106)</w:t>
            </w:r>
          </w:p>
        </w:tc>
        <w:tc>
          <w:tcPr>
            <w:tcW w:w="220" w:type="dxa"/>
            <w:vAlign w:val="bottom"/>
          </w:tcPr>
          <w:p>
            <w:pPr>
              <w:spacing w:after="0"/>
              <w:rPr>
                <w:sz w:val="16"/>
                <w:szCs w:val="16"/>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156,678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4,171</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Earnings Per Share (EPS)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(loss) per share (Basic)</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1.33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(0.39)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1.57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(loss) per share (Diluted)</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1.33</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(0.39)</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1.56</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Funds From Operations (FFO)</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60" w:type="dxa"/>
            <w:vAlign w:val="bottom"/>
            <w:gridSpan w:val="3"/>
          </w:tcPr>
          <w:p>
            <w:pPr>
              <w:spacing w:after="0"/>
              <w:rPr>
                <w:sz w:val="20"/>
                <w:szCs w:val="20"/>
                <w:color w:val="auto"/>
              </w:rPr>
            </w:pPr>
            <w:r>
              <w:rPr>
                <w:rFonts w:ascii="Arial" w:cs="Arial" w:eastAsia="Arial" w:hAnsi="Arial"/>
                <w:sz w:val="12"/>
                <w:szCs w:val="12"/>
                <w:color w:val="auto"/>
              </w:rPr>
              <w:t>FFO per share (Basic)</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3.40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5.25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60" w:type="dxa"/>
            <w:vAlign w:val="bottom"/>
            <w:gridSpan w:val="3"/>
          </w:tcPr>
          <w:p>
            <w:pPr>
              <w:spacing w:after="0"/>
              <w:rPr>
                <w:sz w:val="20"/>
                <w:szCs w:val="20"/>
                <w:color w:val="auto"/>
              </w:rPr>
            </w:pPr>
            <w:r>
              <w:rPr>
                <w:rFonts w:ascii="Arial" w:cs="Arial" w:eastAsia="Arial" w:hAnsi="Arial"/>
                <w:sz w:val="12"/>
                <w:szCs w:val="12"/>
                <w:color w:val="auto"/>
              </w:rPr>
              <w:t>FFO per share (Diluted)</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3.39</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1.62</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5.24</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Basic ownership interest</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100,134</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100,093</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tcPr>
          <w:p>
            <w:pPr>
              <w:spacing w:after="0"/>
              <w:rPr>
                <w:sz w:val="20"/>
                <w:szCs w:val="20"/>
                <w:color w:val="auto"/>
              </w:rPr>
            </w:pPr>
            <w:r>
              <w:rPr>
                <w:rFonts w:ascii="Arial" w:cs="Arial" w:eastAsia="Arial" w:hAnsi="Arial"/>
                <w:sz w:val="12"/>
                <w:szCs w:val="12"/>
                <w:color w:val="auto"/>
              </w:rPr>
              <w:t>Weighted average REIT common shares for net income per share</w:t>
            </w: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99,579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98,994</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Weighted average partnership units held by noncontrolling interests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4,342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3,908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4,158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3,936</w:t>
            </w:r>
          </w:p>
        </w:tc>
        <w:tc>
          <w:tcPr>
            <w:tcW w:w="0" w:type="dxa"/>
            <w:vAlign w:val="bottom"/>
          </w:tcPr>
          <w:p>
            <w:pPr>
              <w:spacing w:after="0"/>
              <w:rPr>
                <w:sz w:val="1"/>
                <w:szCs w:val="1"/>
                <w:color w:val="auto"/>
              </w:rPr>
            </w:pPr>
          </w:p>
        </w:tc>
      </w:tr>
      <w:tr>
        <w:trPr>
          <w:trHeight w:val="193"/>
        </w:trPr>
        <w:tc>
          <w:tcPr>
            <w:tcW w:w="6860" w:type="dxa"/>
            <w:vAlign w:val="bottom"/>
            <w:gridSpan w:val="3"/>
          </w:tcPr>
          <w:p>
            <w:pPr>
              <w:spacing w:after="0"/>
              <w:rPr>
                <w:sz w:val="20"/>
                <w:szCs w:val="20"/>
                <w:color w:val="auto"/>
              </w:rPr>
            </w:pPr>
            <w:r>
              <w:rPr>
                <w:rFonts w:ascii="Arial" w:cs="Arial" w:eastAsia="Arial" w:hAnsi="Arial"/>
                <w:sz w:val="12"/>
                <w:szCs w:val="12"/>
                <w:color w:val="auto"/>
              </w:rPr>
              <w:t>Basic weighted average shares and units outstanding</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104,476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103,487</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104,251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102,930</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Diluted ownership interest</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100,450</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100,375</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tcPr>
          <w:p>
            <w:pPr>
              <w:spacing w:after="0"/>
              <w:rPr>
                <w:sz w:val="20"/>
                <w:szCs w:val="20"/>
                <w:color w:val="auto"/>
              </w:rPr>
            </w:pPr>
            <w:r>
              <w:rPr>
                <w:rFonts w:ascii="Arial" w:cs="Arial" w:eastAsia="Arial" w:hAnsi="Arial"/>
                <w:sz w:val="12"/>
                <w:szCs w:val="12"/>
                <w:color w:val="auto"/>
              </w:rPr>
              <w:t>Weighted average REIT common share and common share equivalents</w:t>
            </w: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100,038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99,487</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Weighted average partnership units held by noncontrolling interests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4,342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3,908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4,158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3,936</w:t>
            </w:r>
          </w:p>
        </w:tc>
        <w:tc>
          <w:tcPr>
            <w:tcW w:w="0" w:type="dxa"/>
            <w:vAlign w:val="bottom"/>
          </w:tcPr>
          <w:p>
            <w:pPr>
              <w:spacing w:after="0"/>
              <w:rPr>
                <w:sz w:val="1"/>
                <w:szCs w:val="1"/>
                <w:color w:val="auto"/>
              </w:rPr>
            </w:pPr>
          </w:p>
        </w:tc>
      </w:tr>
      <w:tr>
        <w:trPr>
          <w:trHeight w:val="193"/>
        </w:trPr>
        <w:tc>
          <w:tcPr>
            <w:tcW w:w="6860" w:type="dxa"/>
            <w:vAlign w:val="bottom"/>
            <w:gridSpan w:val="3"/>
          </w:tcPr>
          <w:p>
            <w:pPr>
              <w:spacing w:after="0"/>
              <w:rPr>
                <w:sz w:val="20"/>
                <w:szCs w:val="20"/>
                <w:color w:val="auto"/>
              </w:rPr>
            </w:pPr>
            <w:r>
              <w:rPr>
                <w:rFonts w:ascii="Arial" w:cs="Arial" w:eastAsia="Arial" w:hAnsi="Arial"/>
                <w:sz w:val="12"/>
                <w:szCs w:val="12"/>
                <w:color w:val="auto"/>
              </w:rPr>
              <w:t>Diluted weighted average shares and units outstanding</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104,792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103,946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104,533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103,423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22" w:right="2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7"/>
              </w:rPr>
              <w:t>June 30,</w:t>
            </w:r>
          </w:p>
        </w:tc>
        <w:tc>
          <w:tcPr>
            <w:tcW w:w="180" w:type="dxa"/>
            <w:vAlign w:val="bottom"/>
          </w:tcPr>
          <w:p>
            <w:pPr>
              <w:spacing w:after="0"/>
              <w:rPr>
                <w:sz w:val="13"/>
                <w:szCs w:val="13"/>
                <w:color w:val="auto"/>
              </w:rPr>
            </w:pPr>
          </w:p>
        </w:tc>
        <w:tc>
          <w:tcPr>
            <w:tcW w:w="1060" w:type="dxa"/>
            <w:vAlign w:val="bottom"/>
          </w:tcPr>
          <w:p>
            <w:pPr>
              <w:jc w:val="right"/>
              <w:ind w:right="222"/>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2"/>
                <w:szCs w:val="12"/>
                <w:b w:val="1"/>
                <w:bCs w:val="1"/>
                <w:color w:val="auto"/>
                <w:w w:val="89"/>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0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9"/>
              </w:rPr>
              <w:t>(Unaudited)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Commercial real estate properties, at cost: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Land and land interests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4,108,821</w:t>
            </w:r>
          </w:p>
        </w:tc>
        <w:tc>
          <w:tcPr>
            <w:tcW w:w="220" w:type="dxa"/>
            <w:vAlign w:val="bottom"/>
          </w:tcPr>
          <w:p>
            <w:pPr>
              <w:spacing w:after="0"/>
              <w:rPr>
                <w:sz w:val="19"/>
                <w:szCs w:val="19"/>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4,779,159</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Building and improvements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9,362,614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10,423,739</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Building leasehold and improvements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1,435,255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1,431,259</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Properties under capital lease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47,445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47,445</w:t>
            </w:r>
          </w:p>
        </w:tc>
        <w:tc>
          <w:tcPr>
            <w:tcW w:w="0" w:type="dxa"/>
            <w:vAlign w:val="bottom"/>
          </w:tcPr>
          <w:p>
            <w:pPr>
              <w:spacing w:after="0"/>
              <w:rPr>
                <w:sz w:val="1"/>
                <w:szCs w:val="1"/>
                <w:color w:val="auto"/>
              </w:rPr>
            </w:pPr>
          </w:p>
        </w:tc>
      </w:tr>
      <w:tr>
        <w:trPr>
          <w:trHeight w:val="194"/>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14,954,135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16,681,602</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(2,166,059)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(2,060,706)</w:t>
            </w:r>
          </w:p>
        </w:tc>
        <w:tc>
          <w:tcPr>
            <w:tcW w:w="0" w:type="dxa"/>
            <w:vAlign w:val="bottom"/>
          </w:tcPr>
          <w:p>
            <w:pPr>
              <w:spacing w:after="0"/>
              <w:rPr>
                <w:sz w:val="1"/>
                <w:szCs w:val="1"/>
                <w:color w:val="auto"/>
              </w:rPr>
            </w:pPr>
          </w:p>
        </w:tc>
      </w:tr>
      <w:tr>
        <w:trPr>
          <w:trHeight w:val="194"/>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12,788,076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14,620,896</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Assets held for sale</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39,642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34,981</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276,226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255,399</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Restricted cash</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166,905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233,578</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Investment in marketable securities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39,339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45,138</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Tenant and other receivables, net of allowance of $18,728 and $17,618 in 2016 and 2015, respectively</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57,551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63,491</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Related party receivables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13,059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10,650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Deferred rents receivable, net of allowance of $22,917 and $21,730 in 2016 and 2015, respectively</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443,981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498,776</w:t>
            </w:r>
          </w:p>
        </w:tc>
        <w:tc>
          <w:tcPr>
            <w:tcW w:w="0" w:type="dxa"/>
            <w:vAlign w:val="bottom"/>
          </w:tcPr>
          <w:p>
            <w:pPr>
              <w:spacing w:after="0"/>
              <w:rPr>
                <w:sz w:val="1"/>
                <w:szCs w:val="1"/>
                <w:color w:val="auto"/>
              </w:rPr>
            </w:pPr>
          </w:p>
        </w:tc>
      </w:tr>
      <w:tr>
        <w:trPr>
          <w:trHeight w:val="136"/>
        </w:trPr>
        <w:tc>
          <w:tcPr>
            <w:tcW w:w="8700" w:type="dxa"/>
            <w:vAlign w:val="bottom"/>
          </w:tcPr>
          <w:p>
            <w:pPr>
              <w:spacing w:after="0" w:line="137" w:lineRule="exact"/>
              <w:rPr>
                <w:sz w:val="20"/>
                <w:szCs w:val="20"/>
                <w:color w:val="auto"/>
              </w:rPr>
            </w:pPr>
            <w:r>
              <w:rPr>
                <w:rFonts w:ascii="Arial" w:cs="Arial" w:eastAsia="Arial" w:hAnsi="Arial"/>
                <w:sz w:val="12"/>
                <w:szCs w:val="12"/>
                <w:color w:val="auto"/>
              </w:rPr>
              <w:t>Debt and preferred equity investments, net of discounts and deferred origination fees of $14,329 and $18,759 in 2016 and</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00" w:type="dxa"/>
            <w:vAlign w:val="bottom"/>
          </w:tcPr>
          <w:p>
            <w:pPr>
              <w:ind w:left="120"/>
              <w:spacing w:after="0"/>
              <w:rPr>
                <w:sz w:val="20"/>
                <w:szCs w:val="20"/>
                <w:color w:val="auto"/>
              </w:rPr>
            </w:pPr>
            <w:r>
              <w:rPr>
                <w:rFonts w:ascii="Arial" w:cs="Arial" w:eastAsia="Arial" w:hAnsi="Arial"/>
                <w:sz w:val="12"/>
                <w:szCs w:val="12"/>
                <w:color w:val="auto"/>
              </w:rPr>
              <w:t>2015, respectively</w:t>
            </w:r>
          </w:p>
        </w:tc>
        <w:tc>
          <w:tcPr>
            <w:tcW w:w="200" w:type="dxa"/>
            <w:vAlign w:val="bottom"/>
          </w:tcPr>
          <w:p>
            <w:pPr>
              <w:spacing w:after="0"/>
              <w:rPr>
                <w:sz w:val="12"/>
                <w:szCs w:val="12"/>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1,357,181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1,670,020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Investments in unconsolidated joint ventures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1,126,486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1,203,858</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Deferred costs, net</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256,303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239,920</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Other assets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979,474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850,719</w:t>
            </w:r>
          </w:p>
        </w:tc>
        <w:tc>
          <w:tcPr>
            <w:tcW w:w="0" w:type="dxa"/>
            <w:vAlign w:val="bottom"/>
          </w:tcPr>
          <w:p>
            <w:pPr>
              <w:spacing w:after="0"/>
              <w:rPr>
                <w:sz w:val="1"/>
                <w:szCs w:val="1"/>
                <w:color w:val="auto"/>
              </w:rPr>
            </w:pPr>
          </w:p>
        </w:tc>
      </w:tr>
      <w:tr>
        <w:trPr>
          <w:trHeight w:val="193"/>
        </w:trPr>
        <w:tc>
          <w:tcPr>
            <w:tcW w:w="8700" w:type="dxa"/>
            <w:vAlign w:val="bottom"/>
          </w:tcPr>
          <w:p>
            <w:pPr>
              <w:ind w:left="240"/>
              <w:spacing w:after="0"/>
              <w:rPr>
                <w:sz w:val="20"/>
                <w:szCs w:val="20"/>
                <w:color w:val="auto"/>
              </w:rPr>
            </w:pPr>
            <w:r>
              <w:rPr>
                <w:rFonts w:ascii="Arial" w:cs="Arial" w:eastAsia="Arial" w:hAnsi="Arial"/>
                <w:sz w:val="12"/>
                <w:szCs w:val="12"/>
                <w:color w:val="auto"/>
              </w:rPr>
              <w:t>Total assets</w:t>
            </w: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17,544,223</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19,727,426</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2"/>
                <w:szCs w:val="12"/>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Mortgages and other loans payable</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5,608,400</w:t>
            </w:r>
          </w:p>
        </w:tc>
        <w:tc>
          <w:tcPr>
            <w:tcW w:w="220" w:type="dxa"/>
            <w:vAlign w:val="bottom"/>
          </w:tcPr>
          <w:p>
            <w:pPr>
              <w:spacing w:after="0"/>
              <w:rPr>
                <w:sz w:val="19"/>
                <w:szCs w:val="19"/>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6,992,504</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Revolving credit facility</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285,000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994,000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Term loan and senior unsecured notes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2,070,341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2,319,244</w:t>
            </w:r>
          </w:p>
        </w:tc>
        <w:tc>
          <w:tcPr>
            <w:tcW w:w="0" w:type="dxa"/>
            <w:vAlign w:val="bottom"/>
          </w:tcPr>
          <w:p>
            <w:pPr>
              <w:spacing w:after="0"/>
              <w:rPr>
                <w:sz w:val="1"/>
                <w:szCs w:val="1"/>
                <w:color w:val="auto"/>
              </w:rPr>
            </w:pPr>
          </w:p>
        </w:tc>
      </w:tr>
      <w:tr>
        <w:trPr>
          <w:trHeight w:val="164"/>
        </w:trPr>
        <w:tc>
          <w:tcPr>
            <w:tcW w:w="8700" w:type="dxa"/>
            <w:vAlign w:val="bottom"/>
          </w:tcPr>
          <w:p>
            <w:pPr>
              <w:spacing w:after="0"/>
              <w:rPr>
                <w:sz w:val="20"/>
                <w:szCs w:val="20"/>
                <w:color w:val="auto"/>
              </w:rPr>
            </w:pPr>
            <w:r>
              <w:rPr>
                <w:rFonts w:ascii="Arial" w:cs="Arial" w:eastAsia="Arial" w:hAnsi="Arial"/>
                <w:sz w:val="12"/>
                <w:szCs w:val="12"/>
                <w:color w:val="auto"/>
              </w:rPr>
              <w:t>Deferred financing costs, net</w:t>
            </w:r>
          </w:p>
        </w:tc>
        <w:tc>
          <w:tcPr>
            <w:tcW w:w="200" w:type="dxa"/>
            <w:vAlign w:val="bottom"/>
          </w:tcPr>
          <w:p>
            <w:pPr>
              <w:spacing w:after="0"/>
              <w:rPr>
                <w:sz w:val="14"/>
                <w:szCs w:val="14"/>
                <w:color w:val="auto"/>
              </w:rPr>
            </w:pPr>
          </w:p>
        </w:tc>
        <w:tc>
          <w:tcPr>
            <w:tcW w:w="1080" w:type="dxa"/>
            <w:vAlign w:val="bottom"/>
            <w:vMerge w:val="restart"/>
          </w:tcPr>
          <w:p>
            <w:pPr>
              <w:jc w:val="right"/>
              <w:ind w:right="22"/>
              <w:spacing w:after="0"/>
              <w:rPr>
                <w:sz w:val="20"/>
                <w:szCs w:val="20"/>
                <w:color w:val="auto"/>
              </w:rPr>
            </w:pPr>
            <w:r>
              <w:rPr>
                <w:rFonts w:ascii="Arial" w:cs="Arial" w:eastAsia="Arial" w:hAnsi="Arial"/>
                <w:sz w:val="12"/>
                <w:szCs w:val="12"/>
                <w:color w:val="auto"/>
              </w:rPr>
              <w:t>(101,521)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2"/>
                <w:szCs w:val="12"/>
                <w:color w:val="auto"/>
              </w:rPr>
              <w:t>(130,515)</w:t>
            </w:r>
          </w:p>
        </w:tc>
        <w:tc>
          <w:tcPr>
            <w:tcW w:w="0" w:type="dxa"/>
            <w:vAlign w:val="bottom"/>
          </w:tcPr>
          <w:p>
            <w:pPr>
              <w:spacing w:after="0"/>
              <w:rPr>
                <w:sz w:val="1"/>
                <w:szCs w:val="1"/>
                <w:color w:val="auto"/>
              </w:rPr>
            </w:pPr>
          </w:p>
        </w:tc>
      </w:tr>
      <w:tr>
        <w:trPr>
          <w:trHeight w:val="125"/>
        </w:trPr>
        <w:tc>
          <w:tcPr>
            <w:tcW w:w="8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700" w:type="dxa"/>
            <w:vAlign w:val="bottom"/>
          </w:tcPr>
          <w:p>
            <w:pPr>
              <w:spacing w:after="0"/>
              <w:rPr>
                <w:sz w:val="20"/>
                <w:szCs w:val="20"/>
                <w:color w:val="auto"/>
              </w:rPr>
            </w:pPr>
            <w:r>
              <w:rPr>
                <w:rFonts w:ascii="Arial" w:cs="Arial" w:eastAsia="Arial" w:hAnsi="Arial"/>
                <w:sz w:val="12"/>
                <w:szCs w:val="12"/>
                <w:color w:val="auto"/>
              </w:rPr>
              <w:t>Total debt, net of deferred financing costs</w:t>
            </w:r>
          </w:p>
        </w:tc>
        <w:tc>
          <w:tcPr>
            <w:tcW w:w="200" w:type="dxa"/>
            <w:vAlign w:val="bottom"/>
          </w:tcPr>
          <w:p>
            <w:pPr>
              <w:spacing w:after="0"/>
              <w:rPr>
                <w:sz w:val="16"/>
                <w:szCs w:val="16"/>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7,862,220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10,175,233</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Accrued interest payable</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36,378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42,406</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Other liabilities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243,011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168,477</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Accounts payable and accrued expenses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189,690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196,213</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Deferred revenue</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384,145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399,102</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Capitalized lease obligations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41,751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41,360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Deferred land leases payable</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2,236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1,783</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Dividend and distributions payable</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80,555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79,790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Security deposits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68,199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68,023</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Liabilities related to assets held for sale</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Junior subordinate deferrable interest debentures held by trusts that issued trust preferred securities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94"/>
        </w:trPr>
        <w:tc>
          <w:tcPr>
            <w:tcW w:w="8700" w:type="dxa"/>
            <w:vAlign w:val="bottom"/>
          </w:tcPr>
          <w:p>
            <w:pPr>
              <w:ind w:left="240"/>
              <w:spacing w:after="0"/>
              <w:rPr>
                <w:sz w:val="20"/>
                <w:szCs w:val="20"/>
                <w:color w:val="auto"/>
              </w:rPr>
            </w:pPr>
            <w:r>
              <w:rPr>
                <w:rFonts w:ascii="Arial" w:cs="Arial" w:eastAsia="Arial" w:hAnsi="Arial"/>
                <w:sz w:val="12"/>
                <w:szCs w:val="12"/>
                <w:color w:val="auto"/>
              </w:rPr>
              <w:t>Total liabilities</w:t>
            </w:r>
          </w:p>
        </w:tc>
        <w:tc>
          <w:tcPr>
            <w:tcW w:w="200" w:type="dxa"/>
            <w:vAlign w:val="bottom"/>
          </w:tcPr>
          <w:p>
            <w:pPr>
              <w:spacing w:after="0"/>
              <w:rPr>
                <w:sz w:val="16"/>
                <w:szCs w:val="16"/>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9,008,192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11,301,387</w:t>
            </w:r>
          </w:p>
        </w:tc>
        <w:tc>
          <w:tcPr>
            <w:tcW w:w="0" w:type="dxa"/>
            <w:vAlign w:val="bottom"/>
          </w:tcPr>
          <w:p>
            <w:pPr>
              <w:spacing w:after="0"/>
              <w:rPr>
                <w:sz w:val="1"/>
                <w:szCs w:val="1"/>
                <w:color w:val="auto"/>
              </w:rPr>
            </w:pPr>
          </w:p>
        </w:tc>
      </w:tr>
      <w:tr>
        <w:trPr>
          <w:trHeight w:val="415"/>
        </w:trPr>
        <w:tc>
          <w:tcPr>
            <w:tcW w:w="870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Noncontrolling interest in the Operating Partnership</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486,452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424,206</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Preferred units</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302,460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282,516</w:t>
            </w:r>
          </w:p>
        </w:tc>
        <w:tc>
          <w:tcPr>
            <w:tcW w:w="0" w:type="dxa"/>
            <w:vAlign w:val="bottom"/>
          </w:tcPr>
          <w:p>
            <w:pPr>
              <w:spacing w:after="0"/>
              <w:rPr>
                <w:sz w:val="1"/>
                <w:szCs w:val="1"/>
                <w:color w:val="auto"/>
              </w:rPr>
            </w:pPr>
          </w:p>
        </w:tc>
      </w:tr>
      <w:tr>
        <w:trPr>
          <w:trHeight w:val="415"/>
        </w:trPr>
        <w:tc>
          <w:tcPr>
            <w:tcW w:w="870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Stockholders’ equity:</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8700" w:type="dxa"/>
            <w:vAlign w:val="bottom"/>
          </w:tcPr>
          <w:p>
            <w:pPr>
              <w:spacing w:after="0" w:line="137" w:lineRule="exact"/>
              <w:rPr>
                <w:sz w:val="20"/>
                <w:szCs w:val="20"/>
                <w:color w:val="auto"/>
              </w:rPr>
            </w:pPr>
            <w:r>
              <w:rPr>
                <w:rFonts w:ascii="Arial" w:cs="Arial" w:eastAsia="Arial" w:hAnsi="Arial"/>
                <w:sz w:val="12"/>
                <w:szCs w:val="12"/>
                <w:color w:val="auto"/>
              </w:rPr>
              <w:t>Series I Preferred Stock, $0.01 par value, $25.00 liquidation preference, 9,200 issued and outstanding at both June 30, 2016 and</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00" w:type="dxa"/>
            <w:vAlign w:val="bottom"/>
          </w:tcPr>
          <w:p>
            <w:pPr>
              <w:ind w:left="120"/>
              <w:spacing w:after="0"/>
              <w:rPr>
                <w:sz w:val="20"/>
                <w:szCs w:val="20"/>
                <w:color w:val="auto"/>
              </w:rPr>
            </w:pPr>
            <w:r>
              <w:rPr>
                <w:rFonts w:ascii="Arial" w:cs="Arial" w:eastAsia="Arial" w:hAnsi="Arial"/>
                <w:sz w:val="12"/>
                <w:szCs w:val="12"/>
                <w:color w:val="auto"/>
              </w:rPr>
              <w:t>December 31, 2015</w:t>
            </w:r>
          </w:p>
        </w:tc>
        <w:tc>
          <w:tcPr>
            <w:tcW w:w="200" w:type="dxa"/>
            <w:vAlign w:val="bottom"/>
          </w:tcPr>
          <w:p>
            <w:pPr>
              <w:spacing w:after="0"/>
              <w:rPr>
                <w:sz w:val="12"/>
                <w:szCs w:val="12"/>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221,932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221,932</w:t>
            </w:r>
          </w:p>
        </w:tc>
        <w:tc>
          <w:tcPr>
            <w:tcW w:w="0" w:type="dxa"/>
            <w:vAlign w:val="bottom"/>
          </w:tcPr>
          <w:p>
            <w:pPr>
              <w:spacing w:after="0"/>
              <w:rPr>
                <w:sz w:val="1"/>
                <w:szCs w:val="1"/>
                <w:color w:val="auto"/>
              </w:rPr>
            </w:pPr>
          </w:p>
        </w:tc>
      </w:tr>
      <w:tr>
        <w:trPr>
          <w:trHeight w:val="136"/>
        </w:trPr>
        <w:tc>
          <w:tcPr>
            <w:tcW w:w="8700" w:type="dxa"/>
            <w:vAlign w:val="bottom"/>
          </w:tcPr>
          <w:p>
            <w:pPr>
              <w:spacing w:after="0" w:line="137" w:lineRule="exact"/>
              <w:rPr>
                <w:sz w:val="20"/>
                <w:szCs w:val="20"/>
                <w:color w:val="auto"/>
              </w:rPr>
            </w:pPr>
            <w:r>
              <w:rPr>
                <w:rFonts w:ascii="Arial" w:cs="Arial" w:eastAsia="Arial" w:hAnsi="Arial"/>
                <w:sz w:val="12"/>
                <w:szCs w:val="12"/>
                <w:color w:val="auto"/>
              </w:rPr>
              <w:t>Common stock, $0.01 par value 160,000 shares authorized, 100,251 and 100,063 issued and outstanding at June 30, 2016</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00" w:type="dxa"/>
            <w:vAlign w:val="bottom"/>
          </w:tcPr>
          <w:p>
            <w:pPr>
              <w:ind w:left="120"/>
              <w:spacing w:after="0"/>
              <w:rPr>
                <w:sz w:val="20"/>
                <w:szCs w:val="20"/>
                <w:color w:val="auto"/>
              </w:rPr>
            </w:pPr>
            <w:r>
              <w:rPr>
                <w:rFonts w:ascii="Arial" w:cs="Arial" w:eastAsia="Arial" w:hAnsi="Arial"/>
                <w:sz w:val="12"/>
                <w:szCs w:val="12"/>
                <w:color w:val="auto"/>
              </w:rPr>
              <w:t>and December 31, 2015, respectively (including 87 shares held in Treasury at June 30, 2016 and December 31, 2015)</w:t>
            </w:r>
          </w:p>
        </w:tc>
        <w:tc>
          <w:tcPr>
            <w:tcW w:w="200" w:type="dxa"/>
            <w:vAlign w:val="bottom"/>
          </w:tcPr>
          <w:p>
            <w:pPr>
              <w:spacing w:after="0"/>
              <w:rPr>
                <w:sz w:val="12"/>
                <w:szCs w:val="12"/>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1,003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1,001</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20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5,466,593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5,439,735</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Treasury stock at cost</w:t>
            </w:r>
          </w:p>
        </w:tc>
        <w:tc>
          <w:tcPr>
            <w:tcW w:w="20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20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(16,558)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(8,749)</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Retained earnings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1,655,320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1,643,546</w:t>
            </w:r>
          </w:p>
        </w:tc>
        <w:tc>
          <w:tcPr>
            <w:tcW w:w="0" w:type="dxa"/>
            <w:vAlign w:val="bottom"/>
          </w:tcPr>
          <w:p>
            <w:pPr>
              <w:spacing w:after="0"/>
              <w:rPr>
                <w:sz w:val="1"/>
                <w:szCs w:val="1"/>
                <w:color w:val="auto"/>
              </w:rPr>
            </w:pPr>
          </w:p>
        </w:tc>
      </w:tr>
      <w:tr>
        <w:trPr>
          <w:trHeight w:val="194"/>
        </w:trPr>
        <w:tc>
          <w:tcPr>
            <w:tcW w:w="8700" w:type="dxa"/>
            <w:vAlign w:val="bottom"/>
          </w:tcPr>
          <w:p>
            <w:pPr>
              <w:spacing w:after="0"/>
              <w:rPr>
                <w:sz w:val="20"/>
                <w:szCs w:val="20"/>
                <w:color w:val="auto"/>
              </w:rPr>
            </w:pPr>
            <w:r>
              <w:rPr>
                <w:rFonts w:ascii="Arial" w:cs="Arial" w:eastAsia="Arial" w:hAnsi="Arial"/>
                <w:sz w:val="12"/>
                <w:szCs w:val="12"/>
                <w:color w:val="auto"/>
              </w:rPr>
              <w:t>Total SL Green Realty Corp. stockholders’ equity</w:t>
            </w:r>
          </w:p>
        </w:tc>
        <w:tc>
          <w:tcPr>
            <w:tcW w:w="200" w:type="dxa"/>
            <w:vAlign w:val="bottom"/>
          </w:tcPr>
          <w:p>
            <w:pPr>
              <w:spacing w:after="0"/>
              <w:rPr>
                <w:sz w:val="16"/>
                <w:szCs w:val="16"/>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7,318,290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7,287,465</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Noncontrolling interests in other partnerships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428,829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431,852</w:t>
            </w:r>
          </w:p>
        </w:tc>
        <w:tc>
          <w:tcPr>
            <w:tcW w:w="0" w:type="dxa"/>
            <w:vAlign w:val="bottom"/>
          </w:tcPr>
          <w:p>
            <w:pPr>
              <w:spacing w:after="0"/>
              <w:rPr>
                <w:sz w:val="1"/>
                <w:szCs w:val="1"/>
                <w:color w:val="auto"/>
              </w:rPr>
            </w:pPr>
          </w:p>
        </w:tc>
      </w:tr>
      <w:tr>
        <w:trPr>
          <w:trHeight w:val="199"/>
        </w:trPr>
        <w:tc>
          <w:tcPr>
            <w:tcW w:w="8700" w:type="dxa"/>
            <w:vAlign w:val="bottom"/>
          </w:tcPr>
          <w:p>
            <w:pPr>
              <w:ind w:left="240"/>
              <w:spacing w:after="0"/>
              <w:rPr>
                <w:sz w:val="20"/>
                <w:szCs w:val="20"/>
                <w:color w:val="auto"/>
              </w:rPr>
            </w:pPr>
            <w:r>
              <w:rPr>
                <w:rFonts w:ascii="Arial" w:cs="Arial" w:eastAsia="Arial" w:hAnsi="Arial"/>
                <w:sz w:val="12"/>
                <w:szCs w:val="12"/>
                <w:color w:val="auto"/>
              </w:rPr>
              <w:t>Total equity</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7,747,119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7,719,317</w:t>
            </w:r>
          </w:p>
        </w:tc>
        <w:tc>
          <w:tcPr>
            <w:tcW w:w="0" w:type="dxa"/>
            <w:vAlign w:val="bottom"/>
          </w:tcPr>
          <w:p>
            <w:pPr>
              <w:spacing w:after="0"/>
              <w:rPr>
                <w:sz w:val="1"/>
                <w:szCs w:val="1"/>
                <w:color w:val="auto"/>
              </w:rPr>
            </w:pPr>
          </w:p>
        </w:tc>
      </w:tr>
      <w:tr>
        <w:trPr>
          <w:trHeight w:val="193"/>
        </w:trPr>
        <w:tc>
          <w:tcPr>
            <w:tcW w:w="8700" w:type="dxa"/>
            <w:vAlign w:val="bottom"/>
          </w:tcPr>
          <w:p>
            <w:pPr>
              <w:spacing w:after="0"/>
              <w:rPr>
                <w:sz w:val="20"/>
                <w:szCs w:val="20"/>
                <w:color w:val="auto"/>
              </w:rPr>
            </w:pPr>
            <w:r>
              <w:rPr>
                <w:rFonts w:ascii="Arial" w:cs="Arial" w:eastAsia="Arial" w:hAnsi="Arial"/>
                <w:sz w:val="12"/>
                <w:szCs w:val="12"/>
                <w:color w:val="auto"/>
              </w:rPr>
              <w:t>Total liabilities and equity</w:t>
            </w: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17,544,223</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19,727,426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22" w:right="2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RECONCILIATION OF NON-GAAP FINANCIAL MEASURES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 and in thousands,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13"/>
                <w:szCs w:val="13"/>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w w:val="83"/>
              </w:rPr>
              <w:t>June 30,</w:t>
            </w:r>
          </w:p>
        </w:tc>
        <w:tc>
          <w:tcPr>
            <w:tcW w:w="700" w:type="dxa"/>
            <w:vAlign w:val="bottom"/>
            <w:tcBorders>
              <w:bottom w:val="single" w:sz="8" w:color="auto"/>
            </w:tcBorders>
          </w:tcPr>
          <w:p>
            <w:pPr>
              <w:spacing w:after="0"/>
              <w:rPr>
                <w:sz w:val="19"/>
                <w:szCs w:val="19"/>
                <w:color w:val="auto"/>
              </w:rPr>
            </w:pPr>
          </w:p>
        </w:tc>
      </w:tr>
      <w:tr>
        <w:trPr>
          <w:trHeight w:val="205"/>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89"/>
              </w:rPr>
              <w:t>2015</w:t>
            </w:r>
          </w:p>
        </w:tc>
      </w:tr>
      <w:tr>
        <w:trPr>
          <w:trHeight w:val="186"/>
        </w:trPr>
        <w:tc>
          <w:tcPr>
            <w:tcW w:w="8920" w:type="dxa"/>
            <w:vAlign w:val="bottom"/>
            <w:gridSpan w:val="4"/>
          </w:tcPr>
          <w:p>
            <w:pPr>
              <w:spacing w:after="0"/>
              <w:rPr>
                <w:sz w:val="20"/>
                <w:szCs w:val="20"/>
                <w:color w:val="auto"/>
              </w:rPr>
            </w:pPr>
            <w:r>
              <w:rPr>
                <w:rFonts w:ascii="Arial" w:cs="Arial" w:eastAsia="Arial" w:hAnsi="Arial"/>
                <w:sz w:val="12"/>
                <w:szCs w:val="12"/>
                <w:b w:val="1"/>
                <w:bCs w:val="1"/>
                <w:color w:val="auto"/>
              </w:rPr>
              <w:t>FFO Reconciliation:</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2"/>
        </w:trPr>
        <w:tc>
          <w:tcPr>
            <w:tcW w:w="8920" w:type="dxa"/>
            <w:vAlign w:val="bottom"/>
            <w:gridSpan w:val="4"/>
          </w:tcPr>
          <w:p>
            <w:pPr>
              <w:spacing w:after="0"/>
              <w:rPr>
                <w:sz w:val="20"/>
                <w:szCs w:val="20"/>
                <w:color w:val="auto"/>
              </w:rPr>
            </w:pPr>
            <w:r>
              <w:rPr>
                <w:rFonts w:ascii="Arial" w:cs="Arial" w:eastAsia="Arial" w:hAnsi="Arial"/>
                <w:sz w:val="12"/>
                <w:szCs w:val="12"/>
                <w:color w:val="auto"/>
              </w:rPr>
              <w:t>Net income attributable to SL Green common stockholders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133,457</w:t>
            </w:r>
          </w:p>
        </w:tc>
        <w:tc>
          <w:tcPr>
            <w:tcW w:w="76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(39,106)</w:t>
            </w:r>
          </w:p>
        </w:tc>
      </w:tr>
      <w:tr>
        <w:trPr>
          <w:trHeight w:val="195"/>
        </w:trPr>
        <w:tc>
          <w:tcPr>
            <w:tcW w:w="8920" w:type="dxa"/>
            <w:vAlign w:val="bottom"/>
            <w:gridSpan w:val="4"/>
          </w:tcPr>
          <w:p>
            <w:pPr>
              <w:spacing w:after="0"/>
              <w:rPr>
                <w:sz w:val="20"/>
                <w:szCs w:val="20"/>
                <w:color w:val="auto"/>
              </w:rPr>
            </w:pPr>
            <w:r>
              <w:rPr>
                <w:rFonts w:ascii="Arial" w:cs="Arial" w:eastAsia="Arial" w:hAnsi="Arial"/>
                <w:sz w:val="12"/>
                <w:szCs w:val="12"/>
                <w:color w:val="auto"/>
              </w:rPr>
              <w:t>Add:</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2"/>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425,042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199,565</w:t>
            </w:r>
          </w:p>
        </w:tc>
      </w:tr>
      <w:tr>
        <w:trPr>
          <w:trHeight w:val="219"/>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Joint venture depreciation and noncontrolling interest adjustments</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4,435</w:t>
            </w:r>
          </w:p>
        </w:tc>
      </w:tr>
      <w:tr>
        <w:trPr>
          <w:trHeight w:val="219"/>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Net income attributable to noncontrolling interests</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5,049</w:t>
            </w:r>
          </w:p>
        </w:tc>
      </w:tr>
      <w:tr>
        <w:trPr>
          <w:trHeight w:val="196"/>
        </w:trPr>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3"/>
              </w:rPr>
              <w:t>Less:</w:t>
            </w:r>
          </w:p>
        </w:tc>
        <w:tc>
          <w:tcPr>
            <w:tcW w:w="8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Gain on sale of real estate and discontinued operations, net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196,580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19"/>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Equity in net gain on sale of interest in unconsolidated joint venture/real estate</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33,448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769</w:t>
            </w:r>
          </w:p>
        </w:tc>
      </w:tr>
      <w:tr>
        <w:trPr>
          <w:trHeight w:val="219"/>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Depreciation on non-rental real estate assets</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500</w:t>
            </w:r>
          </w:p>
        </w:tc>
      </w:tr>
      <w:tr>
        <w:trPr>
          <w:trHeight w:val="223"/>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Depreciable real estate reserve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color w:val="auto"/>
              </w:rPr>
              <w:t>(10,387)</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r>
      <w:tr>
        <w:trPr>
          <w:trHeight w:val="171"/>
        </w:trPr>
        <w:tc>
          <w:tcPr>
            <w:tcW w:w="8920" w:type="dxa"/>
            <w:vAlign w:val="bottom"/>
            <w:gridSpan w:val="4"/>
          </w:tcPr>
          <w:p>
            <w:pPr>
              <w:spacing w:after="0"/>
              <w:rPr>
                <w:sz w:val="20"/>
                <w:szCs w:val="20"/>
                <w:color w:val="auto"/>
              </w:rPr>
            </w:pPr>
            <w:r>
              <w:rPr>
                <w:rFonts w:ascii="Arial" w:cs="Arial" w:eastAsia="Arial" w:hAnsi="Arial"/>
                <w:sz w:val="12"/>
                <w:szCs w:val="12"/>
                <w:b w:val="1"/>
                <w:bCs w:val="1"/>
                <w:color w:val="auto"/>
              </w:rPr>
              <w:t>Funds From Operations attributable to SL Green common stockholders and noncontrolling interests</w:t>
            </w:r>
          </w:p>
        </w:tc>
        <w:tc>
          <w:tcPr>
            <w:tcW w:w="280" w:type="dxa"/>
            <w:vAlign w:val="bottom"/>
          </w:tcPr>
          <w:p>
            <w:pPr>
              <w:jc w:val="right"/>
              <w:ind w:right="14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355,707</w:t>
            </w:r>
          </w:p>
        </w:tc>
        <w:tc>
          <w:tcPr>
            <w:tcW w:w="76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b w:val="1"/>
                <w:bCs w:val="1"/>
                <w:color w:val="auto"/>
              </w:rPr>
              <w:t>168,674</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86"/>
              </w:rPr>
              <w:t>SL Green's share of Unconsolidated Joint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center"/>
              <w:ind w:right="182"/>
              <w:spacing w:after="0"/>
              <w:rPr>
                <w:sz w:val="20"/>
                <w:szCs w:val="20"/>
                <w:color w:val="auto"/>
              </w:rPr>
            </w:pPr>
            <w:r>
              <w:rPr>
                <w:rFonts w:ascii="Arial" w:cs="Arial" w:eastAsia="Arial" w:hAnsi="Arial"/>
                <w:sz w:val="12"/>
                <w:szCs w:val="12"/>
                <w:b w:val="1"/>
                <w:bCs w:val="1"/>
                <w:color w:val="auto"/>
                <w:w w:val="86"/>
              </w:rPr>
              <w:t>Consolidated Properties</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242"/>
              <w:spacing w:after="0"/>
              <w:rPr>
                <w:sz w:val="20"/>
                <w:szCs w:val="20"/>
                <w:color w:val="auto"/>
              </w:rPr>
            </w:pPr>
            <w:r>
              <w:rPr>
                <w:rFonts w:ascii="Arial" w:cs="Arial" w:eastAsia="Arial" w:hAnsi="Arial"/>
                <w:sz w:val="12"/>
                <w:szCs w:val="12"/>
                <w:b w:val="1"/>
                <w:bCs w:val="1"/>
                <w:color w:val="auto"/>
                <w:w w:val="85"/>
              </w:rPr>
              <w:t>Ventures</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2"/>
                <w:szCs w:val="12"/>
                <w:b w:val="1"/>
                <w:bCs w:val="1"/>
                <w:color w:val="auto"/>
                <w:w w:val="88"/>
              </w:rPr>
              <w:t>Combined</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89"/>
              </w:rPr>
              <w:t>Three Months Ended</w:t>
            </w:r>
          </w:p>
        </w:tc>
        <w:tc>
          <w:tcPr>
            <w:tcW w:w="240" w:type="dxa"/>
            <w:vAlign w:val="bottom"/>
          </w:tcPr>
          <w:p>
            <w:pPr>
              <w:spacing w:after="0"/>
              <w:rPr>
                <w:sz w:val="16"/>
                <w:szCs w:val="16"/>
                <w:color w:val="auto"/>
              </w:rPr>
            </w:pPr>
          </w:p>
        </w:tc>
        <w:tc>
          <w:tcPr>
            <w:tcW w:w="1420" w:type="dxa"/>
            <w:vAlign w:val="bottom"/>
            <w:gridSpan w:val="3"/>
          </w:tcPr>
          <w:p>
            <w:pPr>
              <w:jc w:val="center"/>
              <w:ind w:left="222"/>
              <w:spacing w:after="0"/>
              <w:rPr>
                <w:sz w:val="20"/>
                <w:szCs w:val="20"/>
                <w:color w:val="auto"/>
              </w:rPr>
            </w:pPr>
            <w:r>
              <w:rPr>
                <w:rFonts w:ascii="Arial" w:cs="Arial" w:eastAsia="Arial" w:hAnsi="Arial"/>
                <w:sz w:val="12"/>
                <w:szCs w:val="12"/>
                <w:b w:val="1"/>
                <w:bCs w:val="1"/>
                <w:color w:val="auto"/>
                <w:w w:val="89"/>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4"/>
          </w:tcPr>
          <w:p>
            <w:pPr>
              <w:jc w:val="center"/>
              <w:ind w:right="142"/>
              <w:spacing w:after="0"/>
              <w:rPr>
                <w:sz w:val="20"/>
                <w:szCs w:val="20"/>
                <w:color w:val="auto"/>
              </w:rPr>
            </w:pPr>
            <w:r>
              <w:rPr>
                <w:rFonts w:ascii="Arial" w:cs="Arial" w:eastAsia="Arial" w:hAnsi="Arial"/>
                <w:sz w:val="12"/>
                <w:szCs w:val="12"/>
                <w:b w:val="1"/>
                <w:bCs w:val="1"/>
                <w:color w:val="auto"/>
                <w:w w:val="89"/>
              </w:rPr>
              <w:t>Three Months Ended</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2"/>
                <w:szCs w:val="12"/>
                <w:b w:val="1"/>
                <w:bCs w:val="1"/>
                <w:color w:val="auto"/>
                <w:w w:val="87"/>
              </w:rPr>
              <w:t>June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242"/>
              <w:spacing w:after="0"/>
              <w:rPr>
                <w:sz w:val="20"/>
                <w:szCs w:val="20"/>
                <w:color w:val="auto"/>
              </w:rPr>
            </w:pPr>
            <w:r>
              <w:rPr>
                <w:rFonts w:ascii="Arial" w:cs="Arial" w:eastAsia="Arial" w:hAnsi="Arial"/>
                <w:sz w:val="12"/>
                <w:szCs w:val="12"/>
                <w:b w:val="1"/>
                <w:bCs w:val="1"/>
                <w:color w:val="auto"/>
                <w:w w:val="83"/>
              </w:rPr>
              <w:t>June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2"/>
                <w:szCs w:val="12"/>
                <w:b w:val="1"/>
                <w:bCs w:val="1"/>
                <w:color w:val="auto"/>
                <w:w w:val="83"/>
              </w:rPr>
              <w:t>June 30,</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Operating income and Same-store NOI Reconciliation:</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62"/>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42"/>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5"/>
                <w:szCs w:val="15"/>
                <w:color w:val="auto"/>
              </w:rPr>
            </w:pPr>
          </w:p>
        </w:tc>
        <w:tc>
          <w:tcPr>
            <w:tcW w:w="1000" w:type="dxa"/>
            <w:vAlign w:val="bottom"/>
            <w:gridSpan w:val="2"/>
          </w:tcPr>
          <w:p>
            <w:pPr>
              <w:jc w:val="right"/>
              <w:ind w:right="322"/>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42"/>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342"/>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2"/>
                <w:szCs w:val="12"/>
                <w:color w:val="auto"/>
              </w:rPr>
              <w:t>Income from continuing operations before equity in net income from</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6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680" w:type="dxa"/>
            <w:vAlign w:val="bottom"/>
            <w:gridSpan w:val="2"/>
          </w:tcPr>
          <w:p>
            <w:pPr>
              <w:ind w:left="240"/>
              <w:spacing w:after="0" w:line="121" w:lineRule="exact"/>
              <w:rPr>
                <w:sz w:val="20"/>
                <w:szCs w:val="20"/>
                <w:color w:val="auto"/>
              </w:rPr>
            </w:pPr>
            <w:r>
              <w:rPr>
                <w:rFonts w:ascii="Arial" w:cs="Arial" w:eastAsia="Arial" w:hAnsi="Arial"/>
                <w:sz w:val="12"/>
                <w:szCs w:val="12"/>
                <w:color w:val="auto"/>
              </w:rPr>
              <w:t>unconsolidated joint ventures, equity in net gain on sale of interest</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680" w:type="dxa"/>
            <w:vAlign w:val="bottom"/>
            <w:gridSpan w:val="2"/>
          </w:tcPr>
          <w:p>
            <w:pPr>
              <w:ind w:left="240"/>
              <w:spacing w:after="0" w:line="121" w:lineRule="exact"/>
              <w:rPr>
                <w:sz w:val="20"/>
                <w:szCs w:val="20"/>
                <w:color w:val="auto"/>
              </w:rPr>
            </w:pPr>
            <w:r>
              <w:rPr>
                <w:rFonts w:ascii="Arial" w:cs="Arial" w:eastAsia="Arial" w:hAnsi="Arial"/>
                <w:sz w:val="12"/>
                <w:szCs w:val="12"/>
                <w:color w:val="auto"/>
              </w:rPr>
              <w:t>in unconsolidated joint venture/real estate, purchase price fair</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680" w:type="dxa"/>
            <w:vAlign w:val="bottom"/>
            <w:gridSpan w:val="2"/>
          </w:tcPr>
          <w:p>
            <w:pPr>
              <w:ind w:left="240"/>
              <w:spacing w:after="0" w:line="121" w:lineRule="exact"/>
              <w:rPr>
                <w:sz w:val="20"/>
                <w:szCs w:val="20"/>
                <w:color w:val="auto"/>
              </w:rPr>
            </w:pPr>
            <w:r>
              <w:rPr>
                <w:rFonts w:ascii="Arial" w:cs="Arial" w:eastAsia="Arial" w:hAnsi="Arial"/>
                <w:sz w:val="12"/>
                <w:szCs w:val="12"/>
                <w:color w:val="auto"/>
              </w:rPr>
              <w:t>value adjustment, gain on sale of real estate, depreciable real estate</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gridSpan w:val="2"/>
          </w:tcPr>
          <w:p>
            <w:pPr>
              <w:ind w:left="240"/>
              <w:spacing w:after="0"/>
              <w:rPr>
                <w:sz w:val="20"/>
                <w:szCs w:val="20"/>
                <w:color w:val="auto"/>
              </w:rPr>
            </w:pPr>
            <w:r>
              <w:rPr>
                <w:rFonts w:ascii="Arial" w:cs="Arial" w:eastAsia="Arial" w:hAnsi="Arial"/>
                <w:sz w:val="12"/>
                <w:szCs w:val="12"/>
                <w:color w:val="auto"/>
              </w:rPr>
              <w:t>reserves and loss on early extinguishment of debt</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(76,304)</w:t>
            </w:r>
          </w:p>
        </w:tc>
        <w:tc>
          <w:tcPr>
            <w:tcW w:w="120" w:type="dxa"/>
            <w:vAlign w:val="bottom"/>
          </w:tcPr>
          <w:p>
            <w:pPr>
              <w:spacing w:after="0"/>
              <w:rPr>
                <w:sz w:val="12"/>
                <w:szCs w:val="12"/>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(32,942)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4"/>
        </w:trPr>
        <w:tc>
          <w:tcPr>
            <w:tcW w:w="4680" w:type="dxa"/>
            <w:vAlign w:val="bottom"/>
            <w:gridSpan w:val="2"/>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6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5,841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2,994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5,841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2,994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425,042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199,565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14,910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15,494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Interest expense, net of interest income</w:t>
            </w:r>
          </w:p>
        </w:tc>
        <w:tc>
          <w:tcPr>
            <w:tcW w:w="26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89,089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75,746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17,391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18,259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Amortization of deferred financing costs</w:t>
            </w:r>
          </w:p>
        </w:tc>
        <w:tc>
          <w:tcPr>
            <w:tcW w:w="26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7,433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5,952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2,136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1,344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2"/>
                <w:szCs w:val="12"/>
                <w:color w:val="auto"/>
              </w:rPr>
              <w:t>Loss on early extinguishment of debt</w:t>
            </w:r>
          </w:p>
        </w:tc>
        <w:tc>
          <w:tcPr>
            <w:tcW w:w="2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Operating income</w:t>
            </w: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451,101</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251,315</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40,278</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38,091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680" w:type="dxa"/>
            <w:vAlign w:val="bottom"/>
            <w:gridSpan w:val="2"/>
          </w:tcPr>
          <w:p>
            <w:pPr>
              <w:spacing w:after="0"/>
              <w:rPr>
                <w:sz w:val="20"/>
                <w:szCs w:val="20"/>
                <w:color w:val="auto"/>
              </w:rPr>
            </w:pPr>
            <w:r>
              <w:rPr>
                <w:rFonts w:ascii="Arial" w:cs="Arial" w:eastAsia="Arial" w:hAnsi="Arial"/>
                <w:sz w:val="12"/>
                <w:szCs w:val="12"/>
                <w:color w:val="auto"/>
              </w:rPr>
              <w:t>Marketing, general and administrative expense</w:t>
            </w:r>
          </w:p>
        </w:tc>
        <w:tc>
          <w:tcPr>
            <w:tcW w:w="26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24,484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23,200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Net operating income from discontinued operations</w:t>
            </w:r>
          </w:p>
        </w:tc>
        <w:tc>
          <w:tcPr>
            <w:tcW w:w="2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Transaction related costs, net</w:t>
            </w:r>
          </w:p>
        </w:tc>
        <w:tc>
          <w:tcPr>
            <w:tcW w:w="26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2,115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3,067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Non-building revenue</w:t>
            </w:r>
          </w:p>
        </w:tc>
        <w:tc>
          <w:tcPr>
            <w:tcW w:w="26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(43,208)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(47,353)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6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(5,841)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(2,994)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2"/>
                <w:szCs w:val="12"/>
                <w:color w:val="auto"/>
              </w:rPr>
              <w:t>Loss on early extinguishment of debt</w:t>
            </w:r>
          </w:p>
        </w:tc>
        <w:tc>
          <w:tcPr>
            <w:tcW w:w="2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Net operating income (NOI)</w:t>
            </w:r>
          </w:p>
        </w:tc>
        <w:tc>
          <w:tcPr>
            <w:tcW w:w="260" w:type="dxa"/>
            <w:vAlign w:val="bottom"/>
            <w:tcBorders>
              <w:top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428,651</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ind w:right="142"/>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227,235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40,259</w:t>
            </w: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36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38,640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468,910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b w:val="1"/>
                <w:bCs w:val="1"/>
                <w:color w:val="auto"/>
              </w:rPr>
              <w:t>265,875</w:t>
            </w:r>
          </w:p>
        </w:tc>
        <w:tc>
          <w:tcPr>
            <w:tcW w:w="0" w:type="dxa"/>
            <w:vAlign w:val="bottom"/>
          </w:tcPr>
          <w:p>
            <w:pPr>
              <w:spacing w:after="0"/>
              <w:rPr>
                <w:sz w:val="1"/>
                <w:szCs w:val="1"/>
                <w:color w:val="auto"/>
              </w:rPr>
            </w:pPr>
          </w:p>
        </w:tc>
      </w:tr>
      <w:tr>
        <w:trPr>
          <w:trHeight w:val="590"/>
        </w:trPr>
        <w:tc>
          <w:tcPr>
            <w:tcW w:w="4680" w:type="dxa"/>
            <w:vAlign w:val="bottom"/>
            <w:gridSpan w:val="2"/>
          </w:tcPr>
          <w:p>
            <w:pPr>
              <w:spacing w:after="0"/>
              <w:rPr>
                <w:sz w:val="20"/>
                <w:szCs w:val="20"/>
                <w:color w:val="auto"/>
              </w:rPr>
            </w:pPr>
            <w:r>
              <w:rPr>
                <w:rFonts w:ascii="Arial" w:cs="Arial" w:eastAsia="Arial" w:hAnsi="Arial"/>
                <w:sz w:val="12"/>
                <w:szCs w:val="12"/>
                <w:color w:val="auto"/>
              </w:rPr>
              <w:t>NOI from discontinued operations</w:t>
            </w:r>
          </w:p>
        </w:tc>
        <w:tc>
          <w:tcPr>
            <w:tcW w:w="2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4"/>
                <w:szCs w:val="2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2"/>
                <w:szCs w:val="12"/>
                <w:color w:val="auto"/>
              </w:rPr>
              <w:t>NOI from other properties/affiliates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(250,512)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(45,719)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(18,420)</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93"/>
              </w:rPr>
              <w:t>(18,261)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(268,932)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(63,980)</w:t>
            </w:r>
          </w:p>
        </w:tc>
        <w:tc>
          <w:tcPr>
            <w:tcW w:w="0" w:type="dxa"/>
            <w:vAlign w:val="bottom"/>
          </w:tcPr>
          <w:p>
            <w:pPr>
              <w:spacing w:after="0"/>
              <w:rPr>
                <w:sz w:val="1"/>
                <w:szCs w:val="1"/>
                <w:color w:val="auto"/>
              </w:rPr>
            </w:pPr>
          </w:p>
        </w:tc>
      </w:tr>
      <w:tr>
        <w:trPr>
          <w:trHeight w:val="193"/>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Same-Store NOI</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178,139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181,516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21,839</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20,379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199,978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201,895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680" w:type="dxa"/>
            <w:vAlign w:val="bottom"/>
            <w:gridSpan w:val="2"/>
          </w:tcPr>
          <w:p>
            <w:pPr>
              <w:spacing w:after="0"/>
              <w:rPr>
                <w:sz w:val="20"/>
                <w:szCs w:val="20"/>
                <w:color w:val="auto"/>
              </w:rPr>
            </w:pPr>
            <w:r>
              <w:rPr>
                <w:rFonts w:ascii="Arial" w:cs="Arial" w:eastAsia="Arial" w:hAnsi="Arial"/>
                <w:sz w:val="12"/>
                <w:szCs w:val="12"/>
                <w:color w:val="auto"/>
              </w:rPr>
              <w:t>Ground lease straight-line adjustment</w:t>
            </w:r>
          </w:p>
        </w:tc>
        <w:tc>
          <w:tcPr>
            <w:tcW w:w="26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467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472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467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437"/>
        </w:trPr>
        <w:tc>
          <w:tcPr>
            <w:tcW w:w="4680" w:type="dxa"/>
            <w:vAlign w:val="bottom"/>
            <w:gridSpan w:val="2"/>
          </w:tcPr>
          <w:p>
            <w:pPr>
              <w:spacing w:after="0"/>
              <w:rPr>
                <w:sz w:val="20"/>
                <w:szCs w:val="20"/>
                <w:color w:val="auto"/>
              </w:rPr>
            </w:pPr>
            <w:r>
              <w:rPr>
                <w:rFonts w:ascii="Arial" w:cs="Arial" w:eastAsia="Arial" w:hAnsi="Arial"/>
                <w:sz w:val="12"/>
                <w:szCs w:val="12"/>
                <w:color w:val="auto"/>
              </w:rPr>
              <w:t>Straight-line and free rent</w:t>
            </w:r>
          </w:p>
        </w:tc>
        <w:tc>
          <w:tcPr>
            <w:tcW w:w="2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(8,544)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(20,317)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(1,589)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(1,777)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color w:val="auto"/>
              </w:rPr>
              <w:t>(10,133)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(22,094)</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2"/>
                <w:szCs w:val="12"/>
                <w:color w:val="auto"/>
              </w:rPr>
              <w:t>Rental income - FAS 141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(3,792)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(4,996)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(391)</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(4,183)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(5,435)</w:t>
            </w:r>
          </w:p>
        </w:tc>
        <w:tc>
          <w:tcPr>
            <w:tcW w:w="0" w:type="dxa"/>
            <w:vAlign w:val="bottom"/>
          </w:tcPr>
          <w:p>
            <w:pPr>
              <w:spacing w:after="0"/>
              <w:rPr>
                <w:sz w:val="1"/>
                <w:szCs w:val="1"/>
                <w:color w:val="auto"/>
              </w:rPr>
            </w:pPr>
          </w:p>
        </w:tc>
      </w:tr>
      <w:tr>
        <w:trPr>
          <w:trHeight w:val="193"/>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Same-store cash NOI</w:t>
            </w: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166,270</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156,675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19,859</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18,163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186,129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174,838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22" w:right="2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RECONCILIATION OF NON-GAAP FINANCIAL MEASURES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 and in thousands,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Six Months Ended</w:t>
            </w:r>
          </w:p>
        </w:tc>
        <w:tc>
          <w:tcPr>
            <w:tcW w:w="740" w:type="dxa"/>
            <w:vAlign w:val="bottom"/>
          </w:tcPr>
          <w:p>
            <w:pPr>
              <w:spacing w:after="0"/>
              <w:rPr>
                <w:sz w:val="13"/>
                <w:szCs w:val="13"/>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w w:val="83"/>
              </w:rPr>
              <w:t>June 30,</w:t>
            </w:r>
          </w:p>
        </w:tc>
        <w:tc>
          <w:tcPr>
            <w:tcW w:w="740" w:type="dxa"/>
            <w:vAlign w:val="bottom"/>
            <w:tcBorders>
              <w:bottom w:val="single" w:sz="8" w:color="auto"/>
            </w:tcBorders>
          </w:tcPr>
          <w:p>
            <w:pPr>
              <w:spacing w:after="0"/>
              <w:rPr>
                <w:sz w:val="19"/>
                <w:szCs w:val="19"/>
                <w:color w:val="auto"/>
              </w:rPr>
            </w:pPr>
          </w:p>
        </w:tc>
      </w:tr>
      <w:tr>
        <w:trPr>
          <w:trHeight w:val="205"/>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2015</w:t>
            </w:r>
          </w:p>
        </w:tc>
      </w:tr>
      <w:tr>
        <w:trPr>
          <w:trHeight w:val="186"/>
        </w:trPr>
        <w:tc>
          <w:tcPr>
            <w:tcW w:w="8920" w:type="dxa"/>
            <w:vAlign w:val="bottom"/>
            <w:gridSpan w:val="4"/>
          </w:tcPr>
          <w:p>
            <w:pPr>
              <w:spacing w:after="0"/>
              <w:rPr>
                <w:sz w:val="20"/>
                <w:szCs w:val="20"/>
                <w:color w:val="auto"/>
              </w:rPr>
            </w:pPr>
            <w:r>
              <w:rPr>
                <w:rFonts w:ascii="Arial" w:cs="Arial" w:eastAsia="Arial" w:hAnsi="Arial"/>
                <w:sz w:val="12"/>
                <w:szCs w:val="12"/>
                <w:b w:val="1"/>
                <w:bCs w:val="1"/>
                <w:color w:val="auto"/>
              </w:rPr>
              <w:t>FFO Reconciliation:</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8920" w:type="dxa"/>
            <w:vAlign w:val="bottom"/>
            <w:gridSpan w:val="4"/>
          </w:tcPr>
          <w:p>
            <w:pPr>
              <w:spacing w:after="0"/>
              <w:rPr>
                <w:sz w:val="20"/>
                <w:szCs w:val="20"/>
                <w:color w:val="auto"/>
              </w:rPr>
            </w:pPr>
            <w:r>
              <w:rPr>
                <w:rFonts w:ascii="Arial" w:cs="Arial" w:eastAsia="Arial" w:hAnsi="Arial"/>
                <w:sz w:val="12"/>
                <w:szCs w:val="12"/>
                <w:color w:val="auto"/>
              </w:rPr>
              <w:t>Net income attributable to SL Green common stockholders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156,678</w:t>
            </w:r>
          </w:p>
        </w:tc>
        <w:tc>
          <w:tcPr>
            <w:tcW w:w="7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4,171</w:t>
            </w:r>
          </w:p>
        </w:tc>
      </w:tr>
      <w:tr>
        <w:trPr>
          <w:trHeight w:val="195"/>
        </w:trPr>
        <w:tc>
          <w:tcPr>
            <w:tcW w:w="8920" w:type="dxa"/>
            <w:vAlign w:val="bottom"/>
            <w:gridSpan w:val="4"/>
          </w:tcPr>
          <w:p>
            <w:pPr>
              <w:spacing w:after="0"/>
              <w:rPr>
                <w:sz w:val="20"/>
                <w:szCs w:val="20"/>
                <w:color w:val="auto"/>
              </w:rPr>
            </w:pPr>
            <w:r>
              <w:rPr>
                <w:rFonts w:ascii="Arial" w:cs="Arial" w:eastAsia="Arial" w:hAnsi="Arial"/>
                <w:sz w:val="12"/>
                <w:szCs w:val="12"/>
                <w:color w:val="auto"/>
              </w:rPr>
              <w:t>Add:</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604,350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307,902</w:t>
            </w:r>
          </w:p>
        </w:tc>
      </w:tr>
      <w:tr>
        <w:trPr>
          <w:trHeight w:val="219"/>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Joint venture depreciation and noncontrolling interest adjustments</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13,057</w:t>
            </w:r>
          </w:p>
        </w:tc>
      </w:tr>
      <w:tr>
        <w:trPr>
          <w:trHeight w:val="219"/>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Net income attributable to noncontrolling interests</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11,917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12,719</w:t>
            </w:r>
          </w:p>
        </w:tc>
      </w:tr>
      <w:tr>
        <w:trPr>
          <w:trHeight w:val="196"/>
        </w:trPr>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3"/>
              </w:rPr>
              <w:t>Less:</w:t>
            </w:r>
          </w:p>
        </w:tc>
        <w:tc>
          <w:tcPr>
            <w:tcW w:w="8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2"/>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Gain on sale of real estate and discontinued operations, net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210,353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12,983</w:t>
            </w:r>
          </w:p>
        </w:tc>
      </w:tr>
      <w:tr>
        <w:trPr>
          <w:trHeight w:val="219"/>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Equity in net gain on sale of interest in unconsolidated joint venture/real estate</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769</w:t>
            </w:r>
          </w:p>
        </w:tc>
      </w:tr>
      <w:tr>
        <w:trPr>
          <w:trHeight w:val="219"/>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Depreciation on non-rental real estate assets</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1,025</w:t>
            </w:r>
          </w:p>
        </w:tc>
      </w:tr>
      <w:tr>
        <w:trPr>
          <w:trHeight w:val="223"/>
        </w:trPr>
        <w:tc>
          <w:tcPr>
            <w:tcW w:w="8920" w:type="dxa"/>
            <w:vAlign w:val="bottom"/>
            <w:gridSpan w:val="4"/>
          </w:tcPr>
          <w:p>
            <w:pPr>
              <w:ind w:left="120"/>
              <w:spacing w:after="0"/>
              <w:rPr>
                <w:sz w:val="20"/>
                <w:szCs w:val="20"/>
                <w:color w:val="auto"/>
              </w:rPr>
            </w:pPr>
            <w:r>
              <w:rPr>
                <w:rFonts w:ascii="Arial" w:cs="Arial" w:eastAsia="Arial" w:hAnsi="Arial"/>
                <w:sz w:val="12"/>
                <w:szCs w:val="12"/>
                <w:color w:val="auto"/>
              </w:rPr>
              <w:t>Depreciable real estate reserve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color w:val="auto"/>
              </w:rPr>
              <w:t>(10,387)</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r>
      <w:tr>
        <w:trPr>
          <w:trHeight w:val="193"/>
        </w:trPr>
        <w:tc>
          <w:tcPr>
            <w:tcW w:w="8920" w:type="dxa"/>
            <w:vAlign w:val="bottom"/>
            <w:gridSpan w:val="4"/>
          </w:tcPr>
          <w:p>
            <w:pPr>
              <w:spacing w:after="0"/>
              <w:rPr>
                <w:sz w:val="20"/>
                <w:szCs w:val="20"/>
                <w:color w:val="auto"/>
              </w:rPr>
            </w:pPr>
            <w:r>
              <w:rPr>
                <w:rFonts w:ascii="Arial" w:cs="Arial" w:eastAsia="Arial" w:hAnsi="Arial"/>
                <w:sz w:val="12"/>
                <w:szCs w:val="12"/>
                <w:b w:val="1"/>
                <w:bCs w:val="1"/>
                <w:color w:val="auto"/>
              </w:rPr>
              <w:t>Funds From Operations attributable to SL Green common stockholders and noncontrolling interests</w:t>
            </w:r>
          </w:p>
        </w:tc>
        <w:tc>
          <w:tcPr>
            <w:tcW w:w="280" w:type="dxa"/>
            <w:vAlign w:val="bottom"/>
          </w:tcPr>
          <w:p>
            <w:pPr>
              <w:jc w:val="right"/>
              <w:ind w:right="14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547,462</w:t>
            </w:r>
          </w:p>
        </w:tc>
        <w:tc>
          <w:tcPr>
            <w:tcW w:w="7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b w:val="1"/>
                <w:bCs w:val="1"/>
                <w:color w:val="auto"/>
              </w:rPr>
              <w:t>323,072</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86"/>
              </w:rPr>
              <w:t>SL Green's share of Unconsolidated Joint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center"/>
              <w:ind w:right="182"/>
              <w:spacing w:after="0"/>
              <w:rPr>
                <w:sz w:val="20"/>
                <w:szCs w:val="20"/>
                <w:color w:val="auto"/>
              </w:rPr>
            </w:pPr>
            <w:r>
              <w:rPr>
                <w:rFonts w:ascii="Arial" w:cs="Arial" w:eastAsia="Arial" w:hAnsi="Arial"/>
                <w:sz w:val="12"/>
                <w:szCs w:val="12"/>
                <w:b w:val="1"/>
                <w:bCs w:val="1"/>
                <w:color w:val="auto"/>
                <w:w w:val="86"/>
              </w:rPr>
              <w:t>Consolidated Properties</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282"/>
              <w:spacing w:after="0"/>
              <w:rPr>
                <w:sz w:val="20"/>
                <w:szCs w:val="20"/>
                <w:color w:val="auto"/>
              </w:rPr>
            </w:pPr>
            <w:r>
              <w:rPr>
                <w:rFonts w:ascii="Arial" w:cs="Arial" w:eastAsia="Arial" w:hAnsi="Arial"/>
                <w:sz w:val="12"/>
                <w:szCs w:val="12"/>
                <w:b w:val="1"/>
                <w:bCs w:val="1"/>
                <w:color w:val="auto"/>
                <w:w w:val="85"/>
              </w:rPr>
              <w:t>Ventures</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2"/>
                <w:szCs w:val="12"/>
                <w:b w:val="1"/>
                <w:bCs w:val="1"/>
                <w:color w:val="auto"/>
                <w:w w:val="88"/>
              </w:rPr>
              <w:t>Combined</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8"/>
              </w:rPr>
              <w:t>Six Months Ended</w:t>
            </w:r>
          </w:p>
        </w:tc>
        <w:tc>
          <w:tcPr>
            <w:tcW w:w="240" w:type="dxa"/>
            <w:vAlign w:val="bottom"/>
          </w:tcPr>
          <w:p>
            <w:pPr>
              <w:spacing w:after="0"/>
              <w:rPr>
                <w:sz w:val="16"/>
                <w:szCs w:val="16"/>
                <w:color w:val="auto"/>
              </w:rPr>
            </w:pPr>
          </w:p>
        </w:tc>
        <w:tc>
          <w:tcPr>
            <w:tcW w:w="1380" w:type="dxa"/>
            <w:vAlign w:val="bottom"/>
            <w:gridSpan w:val="3"/>
          </w:tcPr>
          <w:p>
            <w:pPr>
              <w:jc w:val="center"/>
              <w:ind w:left="282"/>
              <w:spacing w:after="0"/>
              <w:rPr>
                <w:sz w:val="20"/>
                <w:szCs w:val="20"/>
                <w:color w:val="auto"/>
              </w:rPr>
            </w:pPr>
            <w:r>
              <w:rPr>
                <w:rFonts w:ascii="Arial" w:cs="Arial" w:eastAsia="Arial" w:hAnsi="Arial"/>
                <w:sz w:val="12"/>
                <w:szCs w:val="12"/>
                <w:b w:val="1"/>
                <w:bCs w:val="1"/>
                <w:color w:val="auto"/>
                <w:w w:val="88"/>
              </w:rPr>
              <w:t>Six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4"/>
          </w:tcPr>
          <w:p>
            <w:pPr>
              <w:jc w:val="center"/>
              <w:ind w:right="162"/>
              <w:spacing w:after="0"/>
              <w:rPr>
                <w:sz w:val="20"/>
                <w:szCs w:val="20"/>
                <w:color w:val="auto"/>
              </w:rPr>
            </w:pPr>
            <w:r>
              <w:rPr>
                <w:rFonts w:ascii="Arial" w:cs="Arial" w:eastAsia="Arial" w:hAnsi="Arial"/>
                <w:sz w:val="12"/>
                <w:szCs w:val="12"/>
                <w:b w:val="1"/>
                <w:bCs w:val="1"/>
                <w:color w:val="auto"/>
                <w:w w:val="88"/>
              </w:rPr>
              <w:t>Six Months Ended</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2"/>
                <w:szCs w:val="12"/>
                <w:b w:val="1"/>
                <w:bCs w:val="1"/>
                <w:color w:val="auto"/>
                <w:w w:val="87"/>
              </w:rPr>
              <w:t>June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282"/>
              <w:spacing w:after="0"/>
              <w:rPr>
                <w:sz w:val="20"/>
                <w:szCs w:val="20"/>
                <w:color w:val="auto"/>
              </w:rPr>
            </w:pPr>
            <w:r>
              <w:rPr>
                <w:rFonts w:ascii="Arial" w:cs="Arial" w:eastAsia="Arial" w:hAnsi="Arial"/>
                <w:sz w:val="12"/>
                <w:szCs w:val="12"/>
                <w:b w:val="1"/>
                <w:bCs w:val="1"/>
                <w:color w:val="auto"/>
                <w:w w:val="83"/>
              </w:rPr>
              <w:t>June 30,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2"/>
                <w:szCs w:val="12"/>
                <w:b w:val="1"/>
                <w:bCs w:val="1"/>
                <w:color w:val="auto"/>
                <w:w w:val="83"/>
              </w:rPr>
              <w:t>June 30,</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Operating income and Same-store NOI Reconciliation:</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62"/>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42"/>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5"/>
                <w:szCs w:val="15"/>
                <w:color w:val="auto"/>
              </w:rPr>
            </w:pPr>
          </w:p>
        </w:tc>
        <w:tc>
          <w:tcPr>
            <w:tcW w:w="1000" w:type="dxa"/>
            <w:vAlign w:val="bottom"/>
            <w:gridSpan w:val="2"/>
          </w:tcPr>
          <w:p>
            <w:pPr>
              <w:jc w:val="right"/>
              <w:ind w:right="322"/>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42"/>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342"/>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2"/>
                <w:szCs w:val="12"/>
                <w:color w:val="auto"/>
              </w:rPr>
              <w:t>Income from continuing operations before equity in net income from</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6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680" w:type="dxa"/>
            <w:vAlign w:val="bottom"/>
            <w:gridSpan w:val="2"/>
          </w:tcPr>
          <w:p>
            <w:pPr>
              <w:ind w:left="240"/>
              <w:spacing w:after="0" w:line="121" w:lineRule="exact"/>
              <w:rPr>
                <w:sz w:val="20"/>
                <w:szCs w:val="20"/>
                <w:color w:val="auto"/>
              </w:rPr>
            </w:pPr>
            <w:r>
              <w:rPr>
                <w:rFonts w:ascii="Arial" w:cs="Arial" w:eastAsia="Arial" w:hAnsi="Arial"/>
                <w:sz w:val="12"/>
                <w:szCs w:val="12"/>
                <w:color w:val="auto"/>
              </w:rPr>
              <w:t>unconsolidated joint ventures, equity in net gain on sale of interest</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680" w:type="dxa"/>
            <w:vAlign w:val="bottom"/>
            <w:gridSpan w:val="2"/>
          </w:tcPr>
          <w:p>
            <w:pPr>
              <w:ind w:left="240"/>
              <w:spacing w:after="0" w:line="121" w:lineRule="exact"/>
              <w:rPr>
                <w:sz w:val="20"/>
                <w:szCs w:val="20"/>
                <w:color w:val="auto"/>
              </w:rPr>
            </w:pPr>
            <w:r>
              <w:rPr>
                <w:rFonts w:ascii="Arial" w:cs="Arial" w:eastAsia="Arial" w:hAnsi="Arial"/>
                <w:sz w:val="12"/>
                <w:szCs w:val="12"/>
                <w:color w:val="auto"/>
              </w:rPr>
              <w:t>in unconsolidated joint venture/real estate, purchase price fair</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680" w:type="dxa"/>
            <w:vAlign w:val="bottom"/>
            <w:gridSpan w:val="2"/>
          </w:tcPr>
          <w:p>
            <w:pPr>
              <w:ind w:left="240"/>
              <w:spacing w:after="0" w:line="121" w:lineRule="exact"/>
              <w:rPr>
                <w:sz w:val="20"/>
                <w:szCs w:val="20"/>
                <w:color w:val="auto"/>
              </w:rPr>
            </w:pPr>
            <w:r>
              <w:rPr>
                <w:rFonts w:ascii="Arial" w:cs="Arial" w:eastAsia="Arial" w:hAnsi="Arial"/>
                <w:sz w:val="12"/>
                <w:szCs w:val="12"/>
                <w:color w:val="auto"/>
              </w:rPr>
              <w:t>value adjustment, gain on sale of real estate, depreciable real estate</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gridSpan w:val="2"/>
          </w:tcPr>
          <w:p>
            <w:pPr>
              <w:ind w:left="240"/>
              <w:spacing w:after="0"/>
              <w:rPr>
                <w:sz w:val="20"/>
                <w:szCs w:val="20"/>
                <w:color w:val="auto"/>
              </w:rPr>
            </w:pPr>
            <w:r>
              <w:rPr>
                <w:rFonts w:ascii="Arial" w:cs="Arial" w:eastAsia="Arial" w:hAnsi="Arial"/>
                <w:sz w:val="12"/>
                <w:szCs w:val="12"/>
                <w:color w:val="auto"/>
              </w:rPr>
              <w:t>reserves and loss on early extinguishment of debt</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(77,585)</w:t>
            </w:r>
          </w:p>
        </w:tc>
        <w:tc>
          <w:tcPr>
            <w:tcW w:w="120" w:type="dxa"/>
            <w:vAlign w:val="bottom"/>
          </w:tcPr>
          <w:p>
            <w:pPr>
              <w:spacing w:after="0"/>
              <w:rPr>
                <w:sz w:val="12"/>
                <w:szCs w:val="12"/>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5,303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4"/>
        </w:trPr>
        <w:tc>
          <w:tcPr>
            <w:tcW w:w="4680" w:type="dxa"/>
            <w:vAlign w:val="bottom"/>
            <w:gridSpan w:val="2"/>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6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15,937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7,024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15,937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7,024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604,350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307,902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29,813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29,354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Interest expense, net of interest income</w:t>
            </w:r>
          </w:p>
        </w:tc>
        <w:tc>
          <w:tcPr>
            <w:tcW w:w="26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183,761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151,553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34,650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33,514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Amortization of deferred financing costs</w:t>
            </w:r>
          </w:p>
        </w:tc>
        <w:tc>
          <w:tcPr>
            <w:tcW w:w="26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15,365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12,567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3,432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2,665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2"/>
                <w:szCs w:val="12"/>
                <w:color w:val="auto"/>
              </w:rPr>
              <w:t>Loss on early extinguishment of debt</w:t>
            </w:r>
          </w:p>
        </w:tc>
        <w:tc>
          <w:tcPr>
            <w:tcW w:w="2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972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Operating income</w:t>
            </w: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741,828</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484,300</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84,804</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72,964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680" w:type="dxa"/>
            <w:vAlign w:val="bottom"/>
            <w:gridSpan w:val="2"/>
          </w:tcPr>
          <w:p>
            <w:pPr>
              <w:spacing w:after="0"/>
              <w:rPr>
                <w:sz w:val="20"/>
                <w:szCs w:val="20"/>
                <w:color w:val="auto"/>
              </w:rPr>
            </w:pPr>
            <w:r>
              <w:rPr>
                <w:rFonts w:ascii="Arial" w:cs="Arial" w:eastAsia="Arial" w:hAnsi="Arial"/>
                <w:sz w:val="12"/>
                <w:szCs w:val="12"/>
                <w:color w:val="auto"/>
              </w:rPr>
              <w:t>Marketing, general and administrative expense</w:t>
            </w:r>
          </w:p>
        </w:tc>
        <w:tc>
          <w:tcPr>
            <w:tcW w:w="26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48,516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48,664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Net operating income from discontinued operations</w:t>
            </w:r>
          </w:p>
        </w:tc>
        <w:tc>
          <w:tcPr>
            <w:tcW w:w="2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427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Transaction related costs, net</w:t>
            </w:r>
          </w:p>
        </w:tc>
        <w:tc>
          <w:tcPr>
            <w:tcW w:w="26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3,394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4,210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Non-building revenue</w:t>
            </w:r>
          </w:p>
        </w:tc>
        <w:tc>
          <w:tcPr>
            <w:tcW w:w="26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(102,383)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(95,405)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1,098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6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(15,937)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(7,024)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2"/>
                <w:szCs w:val="12"/>
                <w:color w:val="auto"/>
              </w:rPr>
              <w:t>Loss on early extinguishment of debt</w:t>
            </w:r>
          </w:p>
        </w:tc>
        <w:tc>
          <w:tcPr>
            <w:tcW w:w="2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(972)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(407)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Net operating income (NOI)</w:t>
            </w:r>
          </w:p>
        </w:tc>
        <w:tc>
          <w:tcPr>
            <w:tcW w:w="260" w:type="dxa"/>
            <w:vAlign w:val="bottom"/>
            <w:tcBorders>
              <w:top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675,418</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42"/>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435,221</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84,930</w:t>
            </w:r>
          </w:p>
        </w:tc>
        <w:tc>
          <w:tcPr>
            <w:tcW w:w="120" w:type="dxa"/>
            <w:vAlign w:val="bottom"/>
          </w:tcPr>
          <w:p>
            <w:pPr>
              <w:spacing w:after="0"/>
              <w:rPr>
                <w:sz w:val="16"/>
                <w:szCs w:val="16"/>
                <w:color w:val="auto"/>
              </w:rPr>
            </w:pPr>
          </w:p>
        </w:tc>
        <w:tc>
          <w:tcPr>
            <w:tcW w:w="460" w:type="dxa"/>
            <w:vAlign w:val="bottom"/>
            <w:tcBorders>
              <w:top w:val="single" w:sz="8" w:color="auto"/>
            </w:tcBorders>
          </w:tcPr>
          <w:p>
            <w:pPr>
              <w:jc w:val="right"/>
              <w:ind w:right="322"/>
              <w:spacing w:after="0"/>
              <w:rPr>
                <w:sz w:val="20"/>
                <w:szCs w:val="20"/>
                <w:color w:val="auto"/>
              </w:rPr>
            </w:pPr>
            <w:r>
              <w:rPr>
                <w:rFonts w:ascii="Arial" w:cs="Arial" w:eastAsia="Arial" w:hAnsi="Arial"/>
                <w:sz w:val="12"/>
                <w:szCs w:val="12"/>
                <w:b w:val="1"/>
                <w:bCs w:val="1"/>
                <w:color w:val="auto"/>
                <w:w w:val="89"/>
              </w:rPr>
              <w:t>$</w:t>
            </w: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73,694</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760,348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508,915</w:t>
            </w:r>
          </w:p>
        </w:tc>
        <w:tc>
          <w:tcPr>
            <w:tcW w:w="0" w:type="dxa"/>
            <w:vAlign w:val="bottom"/>
          </w:tcPr>
          <w:p>
            <w:pPr>
              <w:spacing w:after="0"/>
              <w:rPr>
                <w:sz w:val="1"/>
                <w:szCs w:val="1"/>
                <w:color w:val="auto"/>
              </w:rPr>
            </w:pPr>
          </w:p>
        </w:tc>
      </w:tr>
      <w:tr>
        <w:trPr>
          <w:trHeight w:val="590"/>
        </w:trPr>
        <w:tc>
          <w:tcPr>
            <w:tcW w:w="4680" w:type="dxa"/>
            <w:vAlign w:val="bottom"/>
            <w:gridSpan w:val="2"/>
          </w:tcPr>
          <w:p>
            <w:pPr>
              <w:spacing w:after="0"/>
              <w:rPr>
                <w:sz w:val="20"/>
                <w:szCs w:val="20"/>
                <w:color w:val="auto"/>
              </w:rPr>
            </w:pPr>
            <w:r>
              <w:rPr>
                <w:rFonts w:ascii="Arial" w:cs="Arial" w:eastAsia="Arial" w:hAnsi="Arial"/>
                <w:sz w:val="12"/>
                <w:szCs w:val="12"/>
                <w:color w:val="auto"/>
              </w:rPr>
              <w:t>NOI from discontinued operations</w:t>
            </w:r>
          </w:p>
        </w:tc>
        <w:tc>
          <w:tcPr>
            <w:tcW w:w="2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4"/>
                <w:szCs w:val="2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2"/>
                <w:szCs w:val="12"/>
                <w:color w:val="auto"/>
              </w:rPr>
              <w:t>NOI from other properties/affiliates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(329,874)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(101,055)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(41,296)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(33,628)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(371,170)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(134,683)</w:t>
            </w:r>
          </w:p>
        </w:tc>
        <w:tc>
          <w:tcPr>
            <w:tcW w:w="0" w:type="dxa"/>
            <w:vAlign w:val="bottom"/>
          </w:tcPr>
          <w:p>
            <w:pPr>
              <w:spacing w:after="0"/>
              <w:rPr>
                <w:sz w:val="1"/>
                <w:szCs w:val="1"/>
                <w:color w:val="auto"/>
              </w:rPr>
            </w:pPr>
          </w:p>
        </w:tc>
      </w:tr>
      <w:tr>
        <w:trPr>
          <w:trHeight w:val="193"/>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Same-Store NOI</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345,544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334,166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43,634</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40,066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389,178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374,232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4680" w:type="dxa"/>
            <w:vAlign w:val="bottom"/>
            <w:gridSpan w:val="2"/>
          </w:tcPr>
          <w:p>
            <w:pPr>
              <w:spacing w:after="0"/>
              <w:rPr>
                <w:sz w:val="20"/>
                <w:szCs w:val="20"/>
                <w:color w:val="auto"/>
              </w:rPr>
            </w:pPr>
            <w:r>
              <w:rPr>
                <w:rFonts w:ascii="Arial" w:cs="Arial" w:eastAsia="Arial" w:hAnsi="Arial"/>
                <w:sz w:val="12"/>
                <w:szCs w:val="12"/>
                <w:color w:val="auto"/>
              </w:rPr>
              <w:t>Ground lease straight-line adjustment</w:t>
            </w:r>
          </w:p>
        </w:tc>
        <w:tc>
          <w:tcPr>
            <w:tcW w:w="26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935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944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935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944</w:t>
            </w:r>
          </w:p>
        </w:tc>
        <w:tc>
          <w:tcPr>
            <w:tcW w:w="0" w:type="dxa"/>
            <w:vAlign w:val="bottom"/>
          </w:tcPr>
          <w:p>
            <w:pPr>
              <w:spacing w:after="0"/>
              <w:rPr>
                <w:sz w:val="1"/>
                <w:szCs w:val="1"/>
                <w:color w:val="auto"/>
              </w:rPr>
            </w:pPr>
          </w:p>
        </w:tc>
      </w:tr>
      <w:tr>
        <w:trPr>
          <w:trHeight w:val="404"/>
        </w:trPr>
        <w:tc>
          <w:tcPr>
            <w:tcW w:w="4680" w:type="dxa"/>
            <w:vAlign w:val="bottom"/>
            <w:gridSpan w:val="2"/>
          </w:tcPr>
          <w:p>
            <w:pPr>
              <w:spacing w:after="0"/>
              <w:rPr>
                <w:sz w:val="20"/>
                <w:szCs w:val="20"/>
                <w:color w:val="auto"/>
              </w:rPr>
            </w:pPr>
            <w:r>
              <w:rPr>
                <w:rFonts w:ascii="Arial" w:cs="Arial" w:eastAsia="Arial" w:hAnsi="Arial"/>
                <w:sz w:val="12"/>
                <w:szCs w:val="12"/>
                <w:color w:val="auto"/>
              </w:rPr>
              <w:t>Straight-line and free rent</w:t>
            </w:r>
          </w:p>
        </w:tc>
        <w:tc>
          <w:tcPr>
            <w:tcW w:w="2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(16,050)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(28,974)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(3,595)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(3,218)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color w:val="auto"/>
              </w:rPr>
              <w:t>(19,645)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(32,192)</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2"/>
                <w:szCs w:val="12"/>
                <w:color w:val="auto"/>
              </w:rPr>
              <w:t>Rental income - FAS 141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(7,532)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(7,815)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(782)</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(963)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(8,314)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(8,778)</w:t>
            </w:r>
          </w:p>
        </w:tc>
        <w:tc>
          <w:tcPr>
            <w:tcW w:w="0" w:type="dxa"/>
            <w:vAlign w:val="bottom"/>
          </w:tcPr>
          <w:p>
            <w:pPr>
              <w:spacing w:after="0"/>
              <w:rPr>
                <w:sz w:val="1"/>
                <w:szCs w:val="1"/>
                <w:color w:val="auto"/>
              </w:rPr>
            </w:pPr>
          </w:p>
        </w:tc>
      </w:tr>
      <w:tr>
        <w:trPr>
          <w:trHeight w:val="193"/>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Same-store cash NOI</w:t>
            </w: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322,897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298,321</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39,257</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35,885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362,154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334,206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22" w:right="2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SELECTED OPERATING DATA-UNAUDITED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2"/>
                <w:szCs w:val="12"/>
                <w:b w:val="1"/>
                <w:bCs w:val="1"/>
                <w:color w:val="auto"/>
              </w:rPr>
              <w:t>June 30,</w:t>
            </w:r>
          </w:p>
        </w:tc>
        <w:tc>
          <w:tcPr>
            <w:tcW w:w="1300" w:type="dxa"/>
            <w:vAlign w:val="bottom"/>
            <w:tcBorders>
              <w:bottom w:val="single" w:sz="8" w:color="auto"/>
            </w:tcBorders>
          </w:tcPr>
          <w:p>
            <w:pPr>
              <w:spacing w:after="0"/>
              <w:rPr>
                <w:sz w:val="13"/>
                <w:szCs w:val="13"/>
                <w:color w:val="auto"/>
              </w:rPr>
            </w:pPr>
          </w:p>
        </w:tc>
      </w:tr>
      <w:tr>
        <w:trPr>
          <w:trHeight w:val="205"/>
        </w:trPr>
        <w:tc>
          <w:tcPr>
            <w:tcW w:w="5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2016</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2"/>
              <w:spacing w:after="0"/>
              <w:rPr>
                <w:sz w:val="20"/>
                <w:szCs w:val="20"/>
                <w:color w:val="auto"/>
              </w:rPr>
            </w:pPr>
            <w:r>
              <w:rPr>
                <w:rFonts w:ascii="Arial" w:cs="Arial" w:eastAsia="Arial" w:hAnsi="Arial"/>
                <w:sz w:val="12"/>
                <w:szCs w:val="12"/>
                <w:b w:val="1"/>
                <w:bCs w:val="1"/>
                <w:color w:val="auto"/>
              </w:rPr>
              <w:t>2015</w:t>
            </w:r>
          </w:p>
        </w:tc>
      </w:tr>
      <w:tr>
        <w:trPr>
          <w:trHeight w:val="209"/>
        </w:trPr>
        <w:tc>
          <w:tcPr>
            <w:tcW w:w="77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Manhattan Operating Data: </w:t>
            </w:r>
            <w:r>
              <w:rPr>
                <w:rFonts w:ascii="Arial" w:cs="Arial" w:eastAsia="Arial" w:hAnsi="Arial"/>
                <w:sz w:val="7"/>
                <w:szCs w:val="7"/>
                <w:color w:val="auto"/>
              </w:rPr>
              <w:t>(1)</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Net rentable area at end of period (in 000’s)</w:t>
            </w:r>
          </w:p>
        </w:tc>
        <w:tc>
          <w:tcPr>
            <w:tcW w:w="1100" w:type="dxa"/>
            <w:vAlign w:val="bottom"/>
          </w:tcPr>
          <w:p>
            <w:pPr>
              <w:spacing w:after="0"/>
              <w:rPr>
                <w:sz w:val="19"/>
                <w:szCs w:val="19"/>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22,613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22,009</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Portfolio percentage leased at end of period</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95.6%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94.9%</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Same-Store percentage leased at end of period</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96.6%</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Number of properties in operation</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31</w:t>
            </w:r>
          </w:p>
        </w:tc>
      </w:tr>
      <w:tr>
        <w:trPr>
          <w:trHeight w:val="404"/>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Office square feet where leases commenced during quarter ended (rentable)</w:t>
            </w:r>
          </w:p>
        </w:tc>
        <w:tc>
          <w:tcPr>
            <w:tcW w:w="1100" w:type="dxa"/>
            <w:vAlign w:val="bottom"/>
          </w:tcPr>
          <w:p>
            <w:pPr>
              <w:spacing w:after="0"/>
              <w:rPr>
                <w:sz w:val="24"/>
                <w:szCs w:val="24"/>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698,753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573,432</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Average mark-to-market percentage-office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16.5%</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Average starting cash rent per rentable square foot-office</w:t>
            </w:r>
          </w:p>
        </w:tc>
        <w:tc>
          <w:tcPr>
            <w:tcW w:w="1100" w:type="dxa"/>
            <w:vAlign w:val="bottom"/>
          </w:tcPr>
          <w:p>
            <w:pPr>
              <w:jc w:val="right"/>
              <w:ind w:right="96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67.55</w:t>
            </w:r>
          </w:p>
        </w:tc>
        <w:tc>
          <w:tcPr>
            <w:tcW w:w="220" w:type="dxa"/>
            <w:vAlign w:val="bottom"/>
          </w:tcPr>
          <w:p>
            <w:pPr>
              <w:spacing w:after="0"/>
              <w:rPr>
                <w:sz w:val="19"/>
                <w:szCs w:val="19"/>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61.66</w:t>
            </w:r>
          </w:p>
        </w:tc>
      </w:tr>
      <w:tr>
        <w:trPr>
          <w:trHeight w:val="317"/>
        </w:trPr>
        <w:tc>
          <w:tcPr>
            <w:tcW w:w="540" w:type="dxa"/>
            <w:vAlign w:val="bottom"/>
          </w:tcPr>
          <w:p>
            <w:pPr>
              <w:ind w:left="320"/>
              <w:spacing w:after="0"/>
              <w:rPr>
                <w:sz w:val="20"/>
                <w:szCs w:val="20"/>
                <w:color w:val="auto"/>
              </w:rPr>
            </w:pPr>
            <w:r>
              <w:rPr>
                <w:rFonts w:ascii="Arial" w:cs="Arial" w:eastAsia="Arial" w:hAnsi="Arial"/>
                <w:sz w:val="12"/>
                <w:szCs w:val="12"/>
                <w:color w:val="auto"/>
              </w:rPr>
              <w:t>(1)</w:t>
            </w:r>
          </w:p>
        </w:tc>
        <w:tc>
          <w:tcPr>
            <w:tcW w:w="7240" w:type="dxa"/>
            <w:vAlign w:val="bottom"/>
          </w:tcPr>
          <w:p>
            <w:pPr>
              <w:ind w:left="100"/>
              <w:spacing w:after="0"/>
              <w:rPr>
                <w:sz w:val="20"/>
                <w:szCs w:val="20"/>
                <w:color w:val="auto"/>
              </w:rPr>
            </w:pPr>
            <w:r>
              <w:rPr>
                <w:rFonts w:ascii="Arial" w:cs="Arial" w:eastAsia="Arial" w:hAnsi="Arial"/>
                <w:sz w:val="12"/>
                <w:szCs w:val="12"/>
                <w:color w:val="auto"/>
              </w:rPr>
              <w:t>Includes wholly-owned and joint venture properties.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40"/>
          </w:cols>
          <w:pgMar w:left="240" w:top="322" w:right="219" w:bottom="1440"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213995</wp:posOffset>
            </wp:positionV>
            <wp:extent cx="7323455" cy="566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323455" cy="5662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ind w:left="680"/>
        <w:spacing w:after="0"/>
        <w:rPr>
          <w:sz w:val="20"/>
          <w:szCs w:val="20"/>
          <w:color w:val="auto"/>
        </w:rPr>
      </w:pPr>
      <w:r>
        <w:rPr>
          <w:rFonts w:ascii="Arial" w:cs="Arial" w:eastAsia="Arial" w:hAnsi="Arial"/>
          <w:sz w:val="19"/>
          <w:szCs w:val="19"/>
          <w:b w:val="1"/>
          <w:bCs w:val="1"/>
          <w:color w:val="auto"/>
        </w:rPr>
        <w:t>KEY FINANCIAL DATA</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(Dollars in Thousands Except Per Share)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309" w:lineRule="auto"/>
        <w:rPr>
          <w:sz w:val="20"/>
          <w:szCs w:val="20"/>
          <w:color w:val="auto"/>
        </w:rPr>
      </w:pPr>
      <w:r>
        <w:rPr>
          <w:rFonts w:ascii="Arial" w:cs="Arial" w:eastAsia="Arial" w:hAnsi="Arial"/>
          <w:sz w:val="14"/>
          <w:szCs w:val="14"/>
          <w:color w:val="auto"/>
        </w:rPr>
        <w:t>SL Green Realty Corp. is a fully integrated, self-administered and self-managed Real Estate Investment Trust, or REIT, that primarily acquires, owns, manages, leases and repositions office properties in emerging, high-growth submarkets of Manhattan.</w:t>
      </w:r>
    </w:p>
    <w:p>
      <w:pPr>
        <w:spacing w:after="0" w:line="121" w:lineRule="exact"/>
        <w:rPr>
          <w:sz w:val="20"/>
          <w:szCs w:val="20"/>
          <w:color w:val="auto"/>
        </w:rPr>
      </w:pPr>
    </w:p>
    <w:p>
      <w:pPr>
        <w:ind w:left="540" w:hanging="270"/>
        <w:spacing w:after="0" w:line="251"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SL Green’s common stock is listed on the New York Stock Exchange, and trades under the symbol SLG.</w:t>
      </w:r>
    </w:p>
    <w:p>
      <w:pPr>
        <w:jc w:val="both"/>
        <w:ind w:left="540" w:hanging="270"/>
        <w:spacing w:after="0" w:line="258"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5"/>
          <w:szCs w:val="15"/>
          <w:color w:val="auto"/>
        </w:rPr>
        <w:t xml:space="preserve">SL Green maintains an internet site at </w:t>
      </w:r>
      <w:r>
        <w:rPr>
          <w:rFonts w:ascii="Arial" w:cs="Arial" w:eastAsia="Arial" w:hAnsi="Arial"/>
          <w:sz w:val="15"/>
          <w:szCs w:val="15"/>
          <w:b w:val="1"/>
          <w:bCs w:val="1"/>
          <w:color w:val="auto"/>
        </w:rPr>
        <w:t>www.slgreen.com</w:t>
      </w:r>
      <w:r>
        <w:rPr>
          <w:rFonts w:ascii="Arial" w:cs="Arial" w:eastAsia="Arial" w:hAnsi="Arial"/>
          <w:sz w:val="15"/>
          <w:szCs w:val="15"/>
          <w:color w:val="auto"/>
        </w:rPr>
        <w:t xml:space="preserve"> at which most key investor relations data pertaining to dividend declaration, payout, current and historic share price, etc. can be found. Such information is not incorporated into this supplemental financial package. This supplemental financial package is available through the Company’s internet site.</w:t>
      </w:r>
    </w:p>
    <w:p>
      <w:pPr>
        <w:spacing w:after="0" w:line="1" w:lineRule="exact"/>
        <w:rPr>
          <w:rFonts w:ascii="Arial" w:cs="Arial" w:eastAsia="Arial" w:hAnsi="Arial"/>
          <w:sz w:val="14"/>
          <w:szCs w:val="14"/>
          <w:color w:val="auto"/>
        </w:rPr>
      </w:pPr>
    </w:p>
    <w:p>
      <w:pPr>
        <w:jc w:val="both"/>
        <w:ind w:left="540" w:hanging="270"/>
        <w:spacing w:after="0" w:line="263"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5"/>
          <w:szCs w:val="15"/>
          <w:color w:val="auto"/>
        </w:rPr>
        <w:t>This data is furnished to supplement audited and unaudited regulatory filings of the Company and should be read in conjunction with those filings. The financial data herein is unaudited and is provided from the perspective of timeliness to assist readers of quarterly and annual financial filings. As such, data otherwise contained in future regulatory filings covering the same period may restate the data presented herein.</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Questions pertaining to the information contained herein should be referred to Investor Relations at investor.relations@slgreen.com or at 212-594-2700.</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Ratings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Ratings are not recommendations to buy, sell or hold the Company’s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-1029970</wp:posOffset>
            </wp:positionV>
            <wp:extent cx="6412230"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2794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-897890</wp:posOffset>
            </wp:positionV>
            <wp:extent cx="6412230" cy="43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jc w:val="both"/>
        <w:ind w:left="260"/>
        <w:spacing w:after="0" w:line="261" w:lineRule="auto"/>
        <w:rPr>
          <w:sz w:val="20"/>
          <w:szCs w:val="20"/>
          <w:color w:val="auto"/>
        </w:rPr>
      </w:pPr>
      <w:r>
        <w:rPr>
          <w:rFonts w:ascii="Arial" w:cs="Arial" w:eastAsia="Arial" w:hAnsi="Arial"/>
          <w:sz w:val="15"/>
          <w:szCs w:val="15"/>
          <w:i w:val="1"/>
          <w:iCs w:val="1"/>
          <w:color w:val="auto"/>
        </w:rPr>
        <w:t>This press release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press release that address activities, events or developments that we expect, believe or anticipate will or may occur in the future, are forward-looking statements. Forward-looking statements are not guarantees of future performance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52" w:lineRule="exact"/>
        <w:rPr>
          <w:sz w:val="20"/>
          <w:szCs w:val="20"/>
          <w:color w:val="auto"/>
        </w:rPr>
      </w:pPr>
    </w:p>
    <w:p>
      <w:pPr>
        <w:jc w:val="both"/>
        <w:ind w:left="260"/>
        <w:spacing w:after="0" w:line="264" w:lineRule="auto"/>
        <w:rPr>
          <w:sz w:val="20"/>
          <w:szCs w:val="20"/>
          <w:color w:val="auto"/>
        </w:rPr>
      </w:pPr>
      <w:r>
        <w:rPr>
          <w:rFonts w:ascii="Arial" w:cs="Arial" w:eastAsia="Arial" w:hAnsi="Arial"/>
          <w:sz w:val="15"/>
          <w:szCs w:val="15"/>
          <w:i w:val="1"/>
          <w:iCs w:val="1"/>
          <w:color w:val="auto"/>
        </w:rPr>
        <w:t>Forward-looking statements contained in this press release are subject to a number of risks and uncertainties, many of which are beyond our control, that may cause our actual results, performance or achievements to be materially different from future results, performance or achievements expressed or implied by forward-looking statements made by us. Factors and risks to our business that could cause actual results to differ from those contained in the forward-looking statements are described in our filingswiththe Securities and Exchange Commission. We undertake no obligation to publicly update or revise any forward-looking statements, whether as a result of future events, new information or otherwise.</w:t>
      </w:r>
    </w:p>
    <w:p>
      <w:pPr>
        <w:spacing w:after="0" w:line="139" w:lineRule="exact"/>
        <w:rPr>
          <w:sz w:val="20"/>
          <w:szCs w:val="20"/>
          <w:color w:val="auto"/>
        </w:rPr>
      </w:pPr>
    </w:p>
    <w:p>
      <w:pPr>
        <w:jc w:val="both"/>
        <w:ind w:left="260"/>
        <w:spacing w:after="0" w:line="251" w:lineRule="auto"/>
        <w:rPr>
          <w:sz w:val="20"/>
          <w:szCs w:val="20"/>
          <w:color w:val="auto"/>
        </w:rPr>
      </w:pPr>
      <w:r>
        <w:rPr>
          <w:rFonts w:ascii="Arial" w:cs="Arial" w:eastAsia="Arial" w:hAnsi="Arial"/>
          <w:sz w:val="16"/>
          <w:szCs w:val="16"/>
          <w:color w:val="auto"/>
        </w:rPr>
        <w:t>The following discussion related to the consolidated financial statements of the Company should be read in conjunction with the financial statements for the quarter ended June 30, 2016 that will be released on Form 10-Q to be filed on or before August 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ectPr>
          <w:pgSz w:w="11900" w:h="16838" w:orient="portrait"/>
          <w:cols w:equalWidth="0" w:num="2">
            <w:col w:w="5500" w:space="200"/>
            <w:col w:w="5760"/>
          </w:cols>
          <w:pgMar w:left="220" w:top="338"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6412230" cy="430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ectPr>
          <w:pgSz w:w="11900" w:h="16838" w:orient="portrait"/>
          <w:cols w:equalWidth="0" w:num="1">
            <w:col w:w="9559"/>
          </w:cols>
          <w:pgMar w:left="900" w:top="3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680" w:type="dxa"/>
        <w:tblCellMar>
          <w:top w:w="0" w:type="dxa"/>
          <w:left w:w="0" w:type="dxa"/>
          <w:bottom w:w="0" w:type="dxa"/>
          <w:right w:w="0" w:type="dxa"/>
        </w:tblCellMar>
      </w:tblPr>
      <w:tr>
        <w:trPr>
          <w:trHeight w:val="213"/>
        </w:trPr>
        <w:tc>
          <w:tcPr>
            <w:tcW w:w="6200" w:type="dxa"/>
            <w:vAlign w:val="bottom"/>
          </w:tcPr>
          <w:p>
            <w:pPr>
              <w:spacing w:after="0"/>
              <w:rPr>
                <w:sz w:val="20"/>
                <w:szCs w:val="20"/>
                <w:color w:val="auto"/>
              </w:rPr>
            </w:pPr>
            <w:r>
              <w:rPr>
                <w:rFonts w:ascii="Arial" w:cs="Arial" w:eastAsia="Arial" w:hAnsi="Arial"/>
                <w:sz w:val="16"/>
                <w:szCs w:val="16"/>
                <w:b w:val="1"/>
                <w:bCs w:val="1"/>
                <w:color w:val="auto"/>
              </w:rPr>
              <w:t>Highlights of Current Period Financial Performance</w:t>
            </w:r>
          </w:p>
        </w:tc>
        <w:tc>
          <w:tcPr>
            <w:tcW w:w="2340" w:type="dxa"/>
            <w:vAlign w:val="bottom"/>
          </w:tcPr>
          <w:p>
            <w:pPr>
              <w:spacing w:after="0"/>
              <w:rPr>
                <w:sz w:val="18"/>
                <w:szCs w:val="18"/>
                <w:color w:val="auto"/>
              </w:rPr>
            </w:pP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Unaudited Financial Statements</w:t>
            </w:r>
          </w:p>
        </w:tc>
        <w:tc>
          <w:tcPr>
            <w:tcW w:w="2340" w:type="dxa"/>
            <w:vAlign w:val="bottom"/>
          </w:tcPr>
          <w:p>
            <w:pPr>
              <w:spacing w:after="0"/>
              <w:rPr>
                <w:sz w:val="24"/>
                <w:szCs w:val="24"/>
                <w:color w:val="auto"/>
              </w:rPr>
            </w:pP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Corporate Profile</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89"/>
              </w:rPr>
              <w:t>4</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Highlights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9"/>
              </w:rPr>
              <w:t>5-12</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Comparative Balance Sheets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13-14</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Comparative Statements of Operations</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15</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Comparative Computation of FFO and FAD</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16</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Consolidated Statement of Equity</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17</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Joint Venture Statements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18-20</w:t>
            </w: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Selected Financial Data</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21-24</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Debt Summary Schedule</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25-27</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Summary of Ground Lease Arrangements</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28</w:t>
            </w: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Debt and Preferred Equity Investments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29-31</w:t>
            </w: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Selected Property Data</w:t>
            </w:r>
          </w:p>
        </w:tc>
        <w:tc>
          <w:tcPr>
            <w:tcW w:w="2340" w:type="dxa"/>
            <w:vAlign w:val="bottom"/>
          </w:tcPr>
          <w:p>
            <w:pPr>
              <w:spacing w:after="0"/>
              <w:rPr>
                <w:sz w:val="24"/>
                <w:szCs w:val="24"/>
                <w:color w:val="auto"/>
              </w:rPr>
            </w:pP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Composition of Property Portfolio</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32-39</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Largest Tenants</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40</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Tenant Diversification</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41</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Leasing Activity Summary</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42-45</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Annual Lease Expirations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46-48</w:t>
            </w: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Summary of Real Estate Acquisition/Disposition Activity</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49-53</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Corporate Information</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54</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Analyst Coverage</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55</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Supplemental Definitions</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559"/>
          </w:cols>
          <w:pgMar w:left="900" w:top="338" w:right="1440" w:bottom="1440" w:gutter="0" w:footer="0" w:header="0"/>
          <w:type w:val="continuous"/>
        </w:sectPr>
      </w:pPr>
    </w:p>
    <w:bookmarkStart w:id="20" w:name="page21"/>
    <w:bookmarkEnd w:id="20"/>
    <w:p>
      <w:pPr>
        <w:ind w:left="6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13335</wp:posOffset>
            </wp:positionV>
            <wp:extent cx="6412230" cy="43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SL Green Realty Corp., or the Company, is an S&amp;P 500 company and New York City's largest office landlord. The Company is a self-managed Real Estate Investment Trust, or REIT, with in-house capabilities in property management, acquisitions and dispositions, financing, development and redevelopment, construction and leasing.</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SL Green, a Maryland corporation, and SL Green Operating Partnership, L.P.,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the Service Corporation, a consolidated variable interest entity. All of the management, leasing and construction services with respect to the properties that are wholly-owned by us are conducted through SL Green Management LLC which is 100% owned by the Operating Partnership.</w:t>
      </w:r>
    </w:p>
    <w:p>
      <w:pPr>
        <w:spacing w:after="0" w:line="36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Substantially all of our assets are held by, and all of our operations are conducted through the Operating Partnership. The Company is the sole managing general partner of the Operating Partnership.</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Reckson Operating Partnership, L.P., or ROP, commenced operations in June 1995 and became a wholly-owned subsidiary of the Operating Partnership, in January 2007.</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As of June 30, 2016, the Company held interests in 150 Manhattan buildings totaling 49.6 million square feet. This included ownership interests in 28.3 million square feet of commercial buildings and debt and preferred equity investments secured by 16.7 million million square feet of buildings. In addition, the Company held ownership interests in 28 suburban buildings totaling 4.9 million million square feet in Brooklyn, Long Island, Westchester County, Connecticut and New Jersey.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60"/>
          </w:cols>
          <w:pgMar w:left="220" w:top="338" w:right="219" w:bottom="1440" w:gutter="0" w:footer="0" w:header="0"/>
        </w:sectPr>
      </w:pPr>
    </w:p>
    <w:bookmarkStart w:id="21" w:name="page22"/>
    <w:bookmarkEnd w:id="21"/>
    <w:p>
      <w:pPr>
        <w:ind w:left="6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SECOND QUARTER 2016 HIGHLIGHTS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138430</wp:posOffset>
            </wp:positionV>
            <wp:extent cx="64122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Summary</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New York, NY, July 20, 2016 - SL Green Realty Corp. (the "Company") (NYSE: SLG) today reported funds from operations, or FFO, for the quarter ended June 30, 2016 of $357.8 million, or $3.41 per share, before transaction related costs of $2.1 million, or $0.02 per share, as compared to FFO for the same period in 2015 of $171.7 million, or $1.65 per share, before transaction related costs of $3.1 million, or $0.03 per share.</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Second quarter 2016 FFO includes a lease termination fee of $94.0 million, or $0.90 per share, and a write-off of accounting related balances of $75.3 million, of $0.72 per share, related to the early lease termination and sale of 388-390 Greenwich Street to Citigroup, Inc. (“Citi”) as well as a receipts of promote income of $10.8 million, or $0.10 per share, related to the sale of 33 Beekman Street.</w:t>
      </w:r>
    </w:p>
    <w:p>
      <w:pPr>
        <w:spacing w:after="0" w:line="12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Company also reported funds from operations, or FFO, for the six month period ended June 30, 2016 of $550.9 million, or $ 5.27 per share, before transaction related costs of $3.4 million, or $0.03 per share, as compared to FFO for the same period in 2015 of $327.3 million, or $3.16 per share, before transaction related costs of $4.2 million, or $0.04 per share.</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Net income attributable to common stockholders for the quarter ended June 30, 2016 totaled $133.5 million, or $1.33 per share as compared to net loss attributable to common stockholders of $39.1 million, or $0.39 per share for the same quarter in 2015. Net income attributable to common stockholders for the quarter ended June 30, 2016 includes $230.0 million, or $2.20 per share, of net gains recognized from the sale of real estate as compared to $0.8 million, or $0.01 per share for the same quarter in 2015.</w:t>
      </w:r>
    </w:p>
    <w:p>
      <w:pPr>
        <w:spacing w:after="0" w:line="12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Net income attributable to common stockholders for the six month period ended June 30, 2016 totaled $156.7 million, or $1.56 per share as compared to net income attributable to common stockholders of $4.2 million, or $0.04 per share for the same period in 2015. Net income attributable to common stockholders for the six month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ended June 30, 2016 includes $ 253.7 million, or $2.43 per share, of net gains recognized from the sale of real estate as compared to $13.8 million, or $0.13 per share for the same period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-1039495</wp:posOffset>
            </wp:positionV>
            <wp:extent cx="1263015" cy="360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98" w:lineRule="exact"/>
        <w:rPr>
          <w:sz w:val="20"/>
          <w:szCs w:val="20"/>
          <w:color w:val="auto"/>
        </w:rPr>
      </w:pPr>
    </w:p>
    <w:p>
      <w:pPr>
        <w:ind w:right="100"/>
        <w:spacing w:after="0" w:line="413" w:lineRule="auto"/>
        <w:rPr>
          <w:sz w:val="20"/>
          <w:szCs w:val="20"/>
          <w:color w:val="auto"/>
        </w:rPr>
      </w:pPr>
      <w:r>
        <w:rPr>
          <w:rFonts w:ascii="Arial" w:cs="Arial" w:eastAsia="Arial" w:hAnsi="Arial"/>
          <w:sz w:val="16"/>
          <w:szCs w:val="16"/>
          <w:color w:val="auto"/>
        </w:rPr>
        <w:t xml:space="preserve">All per share amounts in this press release are presented on a diluted basis. </w:t>
      </w:r>
      <w:r>
        <w:rPr>
          <w:rFonts w:ascii="Arial" w:cs="Arial" w:eastAsia="Arial" w:hAnsi="Arial"/>
          <w:sz w:val="16"/>
          <w:szCs w:val="16"/>
          <w:b w:val="1"/>
          <w:bCs w:val="1"/>
          <w:u w:val="single" w:color="auto"/>
          <w:color w:val="auto"/>
        </w:rPr>
        <w:t>Operating and Leasing Activity</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For the quarter ended June 30, 2016, the Company reported consolidated revenues and operating income of $ 617.6 million and $451.1 million, respectively, compared to $409.1 million and $251.3 million, respectively, for the same period in 2015. For the six months ended June 30, 2016, the Company reported consolidated revenues and operating income of $1.1 billion and $741.8 million, respectively, compared to $805.4 million and $484.3 million, respectively, for the same period in 2015.</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Same-store cash NOI on a combined basis increased by 6.5 percent to $186.1 million for the quarter as compared to the same period in 2015. For the quarter ended June 30, 2016, consolidated property same-store cash NOI increased by 6.1 percent to $166.3 million and unconsolidated joint venture property same-store cash NOI increased by 9.3 percent to $19.9 million, as compared to the same period in 2015.</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Same-store cash NOI on a combined basis increased by 8.4 percent to $362.2 million for the six months ended June 30, 2016 as compared to the same period in 2015. For the six months ended June 30, 2016, consolidated property same-store cash NOI increased by 8.2 percent to $ 322.9 million and unconsolidated joint venture property same-store cash NOI increased by 9.4 percent to $39.3 million, as compared to the same period in 2015.</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During the second quarter, the Company signed 50 office leases in its Manhattan portfolio totaling 621,150 square feet. Eight leases comprising 35,130 square feet represented office leases that replaced previous vacancy. Forty-two leases comprising 586,020 square feet,</w:t>
      </w:r>
    </w:p>
    <w:p>
      <w:pPr>
        <w:spacing w:after="0" w:line="439" w:lineRule="exact"/>
        <w:rPr>
          <w:sz w:val="20"/>
          <w:szCs w:val="20"/>
          <w:color w:val="auto"/>
        </w:rPr>
      </w:pPr>
    </w:p>
    <w:p>
      <w:pPr>
        <w:sectPr>
          <w:pgSz w:w="11900" w:h="16838" w:orient="portrait"/>
          <w:cols w:equalWidth="0" w:num="2">
            <w:col w:w="5500" w:space="460"/>
            <w:col w:w="5500"/>
          </w:cols>
          <w:pgMar w:left="220" w:top="338" w:right="21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338" w:right="219" w:bottom="1440" w:gutter="0" w:footer="0" w:header="0"/>
          <w:type w:val="continuous"/>
        </w:sectPr>
      </w:pPr>
    </w:p>
    <w:bookmarkStart w:id="22" w:name="page23"/>
    <w:bookmarkEnd w:id="22"/>
    <w:p>
      <w:pPr>
        <w:ind w:left="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SECOND QUARTER 2016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-20320</wp:posOffset>
            </wp:positionV>
            <wp:extent cx="1263015" cy="360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138430</wp:posOffset>
            </wp:positionV>
            <wp:extent cx="64122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ectPr>
          <w:pgSz w:w="11900" w:h="16838" w:orient="portrait"/>
          <w:cols w:equalWidth="0" w:num="1">
            <w:col w:w="11460"/>
          </w:cols>
          <w:pgMar w:left="220" w:top="33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representing office leases on space that had been occupied within the prior twelve months, are considered replacement leases on which mark-to-market is calculated. Those replacement leases had average starting rents of $64.75 per rentable square foot, representing a 16.1 percent increase over the previously fully escalated rents on the same office spaces. The average lease term on the Manhattan office leases signed in the second quarter was 6.8 years and average tenant concessions were 2.3 months of free rent with a tenant improvement allowance of $25.93 per rentable square foot.</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During the first six months of 2016, the Company signed 97 office leases in its Manhattan portfolio totaling 1,470,736 square feet. Sixteen leases comprising 162,558 square feet represented office leases that replaced previous vacancy. Eighty-one leases comprising 1,308,178 square feet, representing office leases on space that had been occupied within the prior twelve months, are considered replacement leases on which mark-to-market is calculated. Those replacement leases had average starting rents of $68.33 per rentable square foot, representing a 28.5 percent increase over the previously fully escalated rents on the same office spaces. The average lease term on the Manhattan office leases signed in the first six months of 2016 was 9.6 years and average tenant concessions were 3.5 months of free rent with a tenant improvement allowance of $37.93 per rentable square foot.</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Manhattan same-store occupancy was 97.4 percent at June 30, 2016, inclusive of 194,733 square feet of leases signed but not yet commenced as compared to 97.1 percent at June 30, 2015 and 97.4 percent at March 31, 2016.</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During the second quarter, the Company signed 19 office leases in its Suburban portfolio totaling 177,684 square feet. Eight leases comprising 80,761 square feet represented office leases that replaced previous vacancy. Eleven leases comprising the remaining 96,923 square feet, representing office leases on space that had been occupied within the prior twelve months, are considered replacement leases on which mark-to-market is calculated. Those replacement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60"/>
        <w:spacing w:after="0" w:line="244" w:lineRule="auto"/>
        <w:rPr>
          <w:sz w:val="20"/>
          <w:szCs w:val="20"/>
          <w:color w:val="auto"/>
        </w:rPr>
      </w:pPr>
      <w:r>
        <w:rPr>
          <w:rFonts w:ascii="Arial" w:cs="Arial" w:eastAsia="Arial" w:hAnsi="Arial"/>
          <w:sz w:val="16"/>
          <w:szCs w:val="16"/>
          <w:color w:val="auto"/>
        </w:rPr>
        <w:t>leases had average starting rents of $40.24 per rentable square foot, representing a 2.5 percent increase over the previously fully escalated rents on the same office spaces. The average lease term on the Suburban office leases signed in the second quarter was 8.5 years and average tenant concessions were 7.2 months of free rent with a tenant improvement allowance of $33.79 per rentable square foot.</w:t>
      </w:r>
    </w:p>
    <w:p>
      <w:pPr>
        <w:spacing w:after="0" w:line="124" w:lineRule="exact"/>
        <w:rPr>
          <w:sz w:val="20"/>
          <w:szCs w:val="20"/>
          <w:color w:val="auto"/>
        </w:rPr>
      </w:pPr>
    </w:p>
    <w:p>
      <w:pPr>
        <w:jc w:val="both"/>
        <w:ind w:left="260"/>
        <w:spacing w:after="0" w:line="243" w:lineRule="auto"/>
        <w:rPr>
          <w:sz w:val="20"/>
          <w:szCs w:val="20"/>
          <w:color w:val="auto"/>
        </w:rPr>
      </w:pPr>
      <w:r>
        <w:rPr>
          <w:rFonts w:ascii="Arial" w:cs="Arial" w:eastAsia="Arial" w:hAnsi="Arial"/>
          <w:sz w:val="16"/>
          <w:szCs w:val="16"/>
          <w:color w:val="auto"/>
        </w:rPr>
        <w:t>During the first six months of 2016, the Company signed 46 office leases in its Suburban portfolio totaling 422,479 square feet. Seventeen leases comprising 142,085 square feet represented office leases that replaced previous vacancy. Twenty nine leases comprising the remaining 280,394 square feet, representing office leases on space that had been occupied within the prior twelve months, are considered replacement leases on which mark-to-market is calculated. Those replacement leases had average starting rents of $ 39.84 per rentable square foot, representing a 5.6 percent increase over the previously fully escalated rents on the same office spaces. The average lease term on the Suburban office leases signed in the first six months of 2016 was 7.1 years and average tenant concessions were 6.1 months of free rent with a tenant improvement allowance of $29.92 per rentable square foot.</w:t>
      </w:r>
    </w:p>
    <w:p>
      <w:pPr>
        <w:spacing w:after="0" w:line="125" w:lineRule="exact"/>
        <w:rPr>
          <w:sz w:val="20"/>
          <w:szCs w:val="20"/>
          <w:color w:val="auto"/>
        </w:rPr>
      </w:pPr>
    </w:p>
    <w:p>
      <w:pPr>
        <w:jc w:val="both"/>
        <w:ind w:left="260"/>
        <w:spacing w:after="0" w:line="246" w:lineRule="auto"/>
        <w:rPr>
          <w:sz w:val="20"/>
          <w:szCs w:val="20"/>
          <w:color w:val="auto"/>
        </w:rPr>
      </w:pPr>
      <w:r>
        <w:rPr>
          <w:rFonts w:ascii="Arial" w:cs="Arial" w:eastAsia="Arial" w:hAnsi="Arial"/>
          <w:sz w:val="16"/>
          <w:szCs w:val="16"/>
          <w:color w:val="auto"/>
        </w:rPr>
        <w:t>Same-store occupancy for the Company's Suburban portfolio was 83.0 percent at June 30, 2016, inclusive of 38,815 square feet of leases signed but not yet commenced as compared to 83.6 percent at June 30, 2015 and 84.0 percent at March 31, 2016.</w:t>
      </w:r>
    </w:p>
    <w:p>
      <w:pPr>
        <w:spacing w:after="0" w:line="12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Significant leases that were signed during the second quarter included:</w:t>
      </w:r>
    </w:p>
    <w:p>
      <w:pPr>
        <w:spacing w:after="0" w:line="133" w:lineRule="exact"/>
        <w:rPr>
          <w:sz w:val="20"/>
          <w:szCs w:val="20"/>
          <w:color w:val="auto"/>
        </w:rPr>
      </w:pPr>
    </w:p>
    <w:p>
      <w:pPr>
        <w:ind w:left="780" w:right="480" w:hanging="255"/>
        <w:spacing w:after="0" w:line="254"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Expansion on 204,442 square feet with Bloomberg at 919 Third Avenue;</w:t>
      </w:r>
    </w:p>
    <w:p>
      <w:pPr>
        <w:spacing w:after="0" w:line="113" w:lineRule="exact"/>
        <w:rPr>
          <w:rFonts w:ascii="Arial" w:cs="Arial" w:eastAsia="Arial" w:hAnsi="Arial"/>
          <w:sz w:val="16"/>
          <w:szCs w:val="16"/>
          <w:color w:val="auto"/>
        </w:rPr>
      </w:pPr>
    </w:p>
    <w:p>
      <w:pPr>
        <w:ind w:left="780" w:right="60" w:hanging="255"/>
        <w:spacing w:after="0" w:line="248"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Renewal and expansion on 114,709 square feet with New York Life Insurance Company at 420 Lexington Avenue, bringing the remaining lease term to 14.3 years;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6</w:t>
      </w:r>
    </w:p>
    <w:p>
      <w:pPr>
        <w:sectPr>
          <w:pgSz w:w="11900" w:h="16838" w:orient="portrait"/>
          <w:cols w:equalWidth="0" w:num="2">
            <w:col w:w="5500" w:space="200"/>
            <w:col w:w="5760"/>
          </w:cols>
          <w:pgMar w:left="220" w:top="337" w:right="219" w:bottom="1440" w:gutter="0" w:footer="0" w:header="0"/>
          <w:type w:val="continuous"/>
        </w:sectPr>
      </w:pPr>
    </w:p>
    <w:bookmarkStart w:id="23" w:name="page24"/>
    <w:bookmarkEnd w:id="23"/>
    <w:p>
      <w:pPr>
        <w:ind w:left="680"/>
        <w:spacing w:after="0"/>
        <w:rPr>
          <w:sz w:val="20"/>
          <w:szCs w:val="20"/>
          <w:color w:val="auto"/>
        </w:rPr>
      </w:pPr>
      <w:r>
        <w:rPr>
          <w:rFonts w:ascii="Arial" w:cs="Arial" w:eastAsia="Arial" w:hAnsi="Arial"/>
          <w:sz w:val="19"/>
          <w:szCs w:val="19"/>
          <w:b w:val="1"/>
          <w:bCs w:val="1"/>
          <w:color w:val="auto"/>
        </w:rPr>
        <w:t>SECOND QUARTER 2016 HIGHLIGHTS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hanging="270"/>
        <w:spacing w:after="0" w:line="248"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Renewal on 47,278 square feet with Citi at 750 Washington Boulevard in Stamford, Connecticut, bringing the remaining lease term to 11.5 years; and</w:t>
      </w:r>
    </w:p>
    <w:p>
      <w:pPr>
        <w:spacing w:after="0" w:line="118" w:lineRule="exact"/>
        <w:rPr>
          <w:rFonts w:ascii="Arial" w:cs="Arial" w:eastAsia="Arial" w:hAnsi="Arial"/>
          <w:sz w:val="16"/>
          <w:szCs w:val="16"/>
          <w:color w:val="auto"/>
        </w:rPr>
      </w:pPr>
    </w:p>
    <w:p>
      <w:pPr>
        <w:jc w:val="both"/>
        <w:ind w:left="540" w:right="40" w:hanging="270"/>
        <w:spacing w:after="0" w:line="248"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Renewal on 31,514 square feet with Morgan Stanley Smith Barney at Jericho Plaza in Jericho, New York, bringing the remaining lease term to 10.3 years.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Marketing, general and administrative, or MG&amp;A, expenses for the quarter ended June 30, 2016 were $24.5 million, or 3.6 percent of total combined revenues and an annualized 50 basis points of total combined assets.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Real Estate Investment Activity</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June, the Company closed on the previously announced sale of 388-390 Greenwich Street to an affiliate of Citigroup, Inc. ("Citi") for $2.0 billion, net of $242.5 million of unfunded tenant concessions. Separately, the Company received a $94.0 million payment from Citi for the early termination of Citi's lease at 388-390 Greenwich Street. Proceeds from the sale and the termination payment were used by the Company to repay $350.0 million of its corporate credit facility and retire the $1.45 billion mortgage on the property, resulting in reduction of Company indebtedness of approximately $1.8 billion. The Company recognized a gain on sale of $206.5 million.</w:t>
      </w:r>
    </w:p>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May, the Company and its joint venture partner, the Naftali Group, closed on the previously announced sale of the Pace University dormitory tower at 33 Beekman Street for a gross sale price of $196.0 million or approximately $1,199 per square foot. The Company recognized a gain on sale of $33.0 million.</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April, the Company completed the acquisition of a 20 percent interest in the newly completed, 1,176 unit "Sky" residential tower, located at 605 West 42nd Street. The Company was granted an option to purchase the interest at an agreed upon valuation in July 2014 when it originated a $50.0 million mezzanine loan on the property to The Moinian Group, the project's developer.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mezzanine loan was repaid prior to the closing of the Company's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-946785</wp:posOffset>
            </wp:positionV>
            <wp:extent cx="6412230"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2794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-794385</wp:posOffset>
            </wp:positionV>
            <wp:extent cx="6412230" cy="43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April, the Company reached an agreement to sell 500 West Putnam Avenue, a 121,500-square-foot office property located in Greenwich, Connecticut, for a gross sale price of $41.0 million, or $337 per square foot. The transaction closed in July and the Company recognized net proceeds of $39.5 million.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Debt and Preferred Equity Investment Activity</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carrying value of the Company’s debt and preferred equity investment portfolio totaled $1.4 billion at June 30, 2016 at a weighted average current yield of 9.4 percent, excluding $0.3 billion of debt and preferred equity investments that are included in other balance sheet line items for accounting purposes. During the second quarter, the Company originated new debt and preferred equity investments totaling $458.5 million, of which $120.5 million was retained and $103.2 million was funded, at a weighted average current yield of 9.5 percent. During the second quarter, the Company recorded $147.7 million of principal reductions from investments that were repaid.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Financing Activity</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July, the Company signed a final and comprehensive term sheet for a $1.5 billion construction loan facility with Wells Fargo Bank, N.A., The Bank of New York Mellon, JP Morgan Chase Bank, Bank of China New York Branch and TD Bank, N.A. for the development of One Vanderbilt Avenue. Commitment and closing are expected to occur within the third quarter of 2016.</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July, the Company closed on a refinancing of our $300 million debt and preferred equity liquidity facility. The facility, which is secured by select assets in the Company's debt portfolio, has a 2-year term with a 1-year extension option and bears interest ranging from 225 and 400 basis points over LIBOR, depending on the pledged collateral and advance rate. The new facility is favorable, providing higher advance rates than the previous facility.</w:t>
      </w:r>
    </w:p>
    <w:p>
      <w:pPr>
        <w:spacing w:after="0" w:line="320" w:lineRule="exact"/>
        <w:rPr>
          <w:sz w:val="20"/>
          <w:szCs w:val="20"/>
          <w:color w:val="auto"/>
        </w:rPr>
      </w:pPr>
    </w:p>
    <w:p>
      <w:pPr>
        <w:sectPr>
          <w:pgSz w:w="11900" w:h="16838" w:orient="portrait"/>
          <w:cols w:equalWidth="0" w:num="2">
            <w:col w:w="5500" w:space="460"/>
            <w:col w:w="5500"/>
          </w:cols>
          <w:pgMar w:left="220" w:top="338" w:right="21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338" w:right="219" w:bottom="1440" w:gutter="0" w:footer="0" w:header="0"/>
          <w:type w:val="continuous"/>
        </w:sectPr>
      </w:pPr>
    </w:p>
    <w:bookmarkStart w:id="24" w:name="page25"/>
    <w:bookmarkEnd w:id="24"/>
    <w:p>
      <w:pPr>
        <w:ind w:left="6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SECOND QUARTER 2016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-27940</wp:posOffset>
            </wp:positionV>
            <wp:extent cx="1263015" cy="360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138430</wp:posOffset>
            </wp:positionV>
            <wp:extent cx="64122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4739"/>
        <w:spacing w:after="0" w:line="248" w:lineRule="auto"/>
        <w:rPr>
          <w:sz w:val="20"/>
          <w:szCs w:val="20"/>
          <w:color w:val="auto"/>
        </w:rPr>
      </w:pPr>
      <w:r>
        <w:rPr>
          <w:rFonts w:ascii="Arial" w:cs="Arial" w:eastAsia="Arial" w:hAnsi="Arial"/>
          <w:sz w:val="16"/>
          <w:szCs w:val="16"/>
          <w:color w:val="auto"/>
        </w:rPr>
        <w:t>In July, the Company entered into $300.0 million of 7-year interest rate swaps with a fixed rate of 1.14 percent, taking advantage of the current favorable interest environment to lock in rates on our corporate unsecured debt.</w:t>
      </w:r>
    </w:p>
    <w:p>
      <w:pPr>
        <w:spacing w:after="0" w:line="184" w:lineRule="exact"/>
        <w:rPr>
          <w:sz w:val="20"/>
          <w:szCs w:val="20"/>
          <w:color w:val="auto"/>
        </w:rPr>
      </w:pPr>
    </w:p>
    <w:p>
      <w:pPr>
        <w:jc w:val="both"/>
        <w:ind w:right="4739"/>
        <w:spacing w:after="0" w:line="243" w:lineRule="auto"/>
        <w:rPr>
          <w:sz w:val="20"/>
          <w:szCs w:val="20"/>
          <w:color w:val="auto"/>
        </w:rPr>
      </w:pPr>
      <w:r>
        <w:rPr>
          <w:rFonts w:ascii="Arial" w:cs="Arial" w:eastAsia="Arial" w:hAnsi="Arial"/>
          <w:sz w:val="16"/>
          <w:szCs w:val="16"/>
          <w:color w:val="auto"/>
        </w:rPr>
        <w:t>In May, the Company, along with its joint venture partner, Vornado Realty Trust, successfully closed on the refinancing of 280 Park Avenue. The new $900.0 million facility has a 3-year term (subject to four 1-year extension options), carries a floating interest rate of LIBOR plus 2.00 percent, and replaces the previous $721.0 million of indebtedness on the property that was set to mature in June 2016. The Company, which owns a 50.0 percent interest in the asset, received approximately $75.9 million in net proceeds from the refinancing, inclusive of $30.0 million which was held at the property for future operating and capital costs.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Dividends</w:t>
      </w:r>
    </w:p>
    <w:p>
      <w:pPr>
        <w:spacing w:after="0" w:line="149" w:lineRule="exact"/>
        <w:rPr>
          <w:sz w:val="20"/>
          <w:szCs w:val="20"/>
          <w:color w:val="auto"/>
        </w:rPr>
      </w:pPr>
    </w:p>
    <w:p>
      <w:pPr>
        <w:jc w:val="both"/>
        <w:ind w:right="4739"/>
        <w:spacing w:after="0" w:line="287" w:lineRule="auto"/>
        <w:rPr>
          <w:sz w:val="20"/>
          <w:szCs w:val="20"/>
          <w:color w:val="auto"/>
        </w:rPr>
      </w:pPr>
      <w:r>
        <w:rPr>
          <w:rFonts w:ascii="Arial" w:cs="Arial" w:eastAsia="Arial" w:hAnsi="Arial"/>
          <w:sz w:val="17"/>
          <w:szCs w:val="17"/>
          <w:color w:val="auto"/>
        </w:rPr>
        <w:t>During the second quarter of 2016, the Company declared quarterly dividends on its outstanding common and preferred stock as follows:</w:t>
      </w:r>
    </w:p>
    <w:p>
      <w:pPr>
        <w:spacing w:after="0" w:line="79" w:lineRule="exact"/>
        <w:rPr>
          <w:sz w:val="20"/>
          <w:szCs w:val="20"/>
          <w:color w:val="auto"/>
        </w:rPr>
      </w:pPr>
    </w:p>
    <w:p>
      <w:pPr>
        <w:ind w:left="540" w:right="4739" w:hanging="270"/>
        <w:spacing w:after="0" w:line="357"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$0.72 per share of common stock, which was paid on July 15, 2016 to shareholders of record on the close of business on June 30, 2016; and</w:t>
      </w:r>
    </w:p>
    <w:p>
      <w:pPr>
        <w:spacing w:after="0" w:line="33" w:lineRule="exact"/>
        <w:rPr>
          <w:rFonts w:ascii="Arial" w:cs="Arial" w:eastAsia="Arial" w:hAnsi="Arial"/>
          <w:sz w:val="15"/>
          <w:szCs w:val="15"/>
          <w:color w:val="auto"/>
        </w:rPr>
      </w:pPr>
    </w:p>
    <w:p>
      <w:pPr>
        <w:jc w:val="both"/>
        <w:ind w:left="540" w:right="4739" w:hanging="270"/>
        <w:spacing w:after="0" w:line="261"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$0.40625 per share on the Company's 6.50% Series I Cumulative Redeemable Preferred Stock for the period April 15, 2016 through and including July 14, 2016, which was paid on July 15, 2016 to shareholders of record on the close of business on June 30, 2016, and reflects the regular quarterly dividend, which is the equivalent of an annualized dividend of $1.625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45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239"/>
          </w:cols>
          <w:pgMar w:left="220" w:top="338" w:right="1440"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660"/>
              <w:spacing w:after="0"/>
              <w:rPr>
                <w:sz w:val="20"/>
                <w:szCs w:val="20"/>
                <w:color w:val="auto"/>
              </w:rPr>
            </w:pPr>
            <w:r>
              <w:rPr>
                <w:rFonts w:ascii="Arial" w:cs="Arial" w:eastAsia="Arial" w:hAnsi="Arial"/>
                <w:sz w:val="12"/>
                <w:szCs w:val="12"/>
                <w:b w:val="1"/>
                <w:bCs w:val="1"/>
                <w:color w:val="auto"/>
              </w:rPr>
              <w:t>As of or for the three months ended</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6/30/2016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3/31/2016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12/31/2015</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9/30/2015</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6/30/2015</w:t>
            </w:r>
          </w:p>
        </w:tc>
        <w:tc>
          <w:tcPr>
            <w:tcW w:w="0" w:type="dxa"/>
            <w:vAlign w:val="bottom"/>
          </w:tcPr>
          <w:p>
            <w:pPr>
              <w:spacing w:after="0"/>
              <w:rPr>
                <w:sz w:val="1"/>
                <w:szCs w:val="1"/>
                <w:color w:val="auto"/>
              </w:rPr>
            </w:pPr>
          </w:p>
        </w:tc>
      </w:tr>
      <w:tr>
        <w:trPr>
          <w:trHeight w:val="186"/>
        </w:trPr>
        <w:tc>
          <w:tcPr>
            <w:tcW w:w="3980" w:type="dxa"/>
            <w:vAlign w:val="bottom"/>
            <w:gridSpan w:val="5"/>
          </w:tcPr>
          <w:p>
            <w:pPr>
              <w:spacing w:after="0"/>
              <w:rPr>
                <w:sz w:val="20"/>
                <w:szCs w:val="20"/>
                <w:color w:val="auto"/>
              </w:rPr>
            </w:pPr>
            <w:r>
              <w:rPr>
                <w:rFonts w:ascii="Arial" w:cs="Arial" w:eastAsia="Arial" w:hAnsi="Arial"/>
                <w:sz w:val="12"/>
                <w:szCs w:val="12"/>
                <w:b w:val="1"/>
                <w:bCs w:val="1"/>
                <w:color w:val="auto"/>
              </w:rPr>
              <w:t>Earnings Per Share</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5"/>
          </w:tcPr>
          <w:p>
            <w:pPr>
              <w:spacing w:after="0"/>
              <w:rPr>
                <w:sz w:val="20"/>
                <w:szCs w:val="20"/>
                <w:color w:val="auto"/>
              </w:rPr>
            </w:pPr>
            <w:r>
              <w:rPr>
                <w:rFonts w:ascii="Arial" w:cs="Arial" w:eastAsia="Arial" w:hAnsi="Arial"/>
                <w:sz w:val="12"/>
                <w:szCs w:val="12"/>
                <w:color w:val="auto"/>
              </w:rPr>
              <w:t>Net income (loss) available to common stockholders - diluted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1.33</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0.23</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0.96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1.64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Funds from operations available to common stockholders - diluted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3.39</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1.84</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1.61</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1.65</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Reported funds available for distribution to common stockholders - diluted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1.96</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1.50</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0.22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0.96</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Recurring funds available for distribution to common stockholders - diluted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2.04</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1.50</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1.29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392"/>
        </w:trPr>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6"/>
              </w:rPr>
              <w:t>Common Share Price &amp; Dividends</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gridSpan w:val="5"/>
          </w:tcPr>
          <w:p>
            <w:pPr>
              <w:spacing w:after="0"/>
              <w:rPr>
                <w:sz w:val="20"/>
                <w:szCs w:val="20"/>
                <w:color w:val="auto"/>
              </w:rPr>
            </w:pPr>
            <w:r>
              <w:rPr>
                <w:rFonts w:ascii="Arial" w:cs="Arial" w:eastAsia="Arial" w:hAnsi="Arial"/>
                <w:sz w:val="12"/>
                <w:szCs w:val="12"/>
                <w:color w:val="auto"/>
              </w:rPr>
              <w:t>Closing price at the end of the period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106.47</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96.88</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112.98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108.16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109.89</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Closing high price during period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106.72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110.92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121.80</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116.97</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131.64</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Closing low price during period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95.51</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80.54</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108.56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100.95</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109.89</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Common dividend per share</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0.72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0.72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0.72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0.60</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317"/>
        </w:trPr>
        <w:tc>
          <w:tcPr>
            <w:tcW w:w="3980" w:type="dxa"/>
            <w:vAlign w:val="bottom"/>
            <w:gridSpan w:val="5"/>
          </w:tcPr>
          <w:p>
            <w:pPr>
              <w:spacing w:after="0"/>
              <w:rPr>
                <w:sz w:val="20"/>
                <w:szCs w:val="20"/>
                <w:color w:val="auto"/>
              </w:rPr>
            </w:pPr>
            <w:r>
              <w:rPr>
                <w:rFonts w:ascii="Arial" w:cs="Arial" w:eastAsia="Arial" w:hAnsi="Arial"/>
                <w:sz w:val="12"/>
                <w:szCs w:val="12"/>
                <w:color w:val="auto"/>
              </w:rPr>
              <w:t>FFO payout ratio (trailing 12 months)</w:t>
            </w:r>
          </w:p>
        </w:tc>
        <w:tc>
          <w:tcPr>
            <w:tcW w:w="18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32.5%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39.3%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39.6%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38.7%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Reported FAD payout ratio (trailing 12 months)</w:t>
            </w:r>
          </w:p>
        </w:tc>
        <w:tc>
          <w:tcPr>
            <w:tcW w:w="18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58.5%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71.0%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77.5%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60.2%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79.8%</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Recurring FAD payout ratio (trailing 12 months)</w:t>
            </w:r>
          </w:p>
        </w:tc>
        <w:tc>
          <w:tcPr>
            <w:tcW w:w="18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50.6%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50.5%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51.6%</w:t>
            </w:r>
          </w:p>
        </w:tc>
        <w:tc>
          <w:tcPr>
            <w:tcW w:w="0" w:type="dxa"/>
            <w:vAlign w:val="bottom"/>
          </w:tcPr>
          <w:p>
            <w:pPr>
              <w:spacing w:after="0"/>
              <w:rPr>
                <w:sz w:val="1"/>
                <w:szCs w:val="1"/>
                <w:color w:val="auto"/>
              </w:rPr>
            </w:pPr>
          </w:p>
        </w:tc>
      </w:tr>
      <w:tr>
        <w:trPr>
          <w:trHeight w:val="392"/>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6"/>
              </w:rPr>
              <w:t>Common Shares &amp; Units</w:t>
            </w:r>
          </w:p>
        </w:tc>
        <w:tc>
          <w:tcPr>
            <w:tcW w:w="2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gridSpan w:val="5"/>
          </w:tcPr>
          <w:p>
            <w:pPr>
              <w:spacing w:after="0"/>
              <w:rPr>
                <w:sz w:val="20"/>
                <w:szCs w:val="20"/>
                <w:color w:val="auto"/>
              </w:rPr>
            </w:pPr>
            <w:r>
              <w:rPr>
                <w:rFonts w:ascii="Arial" w:cs="Arial" w:eastAsia="Arial" w:hAnsi="Arial"/>
                <w:sz w:val="12"/>
                <w:szCs w:val="12"/>
                <w:color w:val="auto"/>
              </w:rPr>
              <w:t>Common shares outstanding</w:t>
            </w:r>
          </w:p>
        </w:tc>
        <w:tc>
          <w:tcPr>
            <w:tcW w:w="18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100,164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100,081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99,975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99,659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99,590</w:t>
            </w:r>
          </w:p>
        </w:tc>
        <w:tc>
          <w:tcPr>
            <w:tcW w:w="0" w:type="dxa"/>
            <w:vAlign w:val="bottom"/>
          </w:tcPr>
          <w:p>
            <w:pPr>
              <w:spacing w:after="0"/>
              <w:rPr>
                <w:sz w:val="1"/>
                <w:szCs w:val="1"/>
                <w:color w:val="auto"/>
              </w:rPr>
            </w:pPr>
          </w:p>
        </w:tc>
      </w:tr>
      <w:tr>
        <w:trPr>
          <w:trHeight w:val="223"/>
        </w:trPr>
        <w:tc>
          <w:tcPr>
            <w:tcW w:w="3980" w:type="dxa"/>
            <w:vAlign w:val="bottom"/>
            <w:gridSpan w:val="5"/>
          </w:tcPr>
          <w:p>
            <w:pPr>
              <w:spacing w:after="0"/>
              <w:rPr>
                <w:sz w:val="20"/>
                <w:szCs w:val="20"/>
                <w:color w:val="auto"/>
              </w:rPr>
            </w:pPr>
            <w:r>
              <w:rPr>
                <w:rFonts w:ascii="Arial" w:cs="Arial" w:eastAsia="Arial" w:hAnsi="Arial"/>
                <w:sz w:val="12"/>
                <w:szCs w:val="12"/>
                <w:color w:val="auto"/>
              </w:rPr>
              <w:t>Units outstanding</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4,504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4,001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3,746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3,875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3,907</w:t>
            </w:r>
          </w:p>
        </w:tc>
        <w:tc>
          <w:tcPr>
            <w:tcW w:w="0" w:type="dxa"/>
            <w:vAlign w:val="bottom"/>
          </w:tcPr>
          <w:p>
            <w:pPr>
              <w:spacing w:after="0"/>
              <w:rPr>
                <w:sz w:val="1"/>
                <w:szCs w:val="1"/>
                <w:color w:val="auto"/>
              </w:rPr>
            </w:pPr>
          </w:p>
        </w:tc>
      </w:tr>
      <w:tr>
        <w:trPr>
          <w:trHeight w:val="192"/>
        </w:trPr>
        <w:tc>
          <w:tcPr>
            <w:tcW w:w="3980" w:type="dxa"/>
            <w:vAlign w:val="bottom"/>
            <w:gridSpan w:val="5"/>
          </w:tcPr>
          <w:p>
            <w:pPr>
              <w:spacing w:after="0"/>
              <w:rPr>
                <w:sz w:val="20"/>
                <w:szCs w:val="20"/>
                <w:color w:val="auto"/>
              </w:rPr>
            </w:pPr>
            <w:r>
              <w:rPr>
                <w:rFonts w:ascii="Arial" w:cs="Arial" w:eastAsia="Arial" w:hAnsi="Arial"/>
                <w:sz w:val="12"/>
                <w:szCs w:val="12"/>
                <w:color w:val="auto"/>
              </w:rPr>
              <w:t>Total common shares and units outstanding</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104,668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104,082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103,721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103,534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103,497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980" w:type="dxa"/>
            <w:vAlign w:val="bottom"/>
            <w:gridSpan w:val="5"/>
          </w:tcPr>
          <w:p>
            <w:pPr>
              <w:spacing w:after="0"/>
              <w:rPr>
                <w:sz w:val="20"/>
                <w:szCs w:val="20"/>
                <w:color w:val="auto"/>
              </w:rPr>
            </w:pPr>
            <w:r>
              <w:rPr>
                <w:rFonts w:ascii="Arial" w:cs="Arial" w:eastAsia="Arial" w:hAnsi="Arial"/>
                <w:sz w:val="12"/>
                <w:szCs w:val="12"/>
                <w:color w:val="auto"/>
              </w:rPr>
              <w:t>Weighted average common shares and units outstanding - basic</w:t>
            </w:r>
          </w:p>
        </w:tc>
        <w:tc>
          <w:tcPr>
            <w:tcW w:w="180" w:type="dxa"/>
            <w:vAlign w:val="bottom"/>
          </w:tcPr>
          <w:p>
            <w:pPr>
              <w:spacing w:after="0"/>
              <w:rPr>
                <w:sz w:val="24"/>
                <w:szCs w:val="24"/>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104,476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104,025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103,587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103,522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103,487</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Weighted average common shares and units outstanding - diluted</w:t>
            </w:r>
          </w:p>
        </w:tc>
        <w:tc>
          <w:tcPr>
            <w:tcW w:w="18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104,792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104,259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104,055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103,929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103,946</w:t>
            </w:r>
          </w:p>
        </w:tc>
        <w:tc>
          <w:tcPr>
            <w:tcW w:w="0" w:type="dxa"/>
            <w:vAlign w:val="bottom"/>
          </w:tcPr>
          <w:p>
            <w:pPr>
              <w:spacing w:after="0"/>
              <w:rPr>
                <w:sz w:val="1"/>
                <w:szCs w:val="1"/>
                <w:color w:val="auto"/>
              </w:rPr>
            </w:pPr>
          </w:p>
        </w:tc>
      </w:tr>
      <w:tr>
        <w:trPr>
          <w:trHeight w:val="392"/>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Market Capitalization</w:t>
            </w:r>
          </w:p>
        </w:tc>
        <w:tc>
          <w:tcPr>
            <w:tcW w:w="28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gridSpan w:val="5"/>
          </w:tcPr>
          <w:p>
            <w:pPr>
              <w:spacing w:after="0"/>
              <w:rPr>
                <w:sz w:val="20"/>
                <w:szCs w:val="20"/>
                <w:color w:val="auto"/>
              </w:rPr>
            </w:pPr>
            <w:r>
              <w:rPr>
                <w:rFonts w:ascii="Arial" w:cs="Arial" w:eastAsia="Arial" w:hAnsi="Arial"/>
                <w:sz w:val="12"/>
                <w:szCs w:val="12"/>
                <w:color w:val="auto"/>
              </w:rPr>
              <w:t>Market value of common equity</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11,144,002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10,083,464</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11,718,399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11,198,237</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11,373,285</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Liquidation value of preferred equity/units</w:t>
            </w:r>
          </w:p>
        </w:tc>
        <w:tc>
          <w:tcPr>
            <w:tcW w:w="18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532,460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534,869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512,516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512,516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354,723</w:t>
            </w:r>
          </w:p>
        </w:tc>
        <w:tc>
          <w:tcPr>
            <w:tcW w:w="0" w:type="dxa"/>
            <w:vAlign w:val="bottom"/>
          </w:tcPr>
          <w:p>
            <w:pPr>
              <w:spacing w:after="0"/>
              <w:rPr>
                <w:sz w:val="1"/>
                <w:szCs w:val="1"/>
                <w:color w:val="auto"/>
              </w:rPr>
            </w:pPr>
          </w:p>
        </w:tc>
      </w:tr>
      <w:tr>
        <w:trPr>
          <w:trHeight w:val="223"/>
        </w:trPr>
        <w:tc>
          <w:tcPr>
            <w:tcW w:w="3980" w:type="dxa"/>
            <w:vAlign w:val="bottom"/>
            <w:gridSpan w:val="5"/>
          </w:tcPr>
          <w:p>
            <w:pPr>
              <w:spacing w:after="0"/>
              <w:rPr>
                <w:sz w:val="20"/>
                <w:szCs w:val="20"/>
                <w:color w:val="auto"/>
              </w:rPr>
            </w:pPr>
            <w:r>
              <w:rPr>
                <w:rFonts w:ascii="Arial" w:cs="Arial" w:eastAsia="Arial" w:hAnsi="Arial"/>
                <w:sz w:val="12"/>
                <w:szCs w:val="12"/>
                <w:color w:val="auto"/>
              </w:rPr>
              <w:t>Consolidated debt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7,796,092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9,796,167</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10,434,748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10,130,502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8,375,984</w:t>
            </w:r>
          </w:p>
        </w:tc>
        <w:tc>
          <w:tcPr>
            <w:tcW w:w="0" w:type="dxa"/>
            <w:vAlign w:val="bottom"/>
          </w:tcPr>
          <w:p>
            <w:pPr>
              <w:spacing w:after="0"/>
              <w:rPr>
                <w:sz w:val="1"/>
                <w:szCs w:val="1"/>
                <w:color w:val="auto"/>
              </w:rPr>
            </w:pPr>
          </w:p>
        </w:tc>
      </w:tr>
      <w:tr>
        <w:trPr>
          <w:trHeight w:val="194"/>
        </w:trPr>
        <w:tc>
          <w:tcPr>
            <w:tcW w:w="3980" w:type="dxa"/>
            <w:vAlign w:val="bottom"/>
            <w:gridSpan w:val="5"/>
          </w:tcPr>
          <w:p>
            <w:pPr>
              <w:spacing w:after="0"/>
              <w:rPr>
                <w:sz w:val="20"/>
                <w:szCs w:val="20"/>
                <w:color w:val="auto"/>
              </w:rPr>
            </w:pPr>
            <w:r>
              <w:rPr>
                <w:rFonts w:ascii="Arial" w:cs="Arial" w:eastAsia="Arial" w:hAnsi="Arial"/>
                <w:sz w:val="12"/>
                <w:szCs w:val="12"/>
                <w:color w:val="auto"/>
              </w:rPr>
              <w:t>Consolidated market capitalization</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19,472,554</w:t>
            </w:r>
          </w:p>
        </w:tc>
        <w:tc>
          <w:tcPr>
            <w:tcW w:w="18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20,414,500</w:t>
            </w:r>
          </w:p>
        </w:tc>
        <w:tc>
          <w:tcPr>
            <w:tcW w:w="18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22,665,663</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21,841,255</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20,103,992</w:t>
            </w:r>
          </w:p>
        </w:tc>
        <w:tc>
          <w:tcPr>
            <w:tcW w:w="0" w:type="dxa"/>
            <w:vAlign w:val="bottom"/>
          </w:tcPr>
          <w:p>
            <w:pPr>
              <w:spacing w:after="0"/>
              <w:rPr>
                <w:sz w:val="1"/>
                <w:szCs w:val="1"/>
                <w:color w:val="auto"/>
              </w:rPr>
            </w:pPr>
          </w:p>
        </w:tc>
      </w:tr>
      <w:tr>
        <w:trPr>
          <w:trHeight w:val="223"/>
        </w:trPr>
        <w:tc>
          <w:tcPr>
            <w:tcW w:w="3980" w:type="dxa"/>
            <w:vAlign w:val="bottom"/>
            <w:gridSpan w:val="5"/>
          </w:tcPr>
          <w:p>
            <w:pPr>
              <w:spacing w:after="0"/>
              <w:rPr>
                <w:sz w:val="20"/>
                <w:szCs w:val="20"/>
                <w:color w:val="auto"/>
              </w:rPr>
            </w:pPr>
            <w:r>
              <w:rPr>
                <w:rFonts w:ascii="Arial" w:cs="Arial" w:eastAsia="Arial" w:hAnsi="Arial"/>
                <w:sz w:val="12"/>
                <w:szCs w:val="12"/>
                <w:color w:val="auto"/>
              </w:rPr>
              <w:t>SLG portion of JV debt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1,854,131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1,690,200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1,718,031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1,683,320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1,695,340</w:t>
            </w:r>
          </w:p>
        </w:tc>
        <w:tc>
          <w:tcPr>
            <w:tcW w:w="0" w:type="dxa"/>
            <w:vAlign w:val="bottom"/>
          </w:tcPr>
          <w:p>
            <w:pPr>
              <w:spacing w:after="0"/>
              <w:rPr>
                <w:sz w:val="1"/>
                <w:szCs w:val="1"/>
                <w:color w:val="auto"/>
              </w:rPr>
            </w:pPr>
          </w:p>
        </w:tc>
      </w:tr>
      <w:tr>
        <w:trPr>
          <w:trHeight w:val="193"/>
        </w:trPr>
        <w:tc>
          <w:tcPr>
            <w:tcW w:w="3980" w:type="dxa"/>
            <w:vAlign w:val="bottom"/>
            <w:gridSpan w:val="5"/>
          </w:tcPr>
          <w:p>
            <w:pPr>
              <w:spacing w:after="0"/>
              <w:rPr>
                <w:sz w:val="20"/>
                <w:szCs w:val="20"/>
                <w:color w:val="auto"/>
              </w:rPr>
            </w:pPr>
            <w:r>
              <w:rPr>
                <w:rFonts w:ascii="Arial" w:cs="Arial" w:eastAsia="Arial" w:hAnsi="Arial"/>
                <w:sz w:val="12"/>
                <w:szCs w:val="12"/>
                <w:color w:val="auto"/>
              </w:rPr>
              <w:t>Combined market capitalization</w:t>
            </w: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21,326,685</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22,104,700</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24,383,694</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23,524,575</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21,799,332</w:t>
            </w:r>
          </w:p>
        </w:tc>
        <w:tc>
          <w:tcPr>
            <w:tcW w:w="0" w:type="dxa"/>
            <w:vAlign w:val="bottom"/>
          </w:tcPr>
          <w:p>
            <w:pPr>
              <w:spacing w:after="0"/>
              <w:rPr>
                <w:sz w:val="1"/>
                <w:szCs w:val="1"/>
                <w:color w:val="auto"/>
              </w:rPr>
            </w:pPr>
          </w:p>
        </w:tc>
      </w:tr>
      <w:tr>
        <w:trPr>
          <w:trHeight w:val="20"/>
        </w:trPr>
        <w:tc>
          <w:tcPr>
            <w:tcW w:w="3980" w:type="dxa"/>
            <w:vAlign w:val="bottom"/>
            <w:gridSpan w:val="5"/>
            <w:vMerge w:val="restart"/>
          </w:tcPr>
          <w:p>
            <w:pPr>
              <w:spacing w:after="0"/>
              <w:rPr>
                <w:sz w:val="20"/>
                <w:szCs w:val="20"/>
                <w:color w:val="auto"/>
              </w:rPr>
            </w:pPr>
            <w:r>
              <w:rPr>
                <w:rFonts w:ascii="Arial" w:cs="Arial" w:eastAsia="Arial" w:hAnsi="Arial"/>
                <w:sz w:val="12"/>
                <w:szCs w:val="12"/>
                <w:color w:val="auto"/>
              </w:rPr>
              <w:t xml:space="preserve">Consolidated debt to market capitalization </w:t>
            </w:r>
            <w:r>
              <w:rPr>
                <w:rFonts w:ascii="Arial" w:cs="Arial" w:eastAsia="Arial" w:hAnsi="Arial"/>
                <w:sz w:val="14"/>
                <w:szCs w:val="14"/>
                <w:color w:val="auto"/>
                <w:vertAlign w:val="superscript"/>
              </w:rPr>
              <w:t>(1)</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398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48.0%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46.0%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46.4%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 xml:space="preserve">Combined debt to market capitalization </w:t>
            </w:r>
            <w:r>
              <w:rPr>
                <w:rFonts w:ascii="Arial" w:cs="Arial" w:eastAsia="Arial" w:hAnsi="Arial"/>
                <w:sz w:val="14"/>
                <w:szCs w:val="14"/>
                <w:color w:val="auto"/>
                <w:vertAlign w:val="superscript"/>
              </w:rPr>
              <w:t>(1)</w:t>
            </w:r>
          </w:p>
        </w:tc>
        <w:tc>
          <w:tcPr>
            <w:tcW w:w="18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45.2%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52.0%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49.8%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50.2%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276"/>
        </w:trPr>
        <w:tc>
          <w:tcPr>
            <w:tcW w:w="3980" w:type="dxa"/>
            <w:vAlign w:val="bottom"/>
            <w:gridSpan w:val="5"/>
          </w:tcPr>
          <w:p>
            <w:pPr>
              <w:spacing w:after="0"/>
              <w:rPr>
                <w:sz w:val="20"/>
                <w:szCs w:val="20"/>
                <w:color w:val="auto"/>
              </w:rPr>
            </w:pPr>
            <w:r>
              <w:rPr>
                <w:rFonts w:ascii="Arial" w:cs="Arial" w:eastAsia="Arial" w:hAnsi="Arial"/>
                <w:sz w:val="12"/>
                <w:szCs w:val="12"/>
                <w:color w:val="auto"/>
              </w:rPr>
              <w:t>Consolidated debt service coverage (trailing 12 months)</w:t>
            </w:r>
          </w:p>
        </w:tc>
        <w:tc>
          <w:tcPr>
            <w:tcW w:w="18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color w:val="auto"/>
              </w:rPr>
              <w:t>3.29x</w:t>
            </w:r>
          </w:p>
        </w:tc>
        <w:tc>
          <w:tcPr>
            <w:tcW w:w="160" w:type="dxa"/>
            <w:vAlign w:val="bottom"/>
          </w:tcPr>
          <w:p>
            <w:pPr>
              <w:spacing w:after="0"/>
              <w:rPr>
                <w:sz w:val="23"/>
                <w:szCs w:val="23"/>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2"/>
                <w:szCs w:val="12"/>
                <w:color w:val="auto"/>
              </w:rPr>
              <w:t>2.88x</w:t>
            </w:r>
          </w:p>
        </w:tc>
        <w:tc>
          <w:tcPr>
            <w:tcW w:w="160" w:type="dxa"/>
            <w:vAlign w:val="bottom"/>
          </w:tcPr>
          <w:p>
            <w:pPr>
              <w:spacing w:after="0"/>
              <w:rPr>
                <w:sz w:val="23"/>
                <w:szCs w:val="23"/>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2.85x</w:t>
            </w:r>
          </w:p>
        </w:tc>
        <w:tc>
          <w:tcPr>
            <w:tcW w:w="160" w:type="dxa"/>
            <w:vAlign w:val="bottom"/>
          </w:tcPr>
          <w:p>
            <w:pPr>
              <w:spacing w:after="0"/>
              <w:rPr>
                <w:sz w:val="23"/>
                <w:szCs w:val="23"/>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2.78x</w:t>
            </w:r>
          </w:p>
        </w:tc>
        <w:tc>
          <w:tcPr>
            <w:tcW w:w="160" w:type="dxa"/>
            <w:vAlign w:val="bottom"/>
          </w:tcPr>
          <w:p>
            <w:pPr>
              <w:spacing w:after="0"/>
              <w:rPr>
                <w:sz w:val="23"/>
                <w:szCs w:val="23"/>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2.63x</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Consolidated fixed charge coverage (trailing 12 months)</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color w:val="auto"/>
              </w:rPr>
              <w:t>2.87x</w:t>
            </w: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2"/>
                <w:szCs w:val="12"/>
                <w:color w:val="auto"/>
              </w:rPr>
              <w:t>2.52x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2.50x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2.45x</w:t>
            </w: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2.33x</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Combined debt service coverage (trailing 12 months)</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color w:val="auto"/>
              </w:rPr>
              <w:t>2.90x</w:t>
            </w: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2"/>
                <w:szCs w:val="12"/>
                <w:color w:val="auto"/>
              </w:rPr>
              <w:t>2.54x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2.52x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2.47x</w:t>
            </w: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2.36x</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Combined fixed charge coverage (trailing 12 months)</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color w:val="auto"/>
              </w:rPr>
              <w:t>2.56x</w:t>
            </w: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2"/>
                <w:szCs w:val="12"/>
                <w:color w:val="auto"/>
              </w:rPr>
              <w:t>2.25x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2.23x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2.20x</w:t>
            </w: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2.10x</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
        <w:spacing w:after="0"/>
        <w:rPr>
          <w:sz w:val="20"/>
          <w:szCs w:val="20"/>
          <w:color w:val="auto"/>
        </w:rPr>
      </w:pPr>
      <w:r>
        <w:rPr>
          <w:rFonts w:ascii="Arial" w:cs="Arial" w:eastAsia="Arial" w:hAnsi="Arial"/>
          <w:sz w:val="9"/>
          <w:szCs w:val="9"/>
          <w:color w:val="auto"/>
        </w:rPr>
        <w:t>(1) Includes the liquidation value of preferred equity/units.</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498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9</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8"/>
          </w:tcPr>
          <w:p>
            <w:pPr>
              <w:ind w:left="520"/>
              <w:spacing w:after="0"/>
              <w:rPr>
                <w:sz w:val="20"/>
                <w:szCs w:val="20"/>
                <w:color w:val="auto"/>
              </w:rPr>
            </w:pPr>
            <w:r>
              <w:rPr>
                <w:rFonts w:ascii="Arial" w:cs="Arial" w:eastAsia="Arial" w:hAnsi="Arial"/>
                <w:sz w:val="12"/>
                <w:szCs w:val="12"/>
                <w:b w:val="1"/>
                <w:bCs w:val="1"/>
                <w:color w:val="auto"/>
              </w:rPr>
              <w:t>As of or for the three months ended</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6/30/2016</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3/31/2016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w w:val="99"/>
              </w:rPr>
              <w:t>12/31/2015</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9/30/2015</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6/30/2015</w:t>
            </w:r>
          </w:p>
        </w:tc>
        <w:tc>
          <w:tcPr>
            <w:tcW w:w="0" w:type="dxa"/>
            <w:vAlign w:val="bottom"/>
          </w:tcPr>
          <w:p>
            <w:pPr>
              <w:spacing w:after="0"/>
              <w:rPr>
                <w:sz w:val="1"/>
                <w:szCs w:val="1"/>
                <w:color w:val="auto"/>
              </w:rPr>
            </w:pPr>
          </w:p>
        </w:tc>
      </w:tr>
      <w:tr>
        <w:trPr>
          <w:trHeight w:val="186"/>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Selected Balance Sheet Data</w:t>
            </w:r>
          </w:p>
        </w:tc>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spacing w:after="0"/>
              <w:rPr>
                <w:sz w:val="20"/>
                <w:szCs w:val="20"/>
                <w:color w:val="auto"/>
              </w:rPr>
            </w:pPr>
            <w:r>
              <w:rPr>
                <w:rFonts w:ascii="Arial" w:cs="Arial" w:eastAsia="Arial" w:hAnsi="Arial"/>
                <w:sz w:val="12"/>
                <w:szCs w:val="12"/>
                <w:color w:val="auto"/>
              </w:rPr>
              <w:t>Real estate assets before depreciation</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15,015,226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16,550,051</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16,718,324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16,381,149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14,059,561</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Investments in unconsolidated joint ventures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1,126,486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1,146,085</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1,203,858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1,239,008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1,262,723</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Debt and preferred equity investments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1,357,181</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1,378,616</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1,670,020</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1,501,619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1,685,234</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Cash and cash equivalents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276,226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316,205</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255,399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244,360</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215,896</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Investment in marketable securities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39,339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43,915</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45,138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46,432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46,251</w:t>
            </w:r>
          </w:p>
        </w:tc>
        <w:tc>
          <w:tcPr>
            <w:tcW w:w="0" w:type="dxa"/>
            <w:vAlign w:val="bottom"/>
          </w:tcPr>
          <w:p>
            <w:pPr>
              <w:spacing w:after="0"/>
              <w:rPr>
                <w:sz w:val="1"/>
                <w:szCs w:val="1"/>
                <w:color w:val="auto"/>
              </w:rPr>
            </w:pPr>
          </w:p>
        </w:tc>
      </w:tr>
      <w:tr>
        <w:trPr>
          <w:trHeight w:val="415"/>
        </w:trPr>
        <w:tc>
          <w:tcPr>
            <w:tcW w:w="4420" w:type="dxa"/>
            <w:vAlign w:val="bottom"/>
            <w:gridSpan w:val="3"/>
          </w:tcPr>
          <w:p>
            <w:pPr>
              <w:spacing w:after="0"/>
              <w:rPr>
                <w:sz w:val="20"/>
                <w:szCs w:val="20"/>
                <w:color w:val="auto"/>
              </w:rPr>
            </w:pPr>
            <w:r>
              <w:rPr>
                <w:rFonts w:ascii="Arial" w:cs="Arial" w:eastAsia="Arial" w:hAnsi="Arial"/>
                <w:sz w:val="12"/>
                <w:szCs w:val="12"/>
                <w:color w:val="auto"/>
              </w:rPr>
              <w:t>Total assets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17,544,223</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19,585,715</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19,727,426</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19,382,712</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17,171,784</w:t>
            </w:r>
          </w:p>
        </w:tc>
        <w:tc>
          <w:tcPr>
            <w:tcW w:w="0" w:type="dxa"/>
            <w:vAlign w:val="bottom"/>
          </w:tcPr>
          <w:p>
            <w:pPr>
              <w:spacing w:after="0"/>
              <w:rPr>
                <w:sz w:val="1"/>
                <w:szCs w:val="1"/>
                <w:color w:val="auto"/>
              </w:rPr>
            </w:pPr>
          </w:p>
        </w:tc>
      </w:tr>
      <w:tr>
        <w:trPr>
          <w:trHeight w:val="415"/>
        </w:trPr>
        <w:tc>
          <w:tcPr>
            <w:tcW w:w="4420" w:type="dxa"/>
            <w:vAlign w:val="bottom"/>
            <w:gridSpan w:val="3"/>
          </w:tcPr>
          <w:p>
            <w:pPr>
              <w:spacing w:after="0"/>
              <w:rPr>
                <w:sz w:val="20"/>
                <w:szCs w:val="20"/>
                <w:color w:val="auto"/>
              </w:rPr>
            </w:pPr>
            <w:r>
              <w:rPr>
                <w:rFonts w:ascii="Arial" w:cs="Arial" w:eastAsia="Arial" w:hAnsi="Arial"/>
                <w:sz w:val="12"/>
                <w:szCs w:val="12"/>
                <w:color w:val="auto"/>
              </w:rPr>
              <w:t>Fixed rate &amp; hedged debt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6,344,936</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6,887,280</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7,232,254</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7,137,994</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5,841,563</w:t>
            </w:r>
          </w:p>
        </w:tc>
        <w:tc>
          <w:tcPr>
            <w:tcW w:w="0" w:type="dxa"/>
            <w:vAlign w:val="bottom"/>
          </w:tcPr>
          <w:p>
            <w:pPr>
              <w:spacing w:after="0"/>
              <w:rPr>
                <w:sz w:val="1"/>
                <w:szCs w:val="1"/>
                <w:color w:val="auto"/>
              </w:rPr>
            </w:pPr>
          </w:p>
        </w:tc>
      </w:tr>
      <w:tr>
        <w:trPr>
          <w:trHeight w:val="228"/>
        </w:trPr>
        <w:tc>
          <w:tcPr>
            <w:tcW w:w="4420" w:type="dxa"/>
            <w:vAlign w:val="bottom"/>
            <w:gridSpan w:val="3"/>
          </w:tcPr>
          <w:p>
            <w:pPr>
              <w:spacing w:after="0"/>
              <w:rPr>
                <w:sz w:val="20"/>
                <w:szCs w:val="20"/>
                <w:color w:val="auto"/>
              </w:rPr>
            </w:pPr>
            <w:r>
              <w:rPr>
                <w:rFonts w:ascii="Arial" w:cs="Arial" w:eastAsia="Arial" w:hAnsi="Arial"/>
                <w:sz w:val="12"/>
                <w:szCs w:val="12"/>
                <w:color w:val="auto"/>
              </w:rPr>
              <w:t xml:space="preserve">Variable rate debt </w:t>
            </w:r>
            <w:r>
              <w:rPr>
                <w:rFonts w:ascii="Arial" w:cs="Arial" w:eastAsia="Arial" w:hAnsi="Arial"/>
                <w:sz w:val="14"/>
                <w:szCs w:val="14"/>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1,451,155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2,908,887</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3,173,494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2,992,508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2,364,421</w:t>
            </w:r>
          </w:p>
        </w:tc>
        <w:tc>
          <w:tcPr>
            <w:tcW w:w="0" w:type="dxa"/>
            <w:vAlign w:val="bottom"/>
          </w:tcPr>
          <w:p>
            <w:pPr>
              <w:spacing w:after="0"/>
              <w:rPr>
                <w:sz w:val="1"/>
                <w:szCs w:val="1"/>
                <w:color w:val="auto"/>
              </w:rPr>
            </w:pPr>
          </w:p>
        </w:tc>
      </w:tr>
      <w:tr>
        <w:trPr>
          <w:trHeight w:val="189"/>
        </w:trPr>
        <w:tc>
          <w:tcPr>
            <w:tcW w:w="4420" w:type="dxa"/>
            <w:vAlign w:val="bottom"/>
            <w:gridSpan w:val="3"/>
          </w:tcPr>
          <w:p>
            <w:pPr>
              <w:spacing w:after="0"/>
              <w:rPr>
                <w:sz w:val="20"/>
                <w:szCs w:val="20"/>
                <w:color w:val="auto"/>
              </w:rPr>
            </w:pPr>
            <w:r>
              <w:rPr>
                <w:rFonts w:ascii="Arial" w:cs="Arial" w:eastAsia="Arial" w:hAnsi="Arial"/>
                <w:sz w:val="12"/>
                <w:szCs w:val="12"/>
                <w:color w:val="auto"/>
              </w:rPr>
              <w:t>Total consolidated debt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7,796,091</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9,796,167</w:t>
            </w:r>
          </w:p>
        </w:tc>
        <w:tc>
          <w:tcPr>
            <w:tcW w:w="1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10,405,748</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10,130,502</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8,205,984</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2"/>
                <w:szCs w:val="12"/>
                <w:color w:val="auto"/>
              </w:rPr>
              <w:t>Deferred financing costs, net of amortization</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(101,521)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(105,543)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(130,515)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(107,858)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(95,173)</w:t>
            </w:r>
          </w:p>
        </w:tc>
        <w:tc>
          <w:tcPr>
            <w:tcW w:w="0" w:type="dxa"/>
            <w:vAlign w:val="bottom"/>
          </w:tcPr>
          <w:p>
            <w:pPr>
              <w:spacing w:after="0"/>
              <w:rPr>
                <w:sz w:val="1"/>
                <w:szCs w:val="1"/>
                <w:color w:val="auto"/>
              </w:rPr>
            </w:pPr>
          </w:p>
        </w:tc>
      </w:tr>
      <w:tr>
        <w:trPr>
          <w:trHeight w:val="193"/>
        </w:trPr>
        <w:tc>
          <w:tcPr>
            <w:tcW w:w="4420" w:type="dxa"/>
            <w:vAlign w:val="bottom"/>
            <w:gridSpan w:val="3"/>
          </w:tcPr>
          <w:p>
            <w:pPr>
              <w:spacing w:after="0"/>
              <w:rPr>
                <w:sz w:val="20"/>
                <w:szCs w:val="20"/>
                <w:color w:val="auto"/>
              </w:rPr>
            </w:pPr>
            <w:r>
              <w:rPr>
                <w:rFonts w:ascii="Arial" w:cs="Arial" w:eastAsia="Arial" w:hAnsi="Arial"/>
                <w:sz w:val="12"/>
                <w:szCs w:val="12"/>
                <w:color w:val="auto"/>
              </w:rPr>
              <w:t>Total consolidated debt, net</w:t>
            </w: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7,694,570</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9,690,624</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10,275,233</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10,022,644</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8,110,811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420" w:type="dxa"/>
            <w:vAlign w:val="bottom"/>
            <w:gridSpan w:val="3"/>
          </w:tcPr>
          <w:p>
            <w:pPr>
              <w:spacing w:after="0"/>
              <w:rPr>
                <w:sz w:val="20"/>
                <w:szCs w:val="20"/>
                <w:color w:val="auto"/>
              </w:rPr>
            </w:pPr>
            <w:r>
              <w:rPr>
                <w:rFonts w:ascii="Arial" w:cs="Arial" w:eastAsia="Arial" w:hAnsi="Arial"/>
                <w:sz w:val="12"/>
                <w:szCs w:val="12"/>
                <w:color w:val="auto"/>
              </w:rPr>
              <w:t>Total liabilities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9,008,192</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11,178,777</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11,301,387</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11,005,016</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9,091,261</w:t>
            </w:r>
          </w:p>
        </w:tc>
        <w:tc>
          <w:tcPr>
            <w:tcW w:w="0" w:type="dxa"/>
            <w:vAlign w:val="bottom"/>
          </w:tcPr>
          <w:p>
            <w:pPr>
              <w:spacing w:after="0"/>
              <w:rPr>
                <w:sz w:val="1"/>
                <w:szCs w:val="1"/>
                <w:color w:val="auto"/>
              </w:rPr>
            </w:pPr>
          </w:p>
        </w:tc>
      </w:tr>
      <w:tr>
        <w:trPr>
          <w:trHeight w:val="415"/>
        </w:trPr>
        <w:tc>
          <w:tcPr>
            <w:tcW w:w="4420" w:type="dxa"/>
            <w:vAlign w:val="bottom"/>
            <w:gridSpan w:val="3"/>
          </w:tcPr>
          <w:p>
            <w:pPr>
              <w:spacing w:after="0"/>
              <w:rPr>
                <w:sz w:val="20"/>
                <w:szCs w:val="20"/>
                <w:color w:val="auto"/>
              </w:rPr>
            </w:pPr>
            <w:r>
              <w:rPr>
                <w:rFonts w:ascii="Arial" w:cs="Arial" w:eastAsia="Arial" w:hAnsi="Arial"/>
                <w:sz w:val="12"/>
                <w:szCs w:val="12"/>
                <w:color w:val="auto"/>
              </w:rPr>
              <w:t>Fixed rate &amp; hedged debt - including SLG portion of JV debt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6,998,500</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7,895,076</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8,275,130</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8,085,553</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6,798,495</w:t>
            </w:r>
          </w:p>
        </w:tc>
        <w:tc>
          <w:tcPr>
            <w:tcW w:w="0" w:type="dxa"/>
            <w:vAlign w:val="bottom"/>
          </w:tcPr>
          <w:p>
            <w:pPr>
              <w:spacing w:after="0"/>
              <w:rPr>
                <w:sz w:val="1"/>
                <w:szCs w:val="1"/>
                <w:color w:val="auto"/>
              </w:rPr>
            </w:pPr>
          </w:p>
        </w:tc>
      </w:tr>
      <w:tr>
        <w:trPr>
          <w:trHeight w:val="228"/>
        </w:trPr>
        <w:tc>
          <w:tcPr>
            <w:tcW w:w="4420" w:type="dxa"/>
            <w:vAlign w:val="bottom"/>
            <w:gridSpan w:val="3"/>
          </w:tcPr>
          <w:p>
            <w:pPr>
              <w:spacing w:after="0"/>
              <w:rPr>
                <w:sz w:val="20"/>
                <w:szCs w:val="20"/>
                <w:color w:val="auto"/>
              </w:rPr>
            </w:pPr>
            <w:r>
              <w:rPr>
                <w:rFonts w:ascii="Arial" w:cs="Arial" w:eastAsia="Arial" w:hAnsi="Arial"/>
                <w:sz w:val="12"/>
                <w:szCs w:val="12"/>
                <w:color w:val="auto"/>
              </w:rPr>
              <w:t xml:space="preserve">Variable rate debt - including SLG portion of JV debt </w:t>
            </w:r>
            <w:r>
              <w:rPr>
                <w:rFonts w:ascii="Arial" w:cs="Arial" w:eastAsia="Arial" w:hAnsi="Arial"/>
                <w:sz w:val="14"/>
                <w:szCs w:val="14"/>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2,651,723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3,591,291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3,848,649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3,728,269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3,102,829</w:t>
            </w:r>
          </w:p>
        </w:tc>
        <w:tc>
          <w:tcPr>
            <w:tcW w:w="0" w:type="dxa"/>
            <w:vAlign w:val="bottom"/>
          </w:tcPr>
          <w:p>
            <w:pPr>
              <w:spacing w:after="0"/>
              <w:rPr>
                <w:sz w:val="1"/>
                <w:szCs w:val="1"/>
                <w:color w:val="auto"/>
              </w:rPr>
            </w:pPr>
          </w:p>
        </w:tc>
      </w:tr>
      <w:tr>
        <w:trPr>
          <w:trHeight w:val="188"/>
        </w:trPr>
        <w:tc>
          <w:tcPr>
            <w:tcW w:w="4420" w:type="dxa"/>
            <w:vAlign w:val="bottom"/>
            <w:gridSpan w:val="3"/>
          </w:tcPr>
          <w:p>
            <w:pPr>
              <w:spacing w:after="0"/>
              <w:rPr>
                <w:sz w:val="20"/>
                <w:szCs w:val="20"/>
                <w:color w:val="auto"/>
              </w:rPr>
            </w:pPr>
            <w:r>
              <w:rPr>
                <w:rFonts w:ascii="Arial" w:cs="Arial" w:eastAsia="Arial" w:hAnsi="Arial"/>
                <w:sz w:val="12"/>
                <w:szCs w:val="12"/>
                <w:color w:val="auto"/>
              </w:rPr>
              <w:t>Total combined debt</w:t>
            </w: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9,650,223</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11,486,367</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12,123,779</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11,813,822</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9,901,324</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2"/>
                <w:szCs w:val="12"/>
                <w:b w:val="1"/>
                <w:bCs w:val="1"/>
                <w:color w:val="auto"/>
                <w:w w:val="96"/>
              </w:rPr>
              <w:t>Selected Operating Data</w:t>
            </w:r>
          </w:p>
        </w:tc>
        <w:tc>
          <w:tcPr>
            <w:tcW w:w="306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1360" w:type="dxa"/>
            <w:vAlign w:val="bottom"/>
            <w:tcBorders>
              <w:bottom w:val="single" w:sz="8" w:color="auto"/>
            </w:tcBorders>
            <w:vMerge w:val="continue"/>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spacing w:after="0"/>
              <w:rPr>
                <w:sz w:val="20"/>
                <w:szCs w:val="20"/>
                <w:color w:val="auto"/>
              </w:rPr>
            </w:pPr>
            <w:r>
              <w:rPr>
                <w:rFonts w:ascii="Arial" w:cs="Arial" w:eastAsia="Arial" w:hAnsi="Arial"/>
                <w:sz w:val="12"/>
                <w:szCs w:val="12"/>
                <w:color w:val="auto"/>
              </w:rPr>
              <w:t>Property operating revenues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465,425</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391,218</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367,843</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366,719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345,633</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2"/>
                <w:szCs w:val="12"/>
                <w:color w:val="auto"/>
              </w:rPr>
              <w:t>Property operating expenses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(145,755)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(149,502)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(144,077)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(147,909)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(134,486)</w:t>
            </w:r>
          </w:p>
        </w:tc>
        <w:tc>
          <w:tcPr>
            <w:tcW w:w="0" w:type="dxa"/>
            <w:vAlign w:val="bottom"/>
          </w:tcPr>
          <w:p>
            <w:pPr>
              <w:spacing w:after="0"/>
              <w:rPr>
                <w:sz w:val="1"/>
                <w:szCs w:val="1"/>
                <w:color w:val="auto"/>
              </w:rPr>
            </w:pPr>
          </w:p>
        </w:tc>
      </w:tr>
      <w:tr>
        <w:trPr>
          <w:trHeight w:val="194"/>
        </w:trPr>
        <w:tc>
          <w:tcPr>
            <w:tcW w:w="4420" w:type="dxa"/>
            <w:vAlign w:val="bottom"/>
            <w:gridSpan w:val="3"/>
          </w:tcPr>
          <w:p>
            <w:pPr>
              <w:spacing w:after="0"/>
              <w:rPr>
                <w:sz w:val="20"/>
                <w:szCs w:val="20"/>
                <w:color w:val="auto"/>
              </w:rPr>
            </w:pPr>
            <w:r>
              <w:rPr>
                <w:rFonts w:ascii="Arial" w:cs="Arial" w:eastAsia="Arial" w:hAnsi="Arial"/>
                <w:sz w:val="12"/>
                <w:szCs w:val="12"/>
                <w:color w:val="auto"/>
              </w:rPr>
              <w:t>Property NOI</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319,670</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241,716</w:t>
            </w:r>
          </w:p>
        </w:tc>
        <w:tc>
          <w:tcPr>
            <w:tcW w:w="1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223,766</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218,810</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211,147</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2"/>
                <w:szCs w:val="12"/>
                <w:color w:val="auto"/>
              </w:rPr>
              <w:t>SLG share of property NOI from JVs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40,259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44,671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39,879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38,804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38,640</w:t>
            </w:r>
          </w:p>
        </w:tc>
        <w:tc>
          <w:tcPr>
            <w:tcW w:w="0" w:type="dxa"/>
            <w:vAlign w:val="bottom"/>
          </w:tcPr>
          <w:p>
            <w:pPr>
              <w:spacing w:after="0"/>
              <w:rPr>
                <w:sz w:val="1"/>
                <w:szCs w:val="1"/>
                <w:color w:val="auto"/>
              </w:rPr>
            </w:pPr>
          </w:p>
        </w:tc>
      </w:tr>
      <w:tr>
        <w:trPr>
          <w:trHeight w:val="194"/>
        </w:trPr>
        <w:tc>
          <w:tcPr>
            <w:tcW w:w="4420" w:type="dxa"/>
            <w:vAlign w:val="bottom"/>
            <w:gridSpan w:val="3"/>
          </w:tcPr>
          <w:p>
            <w:pPr>
              <w:spacing w:after="0"/>
              <w:rPr>
                <w:sz w:val="20"/>
                <w:szCs w:val="20"/>
                <w:color w:val="auto"/>
              </w:rPr>
            </w:pPr>
            <w:r>
              <w:rPr>
                <w:rFonts w:ascii="Arial" w:cs="Arial" w:eastAsia="Arial" w:hAnsi="Arial"/>
                <w:sz w:val="12"/>
                <w:szCs w:val="12"/>
                <w:color w:val="auto"/>
              </w:rPr>
              <w:t>Total property NOI - combined</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359,929</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286,387</w:t>
            </w:r>
          </w:p>
        </w:tc>
        <w:tc>
          <w:tcPr>
            <w:tcW w:w="1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263,645</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257,614</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249,787</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Investment income</w:t>
            </w:r>
          </w:p>
        </w:tc>
        <w:tc>
          <w:tcPr>
            <w:tcW w:w="1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44,214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54,737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44,540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49,328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45,191</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Other income</w:t>
            </w:r>
          </w:p>
        </w:tc>
        <w:tc>
          <w:tcPr>
            <w:tcW w:w="1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107,975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9,489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13,007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16,019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18,250</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2"/>
                <w:szCs w:val="12"/>
                <w:color w:val="auto"/>
              </w:rPr>
              <w:t>Marketing general &amp; administrative expenses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(24,484)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(24,032)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(22,734)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(23,475)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199"/>
        </w:trPr>
        <w:tc>
          <w:tcPr>
            <w:tcW w:w="4420" w:type="dxa"/>
            <w:vAlign w:val="bottom"/>
            <w:gridSpan w:val="3"/>
          </w:tcPr>
          <w:p>
            <w:pPr>
              <w:spacing w:after="0"/>
              <w:rPr>
                <w:sz w:val="20"/>
                <w:szCs w:val="20"/>
                <w:color w:val="auto"/>
              </w:rPr>
            </w:pPr>
            <w:r>
              <w:rPr>
                <w:rFonts w:ascii="Arial" w:cs="Arial" w:eastAsia="Arial" w:hAnsi="Arial"/>
                <w:sz w:val="12"/>
                <w:szCs w:val="12"/>
                <w:color w:val="auto"/>
              </w:rPr>
              <w:t>EBITDA - combined</w:t>
            </w: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487,634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326,581</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298,458</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299,486</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290,028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9"/>
          <w:szCs w:val="9"/>
          <w:color w:val="auto"/>
        </w:rPr>
        <w:t>(1) Does not reflect $1.1 billion of floating rate debt and preferred equity investments that provide a hedge against floating rate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10</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sectPr>
      </w:pPr>
    </w:p>
    <w:bookmarkStart w:id="27" w:name="page28"/>
    <w:bookmarkEnd w:id="2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158115</wp:posOffset>
            </wp:positionH>
            <wp:positionV relativeFrom="page">
              <wp:posOffset>172085</wp:posOffset>
            </wp:positionV>
            <wp:extent cx="6412230"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5988050</wp:posOffset>
            </wp:positionH>
            <wp:positionV relativeFrom="paragraph">
              <wp:posOffset>-48895</wp:posOffset>
            </wp:positionV>
            <wp:extent cx="1263015" cy="360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64122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8"/>
          </w:tcPr>
          <w:p>
            <w:pPr>
              <w:ind w:left="500"/>
              <w:spacing w:after="0"/>
              <w:rPr>
                <w:sz w:val="20"/>
                <w:szCs w:val="20"/>
                <w:color w:val="auto"/>
              </w:rPr>
            </w:pPr>
            <w:r>
              <w:rPr>
                <w:rFonts w:ascii="Arial" w:cs="Arial" w:eastAsia="Arial" w:hAnsi="Arial"/>
                <w:sz w:val="12"/>
                <w:szCs w:val="12"/>
                <w:b w:val="1"/>
                <w:bCs w:val="1"/>
                <w:color w:val="auto"/>
              </w:rPr>
              <w:t>As of or for the three months ended</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5"/>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6/30/2016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3/31/2016</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96"/>
              </w:rPr>
              <w:t>12/31/2015</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9/30/2015</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6/30/2015</w:t>
            </w:r>
          </w:p>
        </w:tc>
      </w:tr>
      <w:tr>
        <w:trPr>
          <w:trHeight w:val="383"/>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Selected Operating Data</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Property operating revenues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432,422</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361,584</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338,254</w:t>
            </w:r>
          </w:p>
        </w:tc>
        <w:tc>
          <w:tcPr>
            <w:tcW w:w="20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334,809</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314,960</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Property operating expenses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127,057</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131,267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124,302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127,382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115,174</w:t>
            </w:r>
          </w:p>
        </w:tc>
      </w:tr>
      <w:tr>
        <w:trPr>
          <w:trHeight w:val="194"/>
        </w:trPr>
        <w:tc>
          <w:tcPr>
            <w:tcW w:w="4540" w:type="dxa"/>
            <w:vAlign w:val="bottom"/>
            <w:gridSpan w:val="3"/>
          </w:tcPr>
          <w:p>
            <w:pPr>
              <w:spacing w:after="0"/>
              <w:rPr>
                <w:sz w:val="20"/>
                <w:szCs w:val="20"/>
                <w:color w:val="auto"/>
              </w:rPr>
            </w:pPr>
            <w:r>
              <w:rPr>
                <w:rFonts w:ascii="Arial" w:cs="Arial" w:eastAsia="Arial" w:hAnsi="Arial"/>
                <w:sz w:val="12"/>
                <w:szCs w:val="12"/>
                <w:color w:val="auto"/>
              </w:rPr>
              <w:t>Property NOI</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305,365</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230,317</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213,952</w:t>
            </w:r>
          </w:p>
        </w:tc>
        <w:tc>
          <w:tcPr>
            <w:tcW w:w="20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207,427</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199,786</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NOI from discontinued operations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94"/>
        </w:trPr>
        <w:tc>
          <w:tcPr>
            <w:tcW w:w="4540" w:type="dxa"/>
            <w:vAlign w:val="bottom"/>
            <w:gridSpan w:val="3"/>
          </w:tcPr>
          <w:p>
            <w:pPr>
              <w:spacing w:after="0"/>
              <w:rPr>
                <w:sz w:val="20"/>
                <w:szCs w:val="20"/>
                <w:color w:val="auto"/>
              </w:rPr>
            </w:pPr>
            <w:r>
              <w:rPr>
                <w:rFonts w:ascii="Arial" w:cs="Arial" w:eastAsia="Arial" w:hAnsi="Arial"/>
                <w:sz w:val="12"/>
                <w:szCs w:val="12"/>
                <w:color w:val="auto"/>
              </w:rPr>
              <w:t>Total property NOI - consolidated</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305,365</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230,317</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213,952</w:t>
            </w:r>
          </w:p>
        </w:tc>
        <w:tc>
          <w:tcPr>
            <w:tcW w:w="20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207,427</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199,786</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Other income - consolidated</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95,333</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1,648</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3,088</w:t>
            </w:r>
          </w:p>
        </w:tc>
        <w:tc>
          <w:tcPr>
            <w:tcW w:w="20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7,337</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13,230</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SLG share of property NOI from unconsolidated JV</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36,083</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40,714</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36,171</w:t>
            </w:r>
          </w:p>
        </w:tc>
        <w:tc>
          <w:tcPr>
            <w:tcW w:w="20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35,145</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34,150</w:t>
            </w:r>
          </w:p>
        </w:tc>
      </w:tr>
      <w:tr>
        <w:trPr>
          <w:trHeight w:val="392"/>
        </w:trPr>
        <w:tc>
          <w:tcPr>
            <w:tcW w:w="1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Portfolio Statistics</w:t>
            </w:r>
          </w:p>
        </w:tc>
        <w:tc>
          <w:tcPr>
            <w:tcW w:w="35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Consolidated office buildings in service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Unconsolidated office buildings in service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r>
      <w:tr>
        <w:trPr>
          <w:trHeight w:val="188"/>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3"/>
        </w:trPr>
        <w:tc>
          <w:tcPr>
            <w:tcW w:w="4540" w:type="dxa"/>
            <w:vAlign w:val="bottom"/>
            <w:gridSpan w:val="3"/>
          </w:tcPr>
          <w:p>
            <w:pPr>
              <w:spacing w:after="0"/>
              <w:rPr>
                <w:sz w:val="20"/>
                <w:szCs w:val="20"/>
                <w:color w:val="auto"/>
              </w:rPr>
            </w:pPr>
            <w:r>
              <w:rPr>
                <w:rFonts w:ascii="Arial" w:cs="Arial" w:eastAsia="Arial" w:hAnsi="Arial"/>
                <w:sz w:val="12"/>
                <w:szCs w:val="12"/>
                <w:color w:val="auto"/>
              </w:rPr>
              <w:t>Consolidated office buildings in service - square footage</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18,368,606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21,003,606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21,003,606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20,700,091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18,533,045</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Unconsolidated office buildings in service - square footage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4,244,139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4,244,139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3,024,981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3,328,496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3,476,115</w:t>
            </w:r>
          </w:p>
        </w:tc>
      </w:tr>
      <w:tr>
        <w:trPr>
          <w:trHeight w:val="188"/>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22,612,745</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25,247,745</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24,028,587</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24,028,587</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22,009,160</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3"/>
        </w:trPr>
        <w:tc>
          <w:tcPr>
            <w:tcW w:w="4540" w:type="dxa"/>
            <w:vAlign w:val="bottom"/>
            <w:gridSpan w:val="3"/>
          </w:tcPr>
          <w:p>
            <w:pPr>
              <w:spacing w:after="0"/>
              <w:rPr>
                <w:sz w:val="20"/>
                <w:szCs w:val="20"/>
                <w:color w:val="auto"/>
              </w:rPr>
            </w:pPr>
            <w:r>
              <w:rPr>
                <w:rFonts w:ascii="Arial" w:cs="Arial" w:eastAsia="Arial" w:hAnsi="Arial"/>
                <w:sz w:val="12"/>
                <w:szCs w:val="12"/>
                <w:color w:val="auto"/>
              </w:rPr>
              <w:t>Quarter end occupancy- same store - combined office (consolidated + JV)</w:t>
            </w: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96.5%</w:t>
            </w:r>
          </w:p>
        </w:tc>
        <w:tc>
          <w:tcPr>
            <w:tcW w:w="180" w:type="dxa"/>
            <w:vAlign w:val="bottom"/>
          </w:tcPr>
          <w:p>
            <w:pPr>
              <w:jc w:val="right"/>
              <w:ind w:right="5"/>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96.2%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96.2%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96.7%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96.6%</w:t>
            </w:r>
          </w:p>
        </w:tc>
      </w:tr>
      <w:tr>
        <w:trPr>
          <w:trHeight w:val="392"/>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Office Leasing Statistics</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Total office leases commenced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Commenced office square footage filling vacancy</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37,556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643,979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91,396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56,387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269,446</w:t>
            </w:r>
          </w:p>
        </w:tc>
      </w:tr>
      <w:tr>
        <w:trPr>
          <w:trHeight w:val="228"/>
        </w:trPr>
        <w:tc>
          <w:tcPr>
            <w:tcW w:w="4540" w:type="dxa"/>
            <w:vAlign w:val="bottom"/>
            <w:gridSpan w:val="3"/>
          </w:tcPr>
          <w:p>
            <w:pPr>
              <w:spacing w:after="0"/>
              <w:rPr>
                <w:sz w:val="20"/>
                <w:szCs w:val="20"/>
                <w:color w:val="auto"/>
              </w:rPr>
            </w:pPr>
            <w:r>
              <w:rPr>
                <w:rFonts w:ascii="Arial" w:cs="Arial" w:eastAsia="Arial" w:hAnsi="Arial"/>
                <w:sz w:val="12"/>
                <w:szCs w:val="12"/>
                <w:color w:val="auto"/>
              </w:rPr>
              <w:t xml:space="preserve">Commenced office square footage on previously occupied space (M-T-M leasing) </w:t>
            </w:r>
            <w:r>
              <w:rPr>
                <w:rFonts w:ascii="Arial" w:cs="Arial" w:eastAsia="Arial" w:hAnsi="Arial"/>
                <w:sz w:val="14"/>
                <w:szCs w:val="14"/>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661,197</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617,028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299,375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232,629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303,986</w:t>
            </w:r>
          </w:p>
        </w:tc>
      </w:tr>
      <w:tr>
        <w:trPr>
          <w:trHeight w:val="188"/>
        </w:trPr>
        <w:tc>
          <w:tcPr>
            <w:tcW w:w="4540" w:type="dxa"/>
            <w:vAlign w:val="bottom"/>
            <w:gridSpan w:val="3"/>
          </w:tcPr>
          <w:p>
            <w:pPr>
              <w:spacing w:after="0"/>
              <w:rPr>
                <w:sz w:val="20"/>
                <w:szCs w:val="20"/>
                <w:color w:val="auto"/>
              </w:rPr>
            </w:pPr>
            <w:r>
              <w:rPr>
                <w:rFonts w:ascii="Arial" w:cs="Arial" w:eastAsia="Arial" w:hAnsi="Arial"/>
                <w:sz w:val="12"/>
                <w:szCs w:val="12"/>
                <w:color w:val="auto"/>
              </w:rPr>
              <w:t>Total office square footage commenced</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698,753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1,261,007</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390,771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289,016</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573,432</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8"/>
        </w:trPr>
        <w:tc>
          <w:tcPr>
            <w:tcW w:w="4540" w:type="dxa"/>
            <w:vAlign w:val="bottom"/>
            <w:gridSpan w:val="3"/>
          </w:tcPr>
          <w:p>
            <w:pPr>
              <w:spacing w:after="0"/>
              <w:rPr>
                <w:sz w:val="20"/>
                <w:szCs w:val="20"/>
                <w:color w:val="auto"/>
              </w:rPr>
            </w:pPr>
            <w:r>
              <w:rPr>
                <w:rFonts w:ascii="Arial" w:cs="Arial" w:eastAsia="Arial" w:hAnsi="Arial"/>
                <w:sz w:val="12"/>
                <w:szCs w:val="12"/>
                <w:color w:val="auto"/>
              </w:rPr>
              <w:t>Average starting cash rent psf - office leases commenced</w:t>
            </w: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$67.55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$70.66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$65.48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$70.45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$61.66</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Previously escalated cash rent psf - office leases commenced</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$60.41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$48.71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$56.80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$55.57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$52.94</w:t>
            </w:r>
          </w:p>
        </w:tc>
      </w:tr>
      <w:tr>
        <w:trPr>
          <w:trHeight w:val="260"/>
        </w:trPr>
        <w:tc>
          <w:tcPr>
            <w:tcW w:w="4540" w:type="dxa"/>
            <w:vAlign w:val="bottom"/>
            <w:gridSpan w:val="3"/>
          </w:tcPr>
          <w:p>
            <w:pPr>
              <w:spacing w:after="0"/>
              <w:rPr>
                <w:sz w:val="20"/>
                <w:szCs w:val="20"/>
                <w:color w:val="auto"/>
              </w:rPr>
            </w:pPr>
            <w:r>
              <w:rPr>
                <w:rFonts w:ascii="Arial" w:cs="Arial" w:eastAsia="Arial" w:hAnsi="Arial"/>
                <w:sz w:val="12"/>
                <w:szCs w:val="12"/>
                <w:color w:val="auto"/>
              </w:rPr>
              <w:t xml:space="preserve">Increase in new cash rent over previously escalated cash rent </w:t>
            </w:r>
            <w:r>
              <w:rPr>
                <w:rFonts w:ascii="Arial" w:cs="Arial" w:eastAsia="Arial" w:hAnsi="Arial"/>
                <w:sz w:val="14"/>
                <w:szCs w:val="14"/>
                <w:color w:val="auto"/>
                <w:vertAlign w:val="superscript"/>
              </w:rPr>
              <w:t>(2)</w:t>
            </w:r>
          </w:p>
        </w:tc>
        <w:tc>
          <w:tcPr>
            <w:tcW w:w="160" w:type="dxa"/>
            <w:vAlign w:val="bottom"/>
          </w:tcPr>
          <w:p>
            <w:pPr>
              <w:spacing w:after="0"/>
              <w:rPr>
                <w:sz w:val="22"/>
                <w:szCs w:val="2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11.8%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45.1%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15.3%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26.8%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16.5%</w:t>
            </w:r>
          </w:p>
        </w:tc>
      </w:tr>
      <w:tr>
        <w:trPr>
          <w:trHeight w:val="177"/>
        </w:trPr>
        <w:tc>
          <w:tcPr>
            <w:tcW w:w="4540" w:type="dxa"/>
            <w:vAlign w:val="bottom"/>
            <w:gridSpan w:val="3"/>
          </w:tcPr>
          <w:p>
            <w:pPr>
              <w:spacing w:after="0"/>
              <w:rPr>
                <w:sz w:val="20"/>
                <w:szCs w:val="20"/>
                <w:color w:val="auto"/>
              </w:rPr>
            </w:pPr>
            <w:r>
              <w:rPr>
                <w:rFonts w:ascii="Arial" w:cs="Arial" w:eastAsia="Arial" w:hAnsi="Arial"/>
                <w:sz w:val="12"/>
                <w:szCs w:val="12"/>
                <w:color w:val="auto"/>
              </w:rPr>
              <w:t>Average lease term</w:t>
            </w: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6.8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3"/>
              </w:rPr>
              <w:t>13.0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5"/>
              </w:rPr>
              <w:t>9.1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7.8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3"/>
              </w:rPr>
              <w:t>11.3</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Tenant concession packages psf</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$20.64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$57.64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$23.70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$39.44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$54.43</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Free rent months</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5"/>
              </w:rPr>
              <w:t>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6.2</w:t>
            </w:r>
          </w:p>
        </w:tc>
      </w:tr>
    </w:tbl>
    <w:p>
      <w:pPr>
        <w:spacing w:after="0" w:line="226" w:lineRule="exact"/>
        <w:rPr>
          <w:sz w:val="20"/>
          <w:szCs w:val="20"/>
          <w:color w:val="auto"/>
        </w:rPr>
      </w:pPr>
    </w:p>
    <w:p>
      <w:pPr>
        <w:ind w:left="820" w:hanging="133"/>
        <w:spacing w:after="0"/>
        <w:tabs>
          <w:tab w:leader="none" w:pos="820" w:val="left"/>
        </w:tabs>
        <w:numPr>
          <w:ilvl w:val="0"/>
          <w:numId w:val="14"/>
        </w:numPr>
        <w:rPr>
          <w:rFonts w:ascii="Arial" w:cs="Arial" w:eastAsia="Arial" w:hAnsi="Arial"/>
          <w:sz w:val="9"/>
          <w:szCs w:val="9"/>
          <w:color w:val="auto"/>
        </w:rPr>
      </w:pPr>
      <w:r>
        <w:rPr>
          <w:rFonts w:ascii="Arial" w:cs="Arial" w:eastAsia="Arial" w:hAnsi="Arial"/>
          <w:sz w:val="9"/>
          <w:szCs w:val="9"/>
          <w:color w:val="auto"/>
        </w:rPr>
        <w:t>Manhattan same-store occupancy, inclusive of 194,733 square feet of leases signed but not yet commenced, is 97.4% as of June 30, 2016, as compared to 97.1% at June 30, 2015 and 97.4% at March 31, 2016.</w:t>
      </w:r>
    </w:p>
    <w:p>
      <w:pPr>
        <w:spacing w:after="0" w:line="38" w:lineRule="exact"/>
        <w:rPr>
          <w:rFonts w:ascii="Arial" w:cs="Arial" w:eastAsia="Arial" w:hAnsi="Arial"/>
          <w:sz w:val="9"/>
          <w:szCs w:val="9"/>
          <w:color w:val="auto"/>
        </w:rPr>
      </w:pPr>
    </w:p>
    <w:p>
      <w:pPr>
        <w:ind w:left="820" w:hanging="133"/>
        <w:spacing w:after="0"/>
        <w:tabs>
          <w:tab w:leader="none" w:pos="820" w:val="left"/>
        </w:tabs>
        <w:numPr>
          <w:ilvl w:val="0"/>
          <w:numId w:val="14"/>
        </w:numPr>
        <w:rPr>
          <w:rFonts w:ascii="Arial" w:cs="Arial" w:eastAsia="Arial" w:hAnsi="Arial"/>
          <w:sz w:val="9"/>
          <w:szCs w:val="9"/>
          <w:color w:val="auto"/>
        </w:rPr>
      </w:pPr>
      <w:r>
        <w:rPr>
          <w:rFonts w:ascii="Arial" w:cs="Arial" w:eastAsia="Arial" w:hAnsi="Arial"/>
          <w:sz w:val="9"/>
          <w:szCs w:val="9"/>
          <w:color w:val="auto"/>
        </w:rPr>
        <w:t>Calculated on space that was occupied within the previous 12 months</w:t>
      </w:r>
    </w:p>
    <w:p>
      <w:pPr>
        <w:spacing w:after="0" w:line="200" w:lineRule="exact"/>
        <w:rPr>
          <w:sz w:val="20"/>
          <w:szCs w:val="20"/>
          <w:color w:val="auto"/>
        </w:rPr>
      </w:pPr>
    </w:p>
    <w:p>
      <w:pPr>
        <w:spacing w:after="0" w:line="361" w:lineRule="exact"/>
        <w:rPr>
          <w:sz w:val="20"/>
          <w:szCs w:val="20"/>
          <w:color w:val="auto"/>
        </w:rPr>
      </w:pPr>
    </w:p>
    <w:p>
      <w:pPr>
        <w:ind w:left="700"/>
        <w:spacing w:after="0"/>
        <w:tabs>
          <w:tab w:leader="none" w:pos="5620" w:val="left"/>
          <w:tab w:leader="none" w:pos="974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11</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760"/>
          </w:cols>
          <w:pgMar w:left="240" w:top="338" w:right="89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Suburban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8"/>
          </w:tcPr>
          <w:p>
            <w:pPr>
              <w:ind w:left="500"/>
              <w:spacing w:after="0"/>
              <w:rPr>
                <w:sz w:val="20"/>
                <w:szCs w:val="20"/>
                <w:color w:val="auto"/>
              </w:rPr>
            </w:pPr>
            <w:r>
              <w:rPr>
                <w:rFonts w:ascii="Arial" w:cs="Arial" w:eastAsia="Arial" w:hAnsi="Arial"/>
                <w:sz w:val="12"/>
                <w:szCs w:val="12"/>
                <w:b w:val="1"/>
                <w:bCs w:val="1"/>
                <w:color w:val="auto"/>
              </w:rPr>
              <w:t>As of or for the three months ended</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b w:val="1"/>
                <w:bCs w:val="1"/>
                <w:color w:val="auto"/>
                <w:w w:val="97"/>
              </w:rPr>
              <w:t>6/30/2016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center"/>
              <w:ind w:right="102"/>
              <w:spacing w:after="0"/>
              <w:rPr>
                <w:sz w:val="20"/>
                <w:szCs w:val="20"/>
                <w:color w:val="auto"/>
              </w:rPr>
            </w:pPr>
            <w:r>
              <w:rPr>
                <w:rFonts w:ascii="Arial" w:cs="Arial" w:eastAsia="Arial" w:hAnsi="Arial"/>
                <w:sz w:val="12"/>
                <w:szCs w:val="12"/>
                <w:b w:val="1"/>
                <w:bCs w:val="1"/>
                <w:color w:val="auto"/>
                <w:w w:val="97"/>
              </w:rPr>
              <w:t>3/31/2016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center"/>
              <w:ind w:right="82"/>
              <w:spacing w:after="0"/>
              <w:rPr>
                <w:sz w:val="20"/>
                <w:szCs w:val="20"/>
                <w:color w:val="auto"/>
              </w:rPr>
            </w:pPr>
            <w:r>
              <w:rPr>
                <w:rFonts w:ascii="Arial" w:cs="Arial" w:eastAsia="Arial" w:hAnsi="Arial"/>
                <w:sz w:val="12"/>
                <w:szCs w:val="12"/>
                <w:b w:val="1"/>
                <w:bCs w:val="1"/>
                <w:color w:val="auto"/>
                <w:w w:val="96"/>
              </w:rPr>
              <w:t>12/31/2015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center"/>
              <w:ind w:right="102"/>
              <w:spacing w:after="0"/>
              <w:rPr>
                <w:sz w:val="20"/>
                <w:szCs w:val="20"/>
                <w:color w:val="auto"/>
              </w:rPr>
            </w:pPr>
            <w:r>
              <w:rPr>
                <w:rFonts w:ascii="Arial" w:cs="Arial" w:eastAsia="Arial" w:hAnsi="Arial"/>
                <w:sz w:val="12"/>
                <w:szCs w:val="12"/>
                <w:b w:val="1"/>
                <w:bCs w:val="1"/>
                <w:color w:val="auto"/>
                <w:w w:val="97"/>
              </w:rPr>
              <w:t>9/30/2015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center"/>
              <w:ind w:right="102"/>
              <w:spacing w:after="0"/>
              <w:rPr>
                <w:sz w:val="20"/>
                <w:szCs w:val="20"/>
                <w:color w:val="auto"/>
              </w:rPr>
            </w:pPr>
            <w:r>
              <w:rPr>
                <w:rFonts w:ascii="Arial" w:cs="Arial" w:eastAsia="Arial" w:hAnsi="Arial"/>
                <w:sz w:val="12"/>
                <w:szCs w:val="12"/>
                <w:b w:val="1"/>
                <w:bCs w:val="1"/>
                <w:color w:val="auto"/>
                <w:w w:val="97"/>
              </w:rPr>
              <w:t>6/30/2015</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3"/>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Selected Operating Data</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Property operating revenues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28,276</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27,934</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29,897</w:t>
            </w:r>
          </w:p>
        </w:tc>
        <w:tc>
          <w:tcPr>
            <w:tcW w:w="20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30,231</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29,355</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Property operating expenses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14,838</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14,891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16,247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16,221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16,045</w:t>
            </w:r>
          </w:p>
        </w:tc>
        <w:tc>
          <w:tcPr>
            <w:tcW w:w="0" w:type="dxa"/>
            <w:vAlign w:val="bottom"/>
          </w:tcPr>
          <w:p>
            <w:pPr>
              <w:spacing w:after="0"/>
              <w:rPr>
                <w:sz w:val="1"/>
                <w:szCs w:val="1"/>
                <w:color w:val="auto"/>
              </w:rPr>
            </w:pPr>
          </w:p>
        </w:tc>
      </w:tr>
      <w:tr>
        <w:trPr>
          <w:trHeight w:val="194"/>
        </w:trPr>
        <w:tc>
          <w:tcPr>
            <w:tcW w:w="4540" w:type="dxa"/>
            <w:vAlign w:val="bottom"/>
            <w:gridSpan w:val="3"/>
          </w:tcPr>
          <w:p>
            <w:pPr>
              <w:spacing w:after="0"/>
              <w:rPr>
                <w:sz w:val="20"/>
                <w:szCs w:val="20"/>
                <w:color w:val="auto"/>
              </w:rPr>
            </w:pPr>
            <w:r>
              <w:rPr>
                <w:rFonts w:ascii="Arial" w:cs="Arial" w:eastAsia="Arial" w:hAnsi="Arial"/>
                <w:sz w:val="12"/>
                <w:szCs w:val="12"/>
                <w:color w:val="auto"/>
              </w:rPr>
              <w:t>Property NOI</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13,438</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13,043</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13,650</w:t>
            </w:r>
          </w:p>
        </w:tc>
        <w:tc>
          <w:tcPr>
            <w:tcW w:w="20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14,010</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13,310</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NOI from discontinued operations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4540" w:type="dxa"/>
            <w:vAlign w:val="bottom"/>
            <w:gridSpan w:val="3"/>
          </w:tcPr>
          <w:p>
            <w:pPr>
              <w:spacing w:after="0"/>
              <w:rPr>
                <w:sz w:val="20"/>
                <w:szCs w:val="20"/>
                <w:color w:val="auto"/>
              </w:rPr>
            </w:pPr>
            <w:r>
              <w:rPr>
                <w:rFonts w:ascii="Arial" w:cs="Arial" w:eastAsia="Arial" w:hAnsi="Arial"/>
                <w:sz w:val="12"/>
                <w:szCs w:val="12"/>
                <w:color w:val="auto"/>
              </w:rPr>
              <w:t>Total property NOI - consolidated</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13,438</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13,043</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13,650</w:t>
            </w:r>
          </w:p>
        </w:tc>
        <w:tc>
          <w:tcPr>
            <w:tcW w:w="20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14,010</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13,310</w:t>
            </w:r>
          </w:p>
        </w:tc>
        <w:tc>
          <w:tcPr>
            <w:tcW w:w="0" w:type="dxa"/>
            <w:vAlign w:val="bottom"/>
          </w:tcPr>
          <w:p>
            <w:pPr>
              <w:spacing w:after="0"/>
              <w:rPr>
                <w:sz w:val="1"/>
                <w:szCs w:val="1"/>
                <w:color w:val="auto"/>
              </w:rPr>
            </w:pP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Other income - consolidated</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624</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759</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80</w:t>
            </w:r>
          </w:p>
        </w:tc>
        <w:tc>
          <w:tcPr>
            <w:tcW w:w="20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240</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SLG share of property NOI from unconsolidated JV</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228</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647</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409</w:t>
            </w:r>
          </w:p>
        </w:tc>
        <w:tc>
          <w:tcPr>
            <w:tcW w:w="20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271</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1,301</w:t>
            </w:r>
          </w:p>
        </w:tc>
        <w:tc>
          <w:tcPr>
            <w:tcW w:w="0" w:type="dxa"/>
            <w:vAlign w:val="bottom"/>
          </w:tcPr>
          <w:p>
            <w:pPr>
              <w:spacing w:after="0"/>
              <w:rPr>
                <w:sz w:val="1"/>
                <w:szCs w:val="1"/>
                <w:color w:val="auto"/>
              </w:rPr>
            </w:pPr>
          </w:p>
        </w:tc>
      </w:tr>
      <w:tr>
        <w:trPr>
          <w:trHeight w:val="392"/>
        </w:trPr>
        <w:tc>
          <w:tcPr>
            <w:tcW w:w="1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Portfolio Statistics</w:t>
            </w:r>
          </w:p>
        </w:tc>
        <w:tc>
          <w:tcPr>
            <w:tcW w:w="35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Consolidated office buildings in service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Unconsolidated office buildings in service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540" w:type="dxa"/>
            <w:vAlign w:val="bottom"/>
            <w:gridSpan w:val="3"/>
          </w:tcPr>
          <w:p>
            <w:pPr>
              <w:spacing w:after="0"/>
              <w:rPr>
                <w:sz w:val="20"/>
                <w:szCs w:val="20"/>
                <w:color w:val="auto"/>
              </w:rPr>
            </w:pPr>
            <w:r>
              <w:rPr>
                <w:rFonts w:ascii="Arial" w:cs="Arial" w:eastAsia="Arial" w:hAnsi="Arial"/>
                <w:sz w:val="12"/>
                <w:szCs w:val="12"/>
                <w:color w:val="auto"/>
              </w:rPr>
              <w:t>Consolidated office buildings in service - square footage</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4,235,300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4,235,300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4,235,300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4,450,400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4,450,400</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Unconsolidated office buildings in service - square footage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640,000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640,000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705,641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705,641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1,287,741</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4,875,300</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4,875,300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4,940,941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5,156,041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5,738,141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540" w:type="dxa"/>
            <w:vAlign w:val="bottom"/>
            <w:gridSpan w:val="3"/>
          </w:tcPr>
          <w:p>
            <w:pPr>
              <w:spacing w:after="0"/>
              <w:rPr>
                <w:sz w:val="20"/>
                <w:szCs w:val="20"/>
                <w:color w:val="auto"/>
              </w:rPr>
            </w:pPr>
            <w:r>
              <w:rPr>
                <w:rFonts w:ascii="Arial" w:cs="Arial" w:eastAsia="Arial" w:hAnsi="Arial"/>
                <w:sz w:val="12"/>
                <w:szCs w:val="12"/>
                <w:color w:val="auto"/>
              </w:rPr>
              <w:t>Quarter end occupancy- same store - combined office (consolidated + JV)</w:t>
            </w: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82.1%</w:t>
            </w:r>
          </w:p>
        </w:tc>
        <w:tc>
          <w:tcPr>
            <w:tcW w:w="180" w:type="dxa"/>
            <w:vAlign w:val="bottom"/>
          </w:tcPr>
          <w:p>
            <w:pPr>
              <w:jc w:val="right"/>
              <w:ind w:right="5"/>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83.4%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80.6%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81.7%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81.9%</w:t>
            </w:r>
          </w:p>
        </w:tc>
        <w:tc>
          <w:tcPr>
            <w:tcW w:w="0" w:type="dxa"/>
            <w:vAlign w:val="bottom"/>
          </w:tcPr>
          <w:p>
            <w:pPr>
              <w:spacing w:after="0"/>
              <w:rPr>
                <w:sz w:val="1"/>
                <w:szCs w:val="1"/>
                <w:color w:val="auto"/>
              </w:rPr>
            </w:pPr>
          </w:p>
        </w:tc>
      </w:tr>
      <w:tr>
        <w:trPr>
          <w:trHeight w:val="392"/>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Office Leasing Statistics</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Total office leases commenced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Commenced office square footage filling vacancy</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63,105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112,469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43,516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59,812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111,895</w:t>
            </w:r>
          </w:p>
        </w:tc>
        <w:tc>
          <w:tcPr>
            <w:tcW w:w="0" w:type="dxa"/>
            <w:vAlign w:val="bottom"/>
          </w:tcPr>
          <w:p>
            <w:pPr>
              <w:spacing w:after="0"/>
              <w:rPr>
                <w:sz w:val="1"/>
                <w:szCs w:val="1"/>
                <w:color w:val="auto"/>
              </w:rPr>
            </w:pPr>
          </w:p>
        </w:tc>
      </w:tr>
      <w:tr>
        <w:trPr>
          <w:trHeight w:val="228"/>
        </w:trPr>
        <w:tc>
          <w:tcPr>
            <w:tcW w:w="4540" w:type="dxa"/>
            <w:vAlign w:val="bottom"/>
            <w:gridSpan w:val="3"/>
          </w:tcPr>
          <w:p>
            <w:pPr>
              <w:spacing w:after="0"/>
              <w:rPr>
                <w:sz w:val="20"/>
                <w:szCs w:val="20"/>
                <w:color w:val="auto"/>
              </w:rPr>
            </w:pPr>
            <w:r>
              <w:rPr>
                <w:rFonts w:ascii="Arial" w:cs="Arial" w:eastAsia="Arial" w:hAnsi="Arial"/>
                <w:sz w:val="12"/>
                <w:szCs w:val="12"/>
                <w:color w:val="auto"/>
              </w:rPr>
              <w:t xml:space="preserve">Commenced office square footage on previously occupied space (M-T-M leasing) </w:t>
            </w:r>
            <w:r>
              <w:rPr>
                <w:rFonts w:ascii="Arial" w:cs="Arial" w:eastAsia="Arial" w:hAnsi="Arial"/>
                <w:sz w:val="14"/>
                <w:szCs w:val="14"/>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104,704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203,690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167,798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80,403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102,088</w:t>
            </w:r>
          </w:p>
        </w:tc>
        <w:tc>
          <w:tcPr>
            <w:tcW w:w="0" w:type="dxa"/>
            <w:vAlign w:val="bottom"/>
          </w:tcPr>
          <w:p>
            <w:pPr>
              <w:spacing w:after="0"/>
              <w:rPr>
                <w:sz w:val="1"/>
                <w:szCs w:val="1"/>
                <w:color w:val="auto"/>
              </w:rPr>
            </w:pPr>
          </w:p>
        </w:tc>
      </w:tr>
      <w:tr>
        <w:trPr>
          <w:trHeight w:val="188"/>
        </w:trPr>
        <w:tc>
          <w:tcPr>
            <w:tcW w:w="4540" w:type="dxa"/>
            <w:vAlign w:val="bottom"/>
            <w:gridSpan w:val="3"/>
          </w:tcPr>
          <w:p>
            <w:pPr>
              <w:spacing w:after="0"/>
              <w:rPr>
                <w:sz w:val="20"/>
                <w:szCs w:val="20"/>
                <w:color w:val="auto"/>
              </w:rPr>
            </w:pPr>
            <w:r>
              <w:rPr>
                <w:rFonts w:ascii="Arial" w:cs="Arial" w:eastAsia="Arial" w:hAnsi="Arial"/>
                <w:sz w:val="12"/>
                <w:szCs w:val="12"/>
                <w:color w:val="auto"/>
              </w:rPr>
              <w:t>Total office square footage commenced</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167,809</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316,159</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211,314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140,215</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213,983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540" w:type="dxa"/>
            <w:vAlign w:val="bottom"/>
            <w:gridSpan w:val="3"/>
          </w:tcPr>
          <w:p>
            <w:pPr>
              <w:spacing w:after="0"/>
              <w:rPr>
                <w:sz w:val="20"/>
                <w:szCs w:val="20"/>
                <w:color w:val="auto"/>
              </w:rPr>
            </w:pPr>
            <w:r>
              <w:rPr>
                <w:rFonts w:ascii="Arial" w:cs="Arial" w:eastAsia="Arial" w:hAnsi="Arial"/>
                <w:sz w:val="12"/>
                <w:szCs w:val="12"/>
                <w:color w:val="auto"/>
              </w:rPr>
              <w:t>Average starting cash rent psf - office leases commenced</w:t>
            </w: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$38.42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$37.66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$32.16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$33.64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$36.28</w:t>
            </w:r>
          </w:p>
        </w:tc>
        <w:tc>
          <w:tcPr>
            <w:tcW w:w="0" w:type="dxa"/>
            <w:vAlign w:val="bottom"/>
          </w:tcPr>
          <w:p>
            <w:pPr>
              <w:spacing w:after="0"/>
              <w:rPr>
                <w:sz w:val="1"/>
                <w:szCs w:val="1"/>
                <w:color w:val="auto"/>
              </w:rPr>
            </w:pP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Previously escalated cash rent psf - office leases commenced</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$37.46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$35.84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$31.58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$35.48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$36.72</w:t>
            </w:r>
          </w:p>
        </w:tc>
        <w:tc>
          <w:tcPr>
            <w:tcW w:w="0" w:type="dxa"/>
            <w:vAlign w:val="bottom"/>
          </w:tcPr>
          <w:p>
            <w:pPr>
              <w:spacing w:after="0"/>
              <w:rPr>
                <w:sz w:val="1"/>
                <w:szCs w:val="1"/>
                <w:color w:val="auto"/>
              </w:rPr>
            </w:pPr>
          </w:p>
        </w:tc>
      </w:tr>
      <w:tr>
        <w:trPr>
          <w:trHeight w:val="260"/>
        </w:trPr>
        <w:tc>
          <w:tcPr>
            <w:tcW w:w="4540" w:type="dxa"/>
            <w:vAlign w:val="bottom"/>
            <w:gridSpan w:val="3"/>
          </w:tcPr>
          <w:p>
            <w:pPr>
              <w:spacing w:after="0"/>
              <w:rPr>
                <w:sz w:val="20"/>
                <w:szCs w:val="20"/>
                <w:color w:val="auto"/>
              </w:rPr>
            </w:pPr>
            <w:r>
              <w:rPr>
                <w:rFonts w:ascii="Arial" w:cs="Arial" w:eastAsia="Arial" w:hAnsi="Arial"/>
                <w:sz w:val="12"/>
                <w:szCs w:val="12"/>
                <w:color w:val="auto"/>
              </w:rPr>
              <w:t xml:space="preserve">Increase/(decrease) in new cash rent over previously escalated cash rent </w:t>
            </w:r>
            <w:r>
              <w:rPr>
                <w:rFonts w:ascii="Arial" w:cs="Arial" w:eastAsia="Arial" w:hAnsi="Arial"/>
                <w:sz w:val="14"/>
                <w:szCs w:val="14"/>
                <w:color w:val="auto"/>
                <w:vertAlign w:val="superscript"/>
              </w:rPr>
              <w:t>(2)</w:t>
            </w:r>
          </w:p>
        </w:tc>
        <w:tc>
          <w:tcPr>
            <w:tcW w:w="160" w:type="dxa"/>
            <w:vAlign w:val="bottom"/>
          </w:tcPr>
          <w:p>
            <w:pPr>
              <w:spacing w:after="0"/>
              <w:rPr>
                <w:sz w:val="22"/>
                <w:szCs w:val="2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rPr>
              <w:t>2.8%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4"/>
              </w:rPr>
              <w:t>5.1%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4"/>
              </w:rPr>
              <w:t>1.8%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rPr>
              <w:t>(5.2)%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6"/>
              </w:rPr>
              <w:t>(1.2)%</w:t>
            </w:r>
          </w:p>
        </w:tc>
        <w:tc>
          <w:tcPr>
            <w:tcW w:w="0" w:type="dxa"/>
            <w:vAlign w:val="bottom"/>
          </w:tcPr>
          <w:p>
            <w:pPr>
              <w:spacing w:after="0"/>
              <w:rPr>
                <w:sz w:val="1"/>
                <w:szCs w:val="1"/>
                <w:color w:val="auto"/>
              </w:rPr>
            </w:pPr>
          </w:p>
        </w:tc>
      </w:tr>
      <w:tr>
        <w:trPr>
          <w:trHeight w:val="177"/>
        </w:trPr>
        <w:tc>
          <w:tcPr>
            <w:tcW w:w="4540" w:type="dxa"/>
            <w:vAlign w:val="bottom"/>
            <w:gridSpan w:val="3"/>
          </w:tcPr>
          <w:p>
            <w:pPr>
              <w:spacing w:after="0"/>
              <w:rPr>
                <w:sz w:val="20"/>
                <w:szCs w:val="20"/>
                <w:color w:val="auto"/>
              </w:rPr>
            </w:pPr>
            <w:r>
              <w:rPr>
                <w:rFonts w:ascii="Arial" w:cs="Arial" w:eastAsia="Arial" w:hAnsi="Arial"/>
                <w:sz w:val="12"/>
                <w:szCs w:val="12"/>
                <w:color w:val="auto"/>
              </w:rPr>
              <w:t>Average lease term</w:t>
            </w: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9.4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6.7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5"/>
              </w:rPr>
              <w:t>5.9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6.4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8.0</w:t>
            </w:r>
          </w:p>
        </w:tc>
        <w:tc>
          <w:tcPr>
            <w:tcW w:w="0" w:type="dxa"/>
            <w:vAlign w:val="bottom"/>
          </w:tcPr>
          <w:p>
            <w:pPr>
              <w:spacing w:after="0"/>
              <w:rPr>
                <w:sz w:val="1"/>
                <w:szCs w:val="1"/>
                <w:color w:val="auto"/>
              </w:rPr>
            </w:pP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Tenant concession packages psf</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$36.77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$30.61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$25.56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$31.92</w:t>
            </w:r>
          </w:p>
        </w:tc>
        <w:tc>
          <w:tcPr>
            <w:tcW w:w="0" w:type="dxa"/>
            <w:vAlign w:val="bottom"/>
          </w:tcPr>
          <w:p>
            <w:pPr>
              <w:spacing w:after="0"/>
              <w:rPr>
                <w:sz w:val="1"/>
                <w:szCs w:val="1"/>
                <w:color w:val="auto"/>
              </w:rPr>
            </w:pP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Free rent months</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5"/>
              </w:rPr>
              <w:t>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6.0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60" w:hanging="133"/>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9"/>
          <w:szCs w:val="9"/>
          <w:color w:val="auto"/>
        </w:rPr>
        <w:t>Suburban same-store occupancy, inclusive of 38,815 square feet of leases signed but not yet commenced, is 83.0% as of June 30, 2016, as compared to 83.6% at June 30, 2015 and 84.0% at March 31, 2016.</w:t>
      </w:r>
    </w:p>
    <w:p>
      <w:pPr>
        <w:spacing w:after="0" w:line="38" w:lineRule="exact"/>
        <w:rPr>
          <w:rFonts w:ascii="Arial" w:cs="Arial" w:eastAsia="Arial" w:hAnsi="Arial"/>
          <w:sz w:val="9"/>
          <w:szCs w:val="9"/>
          <w:color w:val="auto"/>
        </w:rPr>
      </w:pPr>
    </w:p>
    <w:p>
      <w:pPr>
        <w:ind w:left="160" w:hanging="133"/>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9"/>
          <w:szCs w:val="9"/>
          <w:color w:val="auto"/>
        </w:rPr>
        <w:t>Calculated on space that was occupied within the previous 12 months</w:t>
      </w:r>
    </w:p>
    <w:p>
      <w:pPr>
        <w:spacing w:after="0" w:line="200" w:lineRule="exact"/>
        <w:rPr>
          <w:sz w:val="20"/>
          <w:szCs w:val="20"/>
          <w:color w:val="auto"/>
        </w:rPr>
      </w:pPr>
    </w:p>
    <w:p>
      <w:pPr>
        <w:spacing w:after="0" w:line="339"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12</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sectPr>
      </w:pPr>
    </w:p>
    <w:bookmarkStart w:id="29" w:name="page30"/>
    <w:bookmarkEnd w:id="2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COMPARATIVE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6/30/2016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3"/>
              </w:rPr>
              <w:t>3/31/2016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b w:val="1"/>
                <w:bCs w:val="1"/>
                <w:color w:val="auto"/>
                <w:w w:val="99"/>
              </w:rPr>
              <w:t>12/31/2015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9/30/2015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6/30/2015</w:t>
            </w:r>
          </w:p>
        </w:tc>
        <w:tc>
          <w:tcPr>
            <w:tcW w:w="220" w:type="dxa"/>
            <w:vAlign w:val="bottom"/>
          </w:tcPr>
          <w:p>
            <w:pPr>
              <w:spacing w:after="0"/>
              <w:rPr>
                <w:sz w:val="12"/>
                <w:szCs w:val="12"/>
                <w:color w:val="auto"/>
              </w:rPr>
            </w:pPr>
          </w:p>
        </w:tc>
      </w:tr>
      <w:tr>
        <w:trPr>
          <w:trHeight w:val="22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2"/>
                <w:szCs w:val="12"/>
                <w:color w:val="auto"/>
              </w:rPr>
              <w:t>Commercial real estate properties, at cost: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Land and land interests</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4,108,821</w:t>
            </w:r>
          </w:p>
        </w:tc>
        <w:tc>
          <w:tcPr>
            <w:tcW w:w="200" w:type="dxa"/>
            <w:vAlign w:val="bottom"/>
          </w:tcPr>
          <w:p>
            <w:pPr>
              <w:spacing w:after="0"/>
              <w:rPr>
                <w:sz w:val="19"/>
                <w:szCs w:val="19"/>
                <w:color w:val="auto"/>
              </w:rPr>
            </w:pP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4,115,982</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4,779,159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4,689,031</w:t>
            </w:r>
          </w:p>
        </w:tc>
        <w:tc>
          <w:tcPr>
            <w:tcW w:w="200" w:type="dxa"/>
            <w:vAlign w:val="bottom"/>
          </w:tcPr>
          <w:p>
            <w:pPr>
              <w:spacing w:after="0"/>
              <w:rPr>
                <w:sz w:val="19"/>
                <w:szCs w:val="19"/>
                <w:color w:val="auto"/>
              </w:rPr>
            </w:pP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3,756,488</w:t>
            </w: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Building and improvements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9,362,614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9,334,385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10,423,739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10,079,151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8,397,117</w:t>
            </w: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Building leasehold and improvements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1,435,255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1,431,238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1,431,259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1,425,299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1,424,822</w:t>
            </w:r>
          </w:p>
        </w:tc>
      </w:tr>
      <w:tr>
        <w:trPr>
          <w:trHeight w:val="223"/>
        </w:trPr>
        <w:tc>
          <w:tcPr>
            <w:tcW w:w="4440" w:type="dxa"/>
            <w:vAlign w:val="bottom"/>
          </w:tcPr>
          <w:p>
            <w:pPr>
              <w:ind w:left="180"/>
              <w:spacing w:after="0"/>
              <w:rPr>
                <w:sz w:val="20"/>
                <w:szCs w:val="20"/>
                <w:color w:val="auto"/>
              </w:rPr>
            </w:pPr>
            <w:r>
              <w:rPr>
                <w:rFonts w:ascii="Arial" w:cs="Arial" w:eastAsia="Arial" w:hAnsi="Arial"/>
                <w:sz w:val="12"/>
                <w:szCs w:val="12"/>
                <w:color w:val="auto"/>
              </w:rPr>
              <w:t>Properties under capital lease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47,445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47,445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47,445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47,445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27,445</w:t>
            </w:r>
          </w:p>
        </w:tc>
      </w:tr>
      <w:tr>
        <w:trPr>
          <w:trHeight w:val="194"/>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14,954,135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14,929,050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16,681,602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16,240,926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13,605,872</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(2,166,059)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(2,100,109)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(2,060,706)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(1,979,824)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(2,081,646)</w:t>
            </w:r>
          </w:p>
        </w:tc>
      </w:tr>
      <w:tr>
        <w:trPr>
          <w:trHeight w:val="194"/>
        </w:trPr>
        <w:tc>
          <w:tcPr>
            <w:tcW w:w="4440" w:type="dxa"/>
            <w:vAlign w:val="bottom"/>
          </w:tcPr>
          <w:p>
            <w:pPr>
              <w:ind w:left="20"/>
              <w:spacing w:after="0"/>
              <w:rPr>
                <w:sz w:val="20"/>
                <w:szCs w:val="20"/>
                <w:color w:val="auto"/>
              </w:rPr>
            </w:pPr>
            <w:r>
              <w:rPr>
                <w:rFonts w:ascii="Arial" w:cs="Arial" w:eastAsia="Arial" w:hAnsi="Arial"/>
                <w:sz w:val="12"/>
                <w:szCs w:val="12"/>
                <w:color w:val="auto"/>
              </w:rPr>
              <w:t>Net real estate</w:t>
            </w: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12,788,076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12,828,941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14,620,896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14,261,102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11,524,226</w:t>
            </w:r>
          </w:p>
        </w:tc>
      </w:tr>
      <w:tr>
        <w:trPr>
          <w:trHeight w:val="415"/>
        </w:trPr>
        <w:tc>
          <w:tcPr>
            <w:tcW w:w="4440" w:type="dxa"/>
            <w:vAlign w:val="bottom"/>
          </w:tcPr>
          <w:p>
            <w:pPr>
              <w:ind w:left="20"/>
              <w:spacing w:after="0"/>
              <w:rPr>
                <w:sz w:val="20"/>
                <w:szCs w:val="20"/>
                <w:color w:val="auto"/>
              </w:rPr>
            </w:pPr>
            <w:r>
              <w:rPr>
                <w:rFonts w:ascii="Arial" w:cs="Arial" w:eastAsia="Arial" w:hAnsi="Arial"/>
                <w:sz w:val="12"/>
                <w:szCs w:val="12"/>
                <w:color w:val="auto"/>
              </w:rPr>
              <w:t>Other real estate investments: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9"/>
        </w:trPr>
        <w:tc>
          <w:tcPr>
            <w:tcW w:w="4440" w:type="dxa"/>
            <w:vAlign w:val="bottom"/>
          </w:tcPr>
          <w:p>
            <w:pPr>
              <w:ind w:left="160"/>
              <w:spacing w:after="0"/>
              <w:rPr>
                <w:sz w:val="20"/>
                <w:szCs w:val="20"/>
                <w:color w:val="auto"/>
              </w:rPr>
            </w:pPr>
            <w:r>
              <w:rPr>
                <w:rFonts w:ascii="Arial" w:cs="Arial" w:eastAsia="Arial" w:hAnsi="Arial"/>
                <w:sz w:val="12"/>
                <w:szCs w:val="12"/>
                <w:color w:val="auto"/>
              </w:rPr>
              <w:t>Investment in unconsolidated joint ventures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1,126,486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1,146,085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1,203,858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1,239,008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1,262,723</w:t>
            </w:r>
          </w:p>
        </w:tc>
      </w:tr>
      <w:tr>
        <w:trPr>
          <w:trHeight w:val="260"/>
        </w:trPr>
        <w:tc>
          <w:tcPr>
            <w:tcW w:w="4440" w:type="dxa"/>
            <w:vAlign w:val="bottom"/>
          </w:tcPr>
          <w:p>
            <w:pPr>
              <w:ind w:left="160"/>
              <w:spacing w:after="0"/>
              <w:rPr>
                <w:sz w:val="20"/>
                <w:szCs w:val="20"/>
                <w:color w:val="auto"/>
              </w:rPr>
            </w:pPr>
            <w:r>
              <w:rPr>
                <w:rFonts w:ascii="Arial" w:cs="Arial" w:eastAsia="Arial" w:hAnsi="Arial"/>
                <w:sz w:val="12"/>
                <w:szCs w:val="12"/>
                <w:color w:val="auto"/>
              </w:rPr>
              <w:t xml:space="preserve">Debt and preferred equity investments, net </w:t>
            </w:r>
            <w:r>
              <w:rPr>
                <w:rFonts w:ascii="Arial" w:cs="Arial" w:eastAsia="Arial" w:hAnsi="Arial"/>
                <w:sz w:val="14"/>
                <w:szCs w:val="14"/>
                <w:color w:val="auto"/>
                <w:vertAlign w:val="superscript"/>
              </w:rPr>
              <w:t>(1)</w:t>
            </w: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1,357,181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1,378,616</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1,670,020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1,501,619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1,685,234</w:t>
            </w:r>
          </w:p>
        </w:tc>
      </w:tr>
      <w:tr>
        <w:trPr>
          <w:trHeight w:val="374"/>
        </w:trPr>
        <w:tc>
          <w:tcPr>
            <w:tcW w:w="4440" w:type="dxa"/>
            <w:vAlign w:val="bottom"/>
          </w:tcPr>
          <w:p>
            <w:pPr>
              <w:ind w:left="20"/>
              <w:spacing w:after="0"/>
              <w:rPr>
                <w:sz w:val="20"/>
                <w:szCs w:val="20"/>
                <w:color w:val="auto"/>
              </w:rPr>
            </w:pPr>
            <w:r>
              <w:rPr>
                <w:rFonts w:ascii="Arial" w:cs="Arial" w:eastAsia="Arial" w:hAnsi="Arial"/>
                <w:sz w:val="12"/>
                <w:szCs w:val="12"/>
                <w:color w:val="auto"/>
              </w:rPr>
              <w:t>Assets held for sale, net</w:t>
            </w:r>
          </w:p>
        </w:tc>
        <w:tc>
          <w:tcPr>
            <w:tcW w:w="2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39,642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1,891,575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34,981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117,885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420,569</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276,226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316,205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255,399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244,360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215,896</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Restricted cash</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166,905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179,938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233,578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279,592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128,234</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Investment in marketable securities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39,339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43,915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45,138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46,432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46,251</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Tenant and other receivables, net of $18,728 reserve at 6/30/16</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57,551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55,441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63,491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66,896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64,873</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Related party receivables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13,059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15,148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10,650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11,089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11,395</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Deferred rents receivable, net of reserve for</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tenant credit loss of $22,917 at 6/30/16</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443,981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428,334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498,776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467,627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433,999</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Deferred costs, net</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256,303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246,503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239,920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235,079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233,664</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979,474</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1,055,014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850,719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912,023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1,144,720</w:t>
            </w:r>
          </w:p>
        </w:tc>
      </w:tr>
      <w:tr>
        <w:trPr>
          <w:trHeight w:val="406"/>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Assets</w:t>
            </w: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17,544,223</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19,585,715</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19,727,426</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19,382,712</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17,171,784</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9"/>
          <w:szCs w:val="9"/>
          <w:color w:val="auto"/>
        </w:rPr>
        <w:t>(1) Excludes debt and preferred equity investments totaling $310.8 million with a weighted average current yield of 7.8% that are included in other balance sheet line items.</w:t>
      </w:r>
    </w:p>
    <w:p>
      <w:pPr>
        <w:spacing w:after="0" w:line="342"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13</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COMPARATIVE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6/30/2016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3"/>
              </w:rPr>
              <w:t>3/31/2016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b w:val="1"/>
                <w:bCs w:val="1"/>
                <w:color w:val="auto"/>
                <w:w w:val="99"/>
              </w:rPr>
              <w:t>12/31/2015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9/30/2015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6/30/2015</w:t>
            </w:r>
          </w:p>
        </w:tc>
        <w:tc>
          <w:tcPr>
            <w:tcW w:w="220" w:type="dxa"/>
            <w:vAlign w:val="bottom"/>
          </w:tcPr>
          <w:p>
            <w:pPr>
              <w:spacing w:after="0"/>
              <w:rPr>
                <w:sz w:val="12"/>
                <w:szCs w:val="12"/>
                <w:color w:val="auto"/>
              </w:rPr>
            </w:pPr>
          </w:p>
        </w:tc>
      </w:tr>
      <w:tr>
        <w:trPr>
          <w:trHeight w:val="22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2"/>
                <w:szCs w:val="12"/>
                <w:color w:val="auto"/>
              </w:rPr>
              <w:t>Mortgages and other loans payable</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5,608,400</w:t>
            </w:r>
          </w:p>
        </w:tc>
        <w:tc>
          <w:tcPr>
            <w:tcW w:w="200" w:type="dxa"/>
            <w:vAlign w:val="bottom"/>
          </w:tcPr>
          <w:p>
            <w:pPr>
              <w:spacing w:after="0"/>
              <w:rPr>
                <w:sz w:val="17"/>
                <w:szCs w:val="17"/>
                <w:color w:val="auto"/>
              </w:rPr>
            </w:pP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5,671,700</w:t>
            </w:r>
          </w:p>
        </w:tc>
        <w:tc>
          <w:tcPr>
            <w:tcW w:w="18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6,992,504</w:t>
            </w:r>
          </w:p>
        </w:tc>
        <w:tc>
          <w:tcPr>
            <w:tcW w:w="20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6,865,383</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5,287,934</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Term loan and senior unsecured notes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2,070,341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2,067,117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2,319,244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2,216,120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2,113,050</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Revolving credit facility</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285,000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775,000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994,000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949,000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705,000</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Deferred Financing costs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(101,521)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(105,543)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(130,515)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(107,858)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(95,173)</w:t>
            </w:r>
          </w:p>
        </w:tc>
      </w:tr>
      <w:tr>
        <w:trPr>
          <w:trHeight w:val="194"/>
        </w:trPr>
        <w:tc>
          <w:tcPr>
            <w:tcW w:w="4440" w:type="dxa"/>
            <w:vAlign w:val="bottom"/>
          </w:tcPr>
          <w:p>
            <w:pPr>
              <w:ind w:left="20"/>
              <w:spacing w:after="0"/>
              <w:rPr>
                <w:sz w:val="20"/>
                <w:szCs w:val="20"/>
                <w:color w:val="auto"/>
              </w:rPr>
            </w:pPr>
            <w:r>
              <w:rPr>
                <w:rFonts w:ascii="Arial" w:cs="Arial" w:eastAsia="Arial" w:hAnsi="Arial"/>
                <w:sz w:val="12"/>
                <w:szCs w:val="12"/>
                <w:color w:val="auto"/>
              </w:rPr>
              <w:t>Total debt, net of deferred financing costs</w:t>
            </w: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7,862,220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8,408,274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10,175,233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9,922,645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8,010,811</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Accrued interest</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36,378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36,941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42,406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43,632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39,621</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243,011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247,950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168,477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160,592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121,567</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Accounts payable and accrued expenses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189,690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168,322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196,213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173,228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147,028</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Deferred revenue</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384,145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414,686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399,102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428,334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337,571</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Capitalized lease obligations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41,751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41,554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41,360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41,171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21,013</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Deferred land lease payable</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2,236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2,010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1,783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1,557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1,387</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Dividends and distributions payable</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80,555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80,038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79,790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67,109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66,026</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Security deposits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68,199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67,001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68,023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66,654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67,985</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Liabilities related to assets held for sale</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1,612,001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29,000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178,252</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Junior subordinated deferrable interest debentures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100,000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100,000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100,000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100,000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100,000</w:t>
            </w:r>
          </w:p>
        </w:tc>
      </w:tr>
      <w:tr>
        <w:trPr>
          <w:trHeight w:val="194"/>
        </w:trPr>
        <w:tc>
          <w:tcPr>
            <w:tcW w:w="4440" w:type="dxa"/>
            <w:vAlign w:val="bottom"/>
          </w:tcPr>
          <w:p>
            <w:pPr>
              <w:ind w:left="20"/>
              <w:spacing w:after="0"/>
              <w:rPr>
                <w:sz w:val="20"/>
                <w:szCs w:val="20"/>
                <w:color w:val="auto"/>
              </w:rPr>
            </w:pPr>
            <w:r>
              <w:rPr>
                <w:rFonts w:ascii="Arial" w:cs="Arial" w:eastAsia="Arial" w:hAnsi="Arial"/>
                <w:sz w:val="12"/>
                <w:szCs w:val="12"/>
                <w:color w:val="auto"/>
              </w:rPr>
              <w:t>Total liabilities</w:t>
            </w: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9,008,192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11,178,777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11,301,387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11,005,016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9,091,261</w:t>
            </w:r>
          </w:p>
        </w:tc>
      </w:tr>
      <w:tr>
        <w:trPr>
          <w:trHeight w:val="415"/>
        </w:trPr>
        <w:tc>
          <w:tcPr>
            <w:tcW w:w="4440" w:type="dxa"/>
            <w:vAlign w:val="bottom"/>
          </w:tcPr>
          <w:p>
            <w:pPr>
              <w:ind w:left="20"/>
              <w:spacing w:after="0"/>
              <w:rPr>
                <w:sz w:val="20"/>
                <w:szCs w:val="20"/>
                <w:color w:val="auto"/>
              </w:rPr>
            </w:pPr>
            <w:r>
              <w:rPr>
                <w:rFonts w:ascii="Arial" w:cs="Arial" w:eastAsia="Arial" w:hAnsi="Arial"/>
                <w:sz w:val="12"/>
                <w:szCs w:val="12"/>
                <w:color w:val="auto"/>
              </w:rPr>
              <w:t>Noncontrolling interest in operating partnership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(4,504 units outstanding) at 6/30/16</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486,452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407,046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424,206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423,421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431,418</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Preferred Units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302,460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304,869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282,516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282,516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124,723</w:t>
            </w:r>
          </w:p>
        </w:tc>
      </w:tr>
      <w:tr>
        <w:trPr>
          <w:trHeight w:val="42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Equity</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2"/>
                <w:szCs w:val="12"/>
                <w:color w:val="auto"/>
              </w:rPr>
              <w:t>Stockholders' Equity:</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Series I Perpetual Preferred Shares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221,932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221,932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221,932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221,932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221,932</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Common stock, $0.01 par value, 160,000 shares authorized, 100,252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issued and outstanding at 6/30/16, including 87 shares held in treasury</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1,002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1,001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998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996</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Additional paid–in capital</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5,466,593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5,451,787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5,439,735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5,268,379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5,245,575</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Treasury stock</w:t>
            </w:r>
          </w:p>
        </w:tc>
        <w:tc>
          <w:tcPr>
            <w:tcW w:w="2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(10,000)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(10,000)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(10,000)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(10,000)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Accumulated other comprehensive loss</w:t>
            </w:r>
          </w:p>
        </w:tc>
        <w:tc>
          <w:tcPr>
            <w:tcW w:w="2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(16,558)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(17,222)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(8,749)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(15,821)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(10,906)</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Retained earnings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1,655,320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1,620,669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1,643,546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1,772,833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1,657,911</w:t>
            </w:r>
          </w:p>
        </w:tc>
      </w:tr>
      <w:tr>
        <w:trPr>
          <w:trHeight w:val="194"/>
        </w:trPr>
        <w:tc>
          <w:tcPr>
            <w:tcW w:w="4440" w:type="dxa"/>
            <w:vAlign w:val="bottom"/>
          </w:tcPr>
          <w:p>
            <w:pPr>
              <w:ind w:left="20"/>
              <w:spacing w:after="0"/>
              <w:rPr>
                <w:sz w:val="20"/>
                <w:szCs w:val="20"/>
                <w:color w:val="auto"/>
              </w:rPr>
            </w:pPr>
            <w:r>
              <w:rPr>
                <w:rFonts w:ascii="Arial" w:cs="Arial" w:eastAsia="Arial" w:hAnsi="Arial"/>
                <w:sz w:val="12"/>
                <w:szCs w:val="12"/>
                <w:color w:val="auto"/>
              </w:rPr>
              <w:t>Total SL Green Realty Corp. stockholders' equity</w:t>
            </w: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7,318,290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7,268,168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7,287,465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7,238,321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7,115,508</w:t>
            </w:r>
          </w:p>
        </w:tc>
      </w:tr>
      <w:tr>
        <w:trPr>
          <w:trHeight w:val="420"/>
        </w:trPr>
        <w:tc>
          <w:tcPr>
            <w:tcW w:w="4440" w:type="dxa"/>
            <w:vAlign w:val="bottom"/>
          </w:tcPr>
          <w:p>
            <w:pPr>
              <w:ind w:left="20"/>
              <w:spacing w:after="0"/>
              <w:rPr>
                <w:sz w:val="20"/>
                <w:szCs w:val="20"/>
                <w:color w:val="auto"/>
              </w:rPr>
            </w:pPr>
            <w:r>
              <w:rPr>
                <w:rFonts w:ascii="Arial" w:cs="Arial" w:eastAsia="Arial" w:hAnsi="Arial"/>
                <w:sz w:val="12"/>
                <w:szCs w:val="12"/>
                <w:color w:val="auto"/>
              </w:rPr>
              <w:t>Noncontrolling interest in other partnerships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428,829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426,855</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431,852</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433,438</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408,874</w:t>
            </w:r>
          </w:p>
        </w:tc>
      </w:tr>
      <w:tr>
        <w:trPr>
          <w:trHeight w:val="406"/>
        </w:trPr>
        <w:tc>
          <w:tcPr>
            <w:tcW w:w="4440" w:type="dxa"/>
            <w:vAlign w:val="bottom"/>
          </w:tcPr>
          <w:p>
            <w:pPr>
              <w:ind w:left="20"/>
              <w:spacing w:after="0"/>
              <w:rPr>
                <w:sz w:val="20"/>
                <w:szCs w:val="20"/>
                <w:color w:val="auto"/>
              </w:rPr>
            </w:pPr>
            <w:r>
              <w:rPr>
                <w:rFonts w:ascii="Arial" w:cs="Arial" w:eastAsia="Arial" w:hAnsi="Arial"/>
                <w:sz w:val="12"/>
                <w:szCs w:val="12"/>
                <w:color w:val="auto"/>
              </w:rPr>
              <w:t>Total equity</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7,747,119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7,695,023</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7,719,317</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7,671,759</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7,524,382</w:t>
            </w:r>
          </w:p>
        </w:tc>
      </w:tr>
      <w:tr>
        <w:trPr>
          <w:trHeight w:val="406"/>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Liabilities and Equity</w:t>
            </w: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17,544,223</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19,585,715</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19,727,426</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19,382,712</w:t>
            </w:r>
          </w:p>
        </w:tc>
        <w:tc>
          <w:tcPr>
            <w:tcW w:w="4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17,171,784</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423"/>
        </w:trPr>
        <w:tc>
          <w:tcPr>
            <w:tcW w:w="4440" w:type="dxa"/>
            <w:vAlign w:val="bottom"/>
          </w:tcPr>
          <w:p>
            <w:pPr>
              <w:ind w:left="40"/>
              <w:spacing w:after="0"/>
              <w:rPr>
                <w:sz w:val="20"/>
                <w:szCs w:val="20"/>
                <w:color w:val="auto"/>
              </w:rPr>
            </w:pPr>
            <w:r>
              <w:rPr>
                <w:rFonts w:ascii="Arial" w:cs="Arial" w:eastAsia="Arial" w:hAnsi="Arial"/>
                <w:sz w:val="10"/>
                <w:szCs w:val="10"/>
                <w:color w:val="auto"/>
              </w:rPr>
              <w:t>Supplemental Information</w:t>
            </w:r>
          </w:p>
        </w:tc>
        <w:tc>
          <w:tcPr>
            <w:tcW w:w="22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0"/>
                <w:szCs w:val="10"/>
                <w:color w:val="auto"/>
              </w:rPr>
              <w:t>14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0"/>
                <w:szCs w:val="10"/>
                <w:color w:val="auto"/>
              </w:rPr>
              <w:t>Second Quarter 2016</w:t>
            </w:r>
          </w:p>
        </w:tc>
      </w:tr>
    </w:tbl>
    <w:p>
      <w:pPr>
        <w:sectPr>
          <w:pgSz w:w="11900" w:h="16838" w:orient="portrait"/>
          <w:cols w:equalWidth="0" w:num="1">
            <w:col w:w="10100"/>
          </w:cols>
          <w:pgMar w:left="900" w:top="338" w:right="89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COMPARATIVE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30" w:type="dxa"/>
        <w:tblCellMar>
          <w:top w:w="0" w:type="dxa"/>
          <w:left w:w="0" w:type="dxa"/>
          <w:bottom w:w="0" w:type="dxa"/>
          <w:right w:w="0" w:type="dxa"/>
        </w:tblCellMar>
      </w:tblPr>
      <w:tr>
        <w:trPr>
          <w:trHeight w:val="153"/>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7"/>
          </w:tcPr>
          <w:p>
            <w:pPr>
              <w:jc w:val="center"/>
              <w:ind w:right="100"/>
              <w:spacing w:after="0"/>
              <w:rPr>
                <w:sz w:val="20"/>
                <w:szCs w:val="20"/>
                <w:color w:val="auto"/>
              </w:rPr>
            </w:pPr>
            <w:r>
              <w:rPr>
                <w:rFonts w:ascii="Arial" w:cs="Arial" w:eastAsia="Arial" w:hAnsi="Arial"/>
                <w:sz w:val="12"/>
                <w:szCs w:val="12"/>
                <w:b w:val="1"/>
                <w:bCs w:val="1"/>
                <w:color w:val="auto"/>
                <w:w w:val="96"/>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80"/>
        </w:trPr>
        <w:tc>
          <w:tcPr>
            <w:tcW w:w="4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7"/>
          </w:tcPr>
          <w:p>
            <w:pPr>
              <w:jc w:val="right"/>
              <w:ind w:right="422"/>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right"/>
              <w:ind w:right="522"/>
              <w:spacing w:after="0"/>
              <w:rPr>
                <w:sz w:val="20"/>
                <w:szCs w:val="20"/>
                <w:color w:val="auto"/>
              </w:rPr>
            </w:pPr>
            <w:r>
              <w:rPr>
                <w:rFonts w:ascii="Arial" w:cs="Arial" w:eastAsia="Arial" w:hAnsi="Arial"/>
                <w:sz w:val="12"/>
                <w:szCs w:val="12"/>
                <w:b w:val="1"/>
                <w:bCs w:val="1"/>
                <w:color w:val="auto"/>
              </w:rPr>
              <w:t>Six Months Ended</w:t>
            </w:r>
          </w:p>
        </w:tc>
      </w:tr>
      <w:tr>
        <w:trPr>
          <w:trHeight w:val="205"/>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June 30,</w:t>
            </w:r>
          </w:p>
        </w:tc>
        <w:tc>
          <w:tcPr>
            <w:tcW w:w="160" w:type="dxa"/>
            <w:vAlign w:val="bottom"/>
          </w:tcPr>
          <w:p>
            <w:pPr>
              <w:spacing w:after="0"/>
              <w:rPr>
                <w:sz w:val="17"/>
                <w:szCs w:val="17"/>
                <w:color w:val="auto"/>
              </w:rPr>
            </w:pPr>
          </w:p>
        </w:tc>
        <w:tc>
          <w:tcPr>
            <w:tcW w:w="800" w:type="dxa"/>
            <w:vAlign w:val="bottom"/>
            <w:gridSpan w:val="3"/>
          </w:tcPr>
          <w:p>
            <w:pPr>
              <w:jc w:val="right"/>
              <w:ind w:right="182"/>
              <w:spacing w:after="0"/>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5"/>
          </w:tcPr>
          <w:p>
            <w:pPr>
              <w:jc w:val="center"/>
              <w:ind w:right="400"/>
              <w:spacing w:after="0"/>
              <w:rPr>
                <w:sz w:val="20"/>
                <w:szCs w:val="20"/>
                <w:color w:val="auto"/>
              </w:rPr>
            </w:pPr>
            <w:r>
              <w:rPr>
                <w:rFonts w:ascii="Arial" w:cs="Arial" w:eastAsia="Arial" w:hAnsi="Arial"/>
                <w:sz w:val="12"/>
                <w:szCs w:val="12"/>
                <w:b w:val="1"/>
                <w:bCs w:val="1"/>
                <w:color w:val="auto"/>
                <w:w w:val="97"/>
              </w:rPr>
              <w:t>March 31,</w:t>
            </w:r>
          </w:p>
        </w:tc>
        <w:tc>
          <w:tcPr>
            <w:tcW w:w="160" w:type="dxa"/>
            <w:vAlign w:val="bottom"/>
          </w:tcPr>
          <w:p>
            <w:pPr>
              <w:spacing w:after="0"/>
              <w:rPr>
                <w:sz w:val="17"/>
                <w:szCs w:val="17"/>
                <w:color w:val="auto"/>
              </w:rPr>
            </w:pPr>
          </w:p>
        </w:tc>
        <w:tc>
          <w:tcPr>
            <w:tcW w:w="820" w:type="dxa"/>
            <w:vAlign w:val="bottom"/>
            <w:gridSpan w:val="3"/>
          </w:tcPr>
          <w:p>
            <w:pPr>
              <w:jc w:val="right"/>
              <w:ind w:right="202"/>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22"/>
              <w:spacing w:after="0"/>
              <w:rPr>
                <w:sz w:val="20"/>
                <w:szCs w:val="20"/>
                <w:color w:val="auto"/>
              </w:rPr>
            </w:pPr>
            <w:r>
              <w:rPr>
                <w:rFonts w:ascii="Arial" w:cs="Arial" w:eastAsia="Arial" w:hAnsi="Arial"/>
                <w:sz w:val="12"/>
                <w:szCs w:val="12"/>
                <w:b w:val="1"/>
                <w:bCs w:val="1"/>
                <w:color w:val="auto"/>
              </w:rPr>
              <w:t>June 30,</w:t>
            </w:r>
          </w:p>
        </w:tc>
      </w:tr>
      <w:tr>
        <w:trPr>
          <w:trHeight w:val="196"/>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28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center"/>
              <w:ind w:left="142"/>
              <w:spacing w:after="0"/>
              <w:rPr>
                <w:sz w:val="20"/>
                <w:szCs w:val="20"/>
                <w:color w:val="auto"/>
              </w:rPr>
            </w:pPr>
            <w:r>
              <w:rPr>
                <w:rFonts w:ascii="Arial" w:cs="Arial" w:eastAsia="Arial" w:hAnsi="Arial"/>
                <w:sz w:val="12"/>
                <w:szCs w:val="12"/>
                <w:b w:val="1"/>
                <w:bCs w:val="1"/>
                <w:color w:val="auto"/>
                <w:w w:val="97"/>
              </w:rPr>
              <w:t>2016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2015</w:t>
            </w:r>
          </w:p>
        </w:tc>
        <w:tc>
          <w:tcPr>
            <w:tcW w:w="380" w:type="dxa"/>
            <w:vAlign w:val="bottom"/>
          </w:tcPr>
          <w:p>
            <w:pPr>
              <w:spacing w:after="0"/>
              <w:rPr>
                <w:sz w:val="17"/>
                <w:szCs w:val="17"/>
                <w:color w:val="auto"/>
              </w:rPr>
            </w:pPr>
          </w:p>
        </w:tc>
      </w:tr>
      <w:tr>
        <w:trPr>
          <w:trHeight w:val="22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Revenues</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205"/>
        </w:trPr>
        <w:tc>
          <w:tcPr>
            <w:tcW w:w="4360" w:type="dxa"/>
            <w:vAlign w:val="bottom"/>
          </w:tcPr>
          <w:p>
            <w:pPr>
              <w:ind w:left="20"/>
              <w:spacing w:after="0"/>
              <w:rPr>
                <w:sz w:val="20"/>
                <w:szCs w:val="20"/>
                <w:color w:val="auto"/>
              </w:rPr>
            </w:pPr>
            <w:r>
              <w:rPr>
                <w:rFonts w:ascii="Arial" w:cs="Arial" w:eastAsia="Arial" w:hAnsi="Arial"/>
                <w:sz w:val="12"/>
                <w:szCs w:val="12"/>
                <w:color w:val="auto"/>
              </w:rPr>
              <w:t>Rental revenue, net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416,809</w:t>
            </w:r>
          </w:p>
        </w:tc>
        <w:tc>
          <w:tcPr>
            <w:tcW w:w="20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304,226</w:t>
            </w: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345,607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762,416</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607,555</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Escalation and reimbursement revenues</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48,616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41,407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45,611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94,227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82,376</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Investment income</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44,214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45,191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54,737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98,951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87,260</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107,975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18,250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9,489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117,464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28,182</w:t>
            </w:r>
          </w:p>
        </w:tc>
      </w:tr>
      <w:tr>
        <w:trPr>
          <w:trHeight w:val="194"/>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Total Revenues, net</w:t>
            </w:r>
          </w:p>
        </w:tc>
        <w:tc>
          <w:tcPr>
            <w:tcW w:w="160" w:type="dxa"/>
            <w:vAlign w:val="bottom"/>
          </w:tcPr>
          <w:p>
            <w:pPr>
              <w:spacing w:after="0"/>
              <w:rPr>
                <w:sz w:val="16"/>
                <w:szCs w:val="16"/>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617,614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409,074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455,444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1,073,058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805,373</w:t>
            </w:r>
          </w:p>
        </w:tc>
      </w:tr>
      <w:tr>
        <w:trPr>
          <w:trHeight w:val="317"/>
        </w:trPr>
        <w:tc>
          <w:tcPr>
            <w:tcW w:w="4360" w:type="dxa"/>
            <w:vAlign w:val="bottom"/>
          </w:tcPr>
          <w:p>
            <w:pPr>
              <w:ind w:left="20"/>
              <w:spacing w:after="0"/>
              <w:rPr>
                <w:sz w:val="20"/>
                <w:szCs w:val="20"/>
                <w:color w:val="auto"/>
              </w:rPr>
            </w:pPr>
            <w:r>
              <w:rPr>
                <w:rFonts w:ascii="Arial" w:cs="Arial" w:eastAsia="Arial" w:hAnsi="Arial"/>
                <w:sz w:val="12"/>
                <w:szCs w:val="12"/>
                <w:color w:val="auto"/>
              </w:rPr>
              <w:t>Equity in net income from unconsolidated joint ventures</w:t>
            </w: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5,841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2,994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10,096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15,937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7,024</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Loss on early extinguishment of debt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(49)</w:t>
            </w:r>
          </w:p>
        </w:tc>
      </w:tr>
      <w:tr>
        <w:trPr>
          <w:trHeight w:val="322"/>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Expenses</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05"/>
        </w:trPr>
        <w:tc>
          <w:tcPr>
            <w:tcW w:w="436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160" w:type="dxa"/>
            <w:vAlign w:val="bottom"/>
          </w:tcPr>
          <w:p>
            <w:pPr>
              <w:spacing w:after="0"/>
              <w:rPr>
                <w:sz w:val="17"/>
                <w:szCs w:val="17"/>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75,324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70,114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79,520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154,844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146,891</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Ground rent</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8,307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8,086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8,308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16,615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16,274</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Real estate taxes</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62,124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56,286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61,674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123,798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112,009</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Transaction related costs</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2,115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3,067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1,279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3,394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4,210</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Marketing, general and administrative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24,484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23,200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24,032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48,516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48,664</w:t>
            </w:r>
          </w:p>
        </w:tc>
      </w:tr>
      <w:tr>
        <w:trPr>
          <w:trHeight w:val="194"/>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160" w:type="dxa"/>
            <w:vAlign w:val="bottom"/>
          </w:tcPr>
          <w:p>
            <w:pPr>
              <w:spacing w:after="0"/>
              <w:rPr>
                <w:sz w:val="16"/>
                <w:szCs w:val="16"/>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172,354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160,753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174,813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347,167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328,048</w:t>
            </w:r>
          </w:p>
        </w:tc>
      </w:tr>
      <w:tr>
        <w:trPr>
          <w:trHeight w:val="317"/>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Operating Income</w:t>
            </w: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451,101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251,315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290,727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741,828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484,300</w:t>
            </w:r>
          </w:p>
        </w:tc>
      </w:tr>
      <w:tr>
        <w:trPr>
          <w:trHeight w:val="437"/>
        </w:trPr>
        <w:tc>
          <w:tcPr>
            <w:tcW w:w="4360" w:type="dxa"/>
            <w:vAlign w:val="bottom"/>
          </w:tcPr>
          <w:p>
            <w:pPr>
              <w:ind w:left="20"/>
              <w:spacing w:after="0"/>
              <w:rPr>
                <w:sz w:val="20"/>
                <w:szCs w:val="20"/>
                <w:color w:val="auto"/>
              </w:rPr>
            </w:pPr>
            <w:r>
              <w:rPr>
                <w:rFonts w:ascii="Arial" w:cs="Arial" w:eastAsia="Arial" w:hAnsi="Arial"/>
                <w:sz w:val="12"/>
                <w:szCs w:val="12"/>
                <w:color w:val="auto"/>
              </w:rPr>
              <w:t>Interest expense, net of interest income</w:t>
            </w: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89,089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75,746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94,672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183,761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151,553</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Amortization of deferred financing costs</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7,433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7,932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15,365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12,567</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425,042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199,565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179,308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604,350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307,902</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Loss on equity investment in marketable securities</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ind w:right="22"/>
              <w:spacing w:after="0"/>
              <w:rPr>
                <w:sz w:val="20"/>
                <w:szCs w:val="20"/>
                <w:color w:val="auto"/>
              </w:rPr>
            </w:pPr>
            <w:r>
              <w:rPr>
                <w:rFonts w:ascii="Arial" w:cs="Arial" w:eastAsia="Arial" w:hAnsi="Arial"/>
                <w:sz w:val="12"/>
                <w:szCs w:val="12"/>
                <w:color w:val="auto"/>
              </w:rPr>
              <w:t>—</w:t>
            </w:r>
          </w:p>
        </w:tc>
      </w:tr>
      <w:tr>
        <w:trPr>
          <w:trHeight w:val="344"/>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 xml:space="preserve">(Loss) Income from Continuing Operations </w:t>
            </w:r>
            <w:r>
              <w:rPr>
                <w:rFonts w:ascii="Arial" w:cs="Arial" w:eastAsia="Arial" w:hAnsi="Arial"/>
                <w:sz w:val="14"/>
                <w:szCs w:val="14"/>
                <w:b w:val="1"/>
                <w:bCs w:val="1"/>
                <w:color w:val="auto"/>
                <w:vertAlign w:val="superscript"/>
              </w:rPr>
              <w:t>(1)</w:t>
            </w: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(70,546)</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(29,948)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8,815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(61,731)</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12,278</w:t>
            </w:r>
          </w:p>
        </w:tc>
      </w:tr>
      <w:tr>
        <w:trPr>
          <w:trHeight w:val="276"/>
        </w:trPr>
        <w:tc>
          <w:tcPr>
            <w:tcW w:w="4360" w:type="dxa"/>
            <w:vAlign w:val="bottom"/>
          </w:tcPr>
          <w:p>
            <w:pPr>
              <w:ind w:left="20"/>
              <w:spacing w:after="0"/>
              <w:rPr>
                <w:sz w:val="20"/>
                <w:szCs w:val="20"/>
                <w:color w:val="auto"/>
              </w:rPr>
            </w:pPr>
            <w:r>
              <w:rPr>
                <w:rFonts w:ascii="Arial" w:cs="Arial" w:eastAsia="Arial" w:hAnsi="Arial"/>
                <w:sz w:val="12"/>
                <w:szCs w:val="12"/>
                <w:color w:val="auto"/>
              </w:rPr>
              <w:t>Income from discontinued operations</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427</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Gain on sale of real estate and discontinued operations</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196,580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13,773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210,353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12,983</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Equity in net gain (loss) on sale of joint venture interest / real estate</w:t>
            </w: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33,448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9,915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43,363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769</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Depreciable real estate reserves</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ind w:right="22"/>
              <w:spacing w:after="0"/>
              <w:rPr>
                <w:sz w:val="20"/>
                <w:szCs w:val="20"/>
                <w:color w:val="auto"/>
              </w:rPr>
            </w:pPr>
            <w:r>
              <w:rPr>
                <w:rFonts w:ascii="Arial" w:cs="Arial" w:eastAsia="Arial" w:hAnsi="Arial"/>
                <w:sz w:val="12"/>
                <w:szCs w:val="12"/>
                <w:color w:val="auto"/>
              </w:rPr>
              <w:t>—</w:t>
            </w:r>
          </w:p>
        </w:tc>
      </w:tr>
      <w:tr>
        <w:trPr>
          <w:trHeight w:val="194"/>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149,095</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(29,179)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32,503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181,598</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26,457</w:t>
            </w:r>
          </w:p>
        </w:tc>
      </w:tr>
      <w:tr>
        <w:trPr>
          <w:trHeight w:val="317"/>
        </w:trPr>
        <w:tc>
          <w:tcPr>
            <w:tcW w:w="4360" w:type="dxa"/>
            <w:vAlign w:val="bottom"/>
          </w:tcPr>
          <w:p>
            <w:pPr>
              <w:ind w:left="20"/>
              <w:spacing w:after="0"/>
              <w:rPr>
                <w:sz w:val="20"/>
                <w:szCs w:val="20"/>
                <w:color w:val="auto"/>
              </w:rPr>
            </w:pPr>
            <w:r>
              <w:rPr>
                <w:rFonts w:ascii="Arial" w:cs="Arial" w:eastAsia="Arial" w:hAnsi="Arial"/>
                <w:sz w:val="12"/>
                <w:szCs w:val="12"/>
                <w:color w:val="auto"/>
              </w:rPr>
              <w:t>Net income attributable to noncontrolling interests</w:t>
            </w: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(9,021)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(5,049)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(2,896)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(11,917)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(12,719)</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Dividends on preferred units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(2,880)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(2,648)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(5,528)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(2,091)</w:t>
            </w:r>
          </w:p>
        </w:tc>
      </w:tr>
      <w:tr>
        <w:trPr>
          <w:trHeight w:val="303"/>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Net Income Attributable to SL Green Realty Corp</w:t>
            </w: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137,194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b w:val="1"/>
                <w:bCs w:val="1"/>
                <w:color w:val="auto"/>
              </w:rPr>
              <w:t>(35,368)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26,959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164,153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11,647</w:t>
            </w:r>
          </w:p>
        </w:tc>
      </w:tr>
      <w:tr>
        <w:trPr>
          <w:trHeight w:val="322"/>
        </w:trPr>
        <w:tc>
          <w:tcPr>
            <w:tcW w:w="4360" w:type="dxa"/>
            <w:vAlign w:val="bottom"/>
          </w:tcPr>
          <w:p>
            <w:pPr>
              <w:ind w:left="20"/>
              <w:spacing w:after="0"/>
              <w:rPr>
                <w:sz w:val="20"/>
                <w:szCs w:val="20"/>
                <w:color w:val="auto"/>
              </w:rPr>
            </w:pPr>
            <w:r>
              <w:rPr>
                <w:rFonts w:ascii="Arial" w:cs="Arial" w:eastAsia="Arial" w:hAnsi="Arial"/>
                <w:sz w:val="12"/>
                <w:szCs w:val="12"/>
                <w:color w:val="auto"/>
              </w:rPr>
              <w:t>Dividends on perpetual preferred shares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(3,737)</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(3,738)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(3,738)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(7,475)</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(7,476)</w:t>
            </w:r>
          </w:p>
        </w:tc>
      </w:tr>
      <w:tr>
        <w:trPr>
          <w:trHeight w:val="302"/>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Net Income Attributable to Common Stockholders</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133,457</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spacing w:after="0"/>
              <w:rPr>
                <w:sz w:val="20"/>
                <w:szCs w:val="20"/>
                <w:color w:val="auto"/>
              </w:rPr>
            </w:pPr>
            <w:r>
              <w:rPr>
                <w:rFonts w:ascii="Arial" w:cs="Arial" w:eastAsia="Arial" w:hAnsi="Arial"/>
                <w:sz w:val="12"/>
                <w:szCs w:val="12"/>
                <w:b w:val="1"/>
                <w:bCs w:val="1"/>
                <w:color w:val="auto"/>
              </w:rPr>
              <w:t>(39,106)</w:t>
            </w:r>
          </w:p>
        </w:tc>
        <w:tc>
          <w:tcPr>
            <w:tcW w:w="4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23,221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156,678</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4,171</w:t>
            </w: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200"/>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2"/>
                <w:szCs w:val="12"/>
                <w:b w:val="1"/>
                <w:bCs w:val="1"/>
                <w:color w:val="auto"/>
              </w:rPr>
              <w:t xml:space="preserve">Earnings per Share </w:t>
            </w:r>
            <w:r>
              <w:rPr>
                <w:rFonts w:ascii="Arial" w:cs="Arial" w:eastAsia="Arial" w:hAnsi="Arial"/>
                <w:sz w:val="12"/>
                <w:szCs w:val="12"/>
                <w:color w:val="auto"/>
              </w:rPr>
              <w:t>- Net income per share (basic)</w:t>
            </w:r>
          </w:p>
        </w:tc>
        <w:tc>
          <w:tcPr>
            <w:tcW w:w="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$1.33</w:t>
            </w:r>
          </w:p>
        </w:tc>
        <w:tc>
          <w:tcPr>
            <w:tcW w:w="20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(0.39)</w:t>
            </w: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1.57</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0.04</w:t>
            </w:r>
          </w:p>
        </w:tc>
      </w:tr>
      <w:tr>
        <w:trPr>
          <w:trHeight w:val="223"/>
        </w:trPr>
        <w:tc>
          <w:tcPr>
            <w:tcW w:w="4360" w:type="dxa"/>
            <w:vAlign w:val="bottom"/>
            <w:tcBorders>
              <w:left w:val="single" w:sz="8" w:color="auto"/>
              <w:bottom w:val="single" w:sz="8" w:color="auto"/>
            </w:tcBorders>
          </w:tcPr>
          <w:p>
            <w:pPr>
              <w:ind w:left="220"/>
              <w:spacing w:after="0"/>
              <w:rPr>
                <w:sz w:val="20"/>
                <w:szCs w:val="20"/>
                <w:color w:val="auto"/>
              </w:rPr>
            </w:pPr>
            <w:r>
              <w:rPr>
                <w:rFonts w:ascii="Arial" w:cs="Arial" w:eastAsia="Arial" w:hAnsi="Arial"/>
                <w:sz w:val="12"/>
                <w:szCs w:val="12"/>
                <w:b w:val="1"/>
                <w:bCs w:val="1"/>
                <w:color w:val="auto"/>
              </w:rPr>
              <w:t xml:space="preserve">Earnings per share </w:t>
            </w:r>
            <w:r>
              <w:rPr>
                <w:rFonts w:ascii="Arial" w:cs="Arial" w:eastAsia="Arial" w:hAnsi="Arial"/>
                <w:sz w:val="12"/>
                <w:szCs w:val="12"/>
                <w:color w:val="auto"/>
              </w:rPr>
              <w:t>- Net income per share (diluted)</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$1.33</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(0.39)</w:t>
            </w: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0.23</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1.56</w:t>
            </w: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right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0.04</w:t>
            </w:r>
          </w:p>
        </w:tc>
      </w:tr>
      <w:tr>
        <w:trPr>
          <w:trHeight w:val="197"/>
        </w:trPr>
        <w:tc>
          <w:tcPr>
            <w:tcW w:w="4360" w:type="dxa"/>
            <w:vAlign w:val="bottom"/>
          </w:tcPr>
          <w:p>
            <w:pPr>
              <w:ind w:left="20"/>
              <w:spacing w:after="0"/>
              <w:rPr>
                <w:sz w:val="20"/>
                <w:szCs w:val="20"/>
                <w:color w:val="auto"/>
              </w:rPr>
            </w:pPr>
            <w:r>
              <w:rPr>
                <w:rFonts w:ascii="Arial" w:cs="Arial" w:eastAsia="Arial" w:hAnsi="Arial"/>
                <w:sz w:val="9"/>
                <w:szCs w:val="9"/>
                <w:color w:val="auto"/>
              </w:rPr>
              <w:t>(1) Before gains on sale and equity in net gains (losses) shown below</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660"/>
        </w:trPr>
        <w:tc>
          <w:tcPr>
            <w:tcW w:w="4360" w:type="dxa"/>
            <w:vAlign w:val="bottom"/>
          </w:tcPr>
          <w:p>
            <w:pPr>
              <w:ind w:left="20"/>
              <w:spacing w:after="0"/>
              <w:rPr>
                <w:sz w:val="20"/>
                <w:szCs w:val="20"/>
                <w:color w:val="auto"/>
              </w:rPr>
            </w:pPr>
            <w:r>
              <w:rPr>
                <w:rFonts w:ascii="Arial" w:cs="Arial" w:eastAsia="Arial" w:hAnsi="Arial"/>
                <w:sz w:val="10"/>
                <w:szCs w:val="10"/>
                <w:color w:val="auto"/>
              </w:rPr>
              <w:t>Supplemental Information</w:t>
            </w:r>
          </w:p>
        </w:tc>
        <w:tc>
          <w:tcPr>
            <w:tcW w:w="160" w:type="dxa"/>
            <w:vAlign w:val="bottom"/>
          </w:tcPr>
          <w:p>
            <w:pPr>
              <w:spacing w:after="0"/>
              <w:rPr>
                <w:sz w:val="24"/>
                <w:szCs w:val="24"/>
                <w:color w:val="auto"/>
              </w:rPr>
            </w:pPr>
          </w:p>
        </w:tc>
        <w:tc>
          <w:tcPr>
            <w:tcW w:w="800" w:type="dxa"/>
            <w:vAlign w:val="bottom"/>
            <w:gridSpan w:val="3"/>
          </w:tcPr>
          <w:p>
            <w:pPr>
              <w:jc w:val="right"/>
              <w:ind w:right="182"/>
              <w:spacing w:after="0"/>
              <w:rPr>
                <w:sz w:val="20"/>
                <w:szCs w:val="20"/>
                <w:color w:val="auto"/>
              </w:rPr>
            </w:pPr>
            <w:r>
              <w:rPr>
                <w:rFonts w:ascii="Arial" w:cs="Arial" w:eastAsia="Arial" w:hAnsi="Arial"/>
                <w:sz w:val="10"/>
                <w:szCs w:val="10"/>
                <w:color w:val="auto"/>
              </w:rPr>
              <w:t>15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5"/>
          </w:tcPr>
          <w:p>
            <w:pPr>
              <w:jc w:val="right"/>
              <w:spacing w:after="0"/>
              <w:rPr>
                <w:sz w:val="20"/>
                <w:szCs w:val="20"/>
                <w:color w:val="auto"/>
              </w:rPr>
            </w:pPr>
            <w:r>
              <w:rPr>
                <w:rFonts w:ascii="Arial" w:cs="Arial" w:eastAsia="Arial" w:hAnsi="Arial"/>
                <w:sz w:val="10"/>
                <w:szCs w:val="10"/>
                <w:color w:val="auto"/>
              </w:rPr>
              <w:t>Second Quarter 2016</w:t>
            </w:r>
          </w:p>
        </w:tc>
      </w:tr>
    </w:tbl>
    <w:p>
      <w:pPr>
        <w:sectPr>
          <w:pgSz w:w="11900" w:h="16838" w:orient="portrait"/>
          <w:cols w:equalWidth="0" w:num="1">
            <w:col w:w="10120"/>
          </w:cols>
          <w:pgMar w:left="900" w:top="338" w:right="879" w:bottom="1440" w:gutter="0" w:footer="0" w:header="0"/>
        </w:sectPr>
      </w:pPr>
    </w:p>
    <w:bookmarkStart w:id="32" w:name="page33"/>
    <w:bookmarkEnd w:id="3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COMPARATIVE COMPUTATION OF FFO AND FAD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422"/>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Pr>
          <w:p>
            <w:pPr>
              <w:spacing w:after="0"/>
              <w:rPr>
                <w:sz w:val="13"/>
                <w:szCs w:val="13"/>
                <w:color w:val="auto"/>
              </w:rPr>
            </w:pPr>
          </w:p>
        </w:tc>
        <w:tc>
          <w:tcPr>
            <w:tcW w:w="128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7"/>
              </w:rPr>
              <w:t>Three Months Ended</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502"/>
              <w:spacing w:after="0"/>
              <w:rPr>
                <w:sz w:val="20"/>
                <w:szCs w:val="20"/>
                <w:color w:val="auto"/>
              </w:rPr>
            </w:pPr>
            <w:r>
              <w:rPr>
                <w:rFonts w:ascii="Arial" w:cs="Arial" w:eastAsia="Arial" w:hAnsi="Arial"/>
                <w:sz w:val="12"/>
                <w:szCs w:val="12"/>
                <w:b w:val="1"/>
                <w:bCs w:val="1"/>
                <w:color w:val="auto"/>
              </w:rPr>
              <w:t>Six Months Ended</w:t>
            </w:r>
          </w:p>
        </w:tc>
      </w:tr>
      <w:tr>
        <w:trPr>
          <w:trHeight w:val="205"/>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June 30,</w:t>
            </w:r>
          </w:p>
        </w:tc>
        <w:tc>
          <w:tcPr>
            <w:tcW w:w="160" w:type="dxa"/>
            <w:vAlign w:val="bottom"/>
          </w:tcPr>
          <w:p>
            <w:pPr>
              <w:spacing w:after="0"/>
              <w:rPr>
                <w:sz w:val="17"/>
                <w:szCs w:val="17"/>
                <w:color w:val="auto"/>
              </w:rPr>
            </w:pPr>
          </w:p>
        </w:tc>
        <w:tc>
          <w:tcPr>
            <w:tcW w:w="800" w:type="dxa"/>
            <w:vAlign w:val="bottom"/>
            <w:gridSpan w:val="3"/>
          </w:tcPr>
          <w:p>
            <w:pPr>
              <w:jc w:val="right"/>
              <w:ind w:right="202"/>
              <w:spacing w:after="0"/>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5"/>
          </w:tcPr>
          <w:p>
            <w:pPr>
              <w:jc w:val="center"/>
              <w:ind w:right="400"/>
              <w:spacing w:after="0"/>
              <w:rPr>
                <w:sz w:val="20"/>
                <w:szCs w:val="20"/>
                <w:color w:val="auto"/>
              </w:rPr>
            </w:pPr>
            <w:r>
              <w:rPr>
                <w:rFonts w:ascii="Arial" w:cs="Arial" w:eastAsia="Arial" w:hAnsi="Arial"/>
                <w:sz w:val="12"/>
                <w:szCs w:val="12"/>
                <w:b w:val="1"/>
                <w:bCs w:val="1"/>
                <w:color w:val="auto"/>
                <w:w w:val="97"/>
              </w:rPr>
              <w:t>March 31,</w:t>
            </w:r>
          </w:p>
        </w:tc>
        <w:tc>
          <w:tcPr>
            <w:tcW w:w="160" w:type="dxa"/>
            <w:vAlign w:val="bottom"/>
          </w:tcPr>
          <w:p>
            <w:pPr>
              <w:spacing w:after="0"/>
              <w:rPr>
                <w:sz w:val="17"/>
                <w:szCs w:val="17"/>
                <w:color w:val="auto"/>
              </w:rPr>
            </w:pPr>
          </w:p>
        </w:tc>
        <w:tc>
          <w:tcPr>
            <w:tcW w:w="820" w:type="dxa"/>
            <w:vAlign w:val="bottom"/>
            <w:gridSpan w:val="3"/>
          </w:tcPr>
          <w:p>
            <w:pPr>
              <w:jc w:val="right"/>
              <w:ind w:right="202"/>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202"/>
              <w:spacing w:after="0"/>
              <w:rPr>
                <w:sz w:val="20"/>
                <w:szCs w:val="20"/>
                <w:color w:val="auto"/>
              </w:rPr>
            </w:pPr>
            <w:r>
              <w:rPr>
                <w:rFonts w:ascii="Arial" w:cs="Arial" w:eastAsia="Arial" w:hAnsi="Arial"/>
                <w:sz w:val="12"/>
                <w:szCs w:val="12"/>
                <w:b w:val="1"/>
                <w:bCs w:val="1"/>
                <w:color w:val="auto"/>
              </w:rPr>
              <w:t>June 30,</w:t>
            </w:r>
          </w:p>
        </w:tc>
      </w:tr>
      <w:tr>
        <w:trPr>
          <w:trHeight w:val="196"/>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302"/>
              <w:spacing w:after="0"/>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center"/>
              <w:ind w:right="102"/>
              <w:spacing w:after="0"/>
              <w:rPr>
                <w:sz w:val="20"/>
                <w:szCs w:val="20"/>
                <w:color w:val="auto"/>
              </w:rPr>
            </w:pPr>
            <w:r>
              <w:rPr>
                <w:rFonts w:ascii="Arial" w:cs="Arial" w:eastAsia="Arial" w:hAnsi="Arial"/>
                <w:sz w:val="12"/>
                <w:szCs w:val="12"/>
                <w:b w:val="1"/>
                <w:bCs w:val="1"/>
                <w:color w:val="auto"/>
                <w:w w:val="97"/>
              </w:rPr>
              <w:t>2016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2015</w:t>
            </w:r>
          </w:p>
        </w:tc>
        <w:tc>
          <w:tcPr>
            <w:tcW w:w="360" w:type="dxa"/>
            <w:vAlign w:val="bottom"/>
          </w:tcPr>
          <w:p>
            <w:pPr>
              <w:spacing w:after="0"/>
              <w:rPr>
                <w:sz w:val="17"/>
                <w:szCs w:val="17"/>
                <w:color w:val="auto"/>
              </w:rPr>
            </w:pPr>
          </w:p>
        </w:tc>
      </w:tr>
      <w:tr>
        <w:trPr>
          <w:trHeight w:val="226"/>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Funds from Operations</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r>
      <w:tr>
        <w:trPr>
          <w:trHeight w:val="205"/>
        </w:trPr>
        <w:tc>
          <w:tcPr>
            <w:tcW w:w="4380" w:type="dxa"/>
            <w:vAlign w:val="bottom"/>
          </w:tcPr>
          <w:p>
            <w:pPr>
              <w:ind w:left="20"/>
              <w:spacing w:after="0"/>
              <w:rPr>
                <w:sz w:val="20"/>
                <w:szCs w:val="20"/>
                <w:color w:val="auto"/>
              </w:rPr>
            </w:pPr>
            <w:r>
              <w:rPr>
                <w:rFonts w:ascii="Arial" w:cs="Arial" w:eastAsia="Arial" w:hAnsi="Arial"/>
                <w:sz w:val="12"/>
                <w:szCs w:val="12"/>
                <w:color w:val="auto"/>
              </w:rPr>
              <w:t>Net Income Attributable to Common Stockholders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133,457</w:t>
            </w:r>
          </w:p>
        </w:tc>
        <w:tc>
          <w:tcPr>
            <w:tcW w:w="20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(39,106)</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23,221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156,678</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4,171</w:t>
            </w:r>
          </w:p>
        </w:tc>
      </w:tr>
      <w:tr>
        <w:trPr>
          <w:trHeight w:val="437"/>
        </w:trPr>
        <w:tc>
          <w:tcPr>
            <w:tcW w:w="4380" w:type="dxa"/>
            <w:vAlign w:val="bottom"/>
          </w:tcPr>
          <w:p>
            <w:pPr>
              <w:ind w:left="380"/>
              <w:spacing w:after="0"/>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24"/>
                <w:szCs w:val="24"/>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425,042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199,565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179,308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604,350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307,902</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Joint ventures depreciation and noncontrolling interests adjustments</w:t>
            </w: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8,328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4,435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10,514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18,842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13,057</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Net income attributable to noncontrolling interests</w:t>
            </w: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9,021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5,049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2,896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11,917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12,719</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Gain on sale of real estate and discontinued operations</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(196,580)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(13,773)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(210,353)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(12,983)</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Equity in net loss (gain) on sale of joint venture property / real estate</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(33,448)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(769)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(9,915)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(43,363)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(769)</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Depreciable Real Estate Reserves</w:t>
            </w: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10,387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223"/>
        </w:trPr>
        <w:tc>
          <w:tcPr>
            <w:tcW w:w="4380" w:type="dxa"/>
            <w:vAlign w:val="bottom"/>
          </w:tcPr>
          <w:p>
            <w:pPr>
              <w:ind w:left="380"/>
              <w:spacing w:after="0"/>
              <w:rPr>
                <w:sz w:val="20"/>
                <w:szCs w:val="20"/>
                <w:color w:val="auto"/>
              </w:rPr>
            </w:pPr>
            <w:r>
              <w:rPr>
                <w:rFonts w:ascii="Arial" w:cs="Arial" w:eastAsia="Arial" w:hAnsi="Arial"/>
                <w:sz w:val="12"/>
                <w:szCs w:val="12"/>
                <w:color w:val="auto"/>
              </w:rPr>
              <w:t>Non-real estate depreciation and amortization</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(500)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(496)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(996)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(1,025)</w:t>
            </w:r>
          </w:p>
        </w:tc>
      </w:tr>
      <w:tr>
        <w:trPr>
          <w:trHeight w:val="193"/>
        </w:trPr>
        <w:tc>
          <w:tcPr>
            <w:tcW w:w="4380" w:type="dxa"/>
            <w:vAlign w:val="bottom"/>
          </w:tcPr>
          <w:p>
            <w:pPr>
              <w:ind w:left="380"/>
              <w:spacing w:after="0"/>
              <w:rPr>
                <w:sz w:val="20"/>
                <w:szCs w:val="20"/>
                <w:color w:val="auto"/>
              </w:rPr>
            </w:pPr>
            <w:r>
              <w:rPr>
                <w:rFonts w:ascii="Arial" w:cs="Arial" w:eastAsia="Arial" w:hAnsi="Arial"/>
                <w:sz w:val="12"/>
                <w:szCs w:val="12"/>
                <w:b w:val="1"/>
                <w:bCs w:val="1"/>
                <w:color w:val="auto"/>
              </w:rPr>
              <w:t>Funds From Operations</w:t>
            </w: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355,707</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168,674</w:t>
            </w:r>
          </w:p>
        </w:tc>
        <w:tc>
          <w:tcPr>
            <w:tcW w:w="240" w:type="dxa"/>
            <w:vAlign w:val="bottom"/>
            <w:gridSpan w:val="2"/>
          </w:tcPr>
          <w:p>
            <w:pPr>
              <w:spacing w:after="0"/>
              <w:rPr>
                <w:sz w:val="16"/>
                <w:szCs w:val="16"/>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191,755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547,462</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323,072</w:t>
            </w: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80"/>
        </w:trPr>
        <w:tc>
          <w:tcPr>
            <w:tcW w:w="4380" w:type="dxa"/>
            <w:vAlign w:val="bottom"/>
          </w:tcPr>
          <w:p>
            <w:pPr>
              <w:ind w:left="380"/>
              <w:spacing w:after="0"/>
              <w:rPr>
                <w:sz w:val="20"/>
                <w:szCs w:val="20"/>
                <w:color w:val="auto"/>
              </w:rPr>
            </w:pPr>
            <w:r>
              <w:rPr>
                <w:rFonts w:ascii="Arial" w:cs="Arial" w:eastAsia="Arial" w:hAnsi="Arial"/>
                <w:sz w:val="12"/>
                <w:szCs w:val="12"/>
                <w:b w:val="1"/>
                <w:bCs w:val="1"/>
                <w:color w:val="auto"/>
              </w:rPr>
              <w:t>Funds From Operations - Basic per Share</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3.40</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1.63</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1.84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5.25</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3.14</w:t>
            </w:r>
          </w:p>
        </w:tc>
      </w:tr>
      <w:tr>
        <w:trPr>
          <w:trHeight w:val="437"/>
        </w:trPr>
        <w:tc>
          <w:tcPr>
            <w:tcW w:w="4380" w:type="dxa"/>
            <w:vAlign w:val="bottom"/>
          </w:tcPr>
          <w:p>
            <w:pPr>
              <w:ind w:left="380"/>
              <w:spacing w:after="0"/>
              <w:rPr>
                <w:sz w:val="20"/>
                <w:szCs w:val="20"/>
                <w:color w:val="auto"/>
              </w:rPr>
            </w:pPr>
            <w:r>
              <w:rPr>
                <w:rFonts w:ascii="Arial" w:cs="Arial" w:eastAsia="Arial" w:hAnsi="Arial"/>
                <w:sz w:val="12"/>
                <w:szCs w:val="12"/>
                <w:b w:val="1"/>
                <w:bCs w:val="1"/>
                <w:color w:val="auto"/>
              </w:rPr>
              <w:t>Funds From Operations - Diluted per Share</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3.39</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1.62</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1.84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5.24</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3.12</w:t>
            </w:r>
          </w:p>
        </w:tc>
      </w:tr>
      <w:tr>
        <w:trPr>
          <w:trHeight w:val="322"/>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Funds Available for Distribution</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05"/>
        </w:trPr>
        <w:tc>
          <w:tcPr>
            <w:tcW w:w="4380" w:type="dxa"/>
            <w:vAlign w:val="bottom"/>
          </w:tcPr>
          <w:p>
            <w:pPr>
              <w:ind w:left="20"/>
              <w:spacing w:after="0"/>
              <w:rPr>
                <w:sz w:val="20"/>
                <w:szCs w:val="20"/>
                <w:color w:val="auto"/>
              </w:rPr>
            </w:pPr>
            <w:r>
              <w:rPr>
                <w:rFonts w:ascii="Arial" w:cs="Arial" w:eastAsia="Arial" w:hAnsi="Arial"/>
                <w:sz w:val="12"/>
                <w:szCs w:val="12"/>
                <w:color w:val="auto"/>
              </w:rPr>
              <w:t>FFO</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355,707</w:t>
            </w:r>
          </w:p>
        </w:tc>
        <w:tc>
          <w:tcPr>
            <w:tcW w:w="20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168,674</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191,755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547,462</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323,072</w:t>
            </w:r>
          </w:p>
        </w:tc>
      </w:tr>
      <w:tr>
        <w:trPr>
          <w:trHeight w:val="317"/>
        </w:trPr>
        <w:tc>
          <w:tcPr>
            <w:tcW w:w="4380" w:type="dxa"/>
            <w:vAlign w:val="bottom"/>
          </w:tcPr>
          <w:p>
            <w:pPr>
              <w:ind w:left="380"/>
              <w:spacing w:after="0"/>
              <w:rPr>
                <w:sz w:val="20"/>
                <w:szCs w:val="20"/>
                <w:color w:val="auto"/>
              </w:rPr>
            </w:pPr>
            <w:r>
              <w:rPr>
                <w:rFonts w:ascii="Arial" w:cs="Arial" w:eastAsia="Arial" w:hAnsi="Arial"/>
                <w:sz w:val="12"/>
                <w:szCs w:val="12"/>
                <w:color w:val="auto"/>
              </w:rPr>
              <w:t>Non real estate depreciation and amortization</w:t>
            </w:r>
          </w:p>
        </w:tc>
        <w:tc>
          <w:tcPr>
            <w:tcW w:w="160" w:type="dxa"/>
            <w:vAlign w:val="bottom"/>
          </w:tcPr>
          <w:p>
            <w:pPr>
              <w:spacing w:after="0"/>
              <w:rPr>
                <w:sz w:val="24"/>
                <w:szCs w:val="24"/>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500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500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496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996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1,025</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Amortization of deferred financing costs</w:t>
            </w: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7,433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5,952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7,932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15,365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12,567</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Non-cash deferred compensation</w:t>
            </w: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10,293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10,701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14,277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24,570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29,578</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FAD adjustment for Joint Ventures</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(5,874)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(2,357)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(5,827)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(11,701)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(11,047)</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FAD adjustment for discontinued operations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Straight-line rental income and other non cash adjustments</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(105,387)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(36,127)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(29,704)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(135,091)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(80,018)</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Second cycle tenant improvements</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(34,672)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(26,299)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(10,128)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(44,800)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(35,675)</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Second cycle leasing commissions</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(8,072)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(10,671)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(8,871)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(16,943)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(16,509)</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Revenue enhancing recurring CAPEX</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(1,098)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(1,423)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(1,331)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(1,637)</w:t>
            </w:r>
          </w:p>
        </w:tc>
      </w:tr>
      <w:tr>
        <w:trPr>
          <w:trHeight w:val="223"/>
        </w:trPr>
        <w:tc>
          <w:tcPr>
            <w:tcW w:w="4380" w:type="dxa"/>
            <w:vAlign w:val="bottom"/>
          </w:tcPr>
          <w:p>
            <w:pPr>
              <w:ind w:left="380"/>
              <w:spacing w:after="0"/>
              <w:rPr>
                <w:sz w:val="20"/>
                <w:szCs w:val="20"/>
                <w:color w:val="auto"/>
              </w:rPr>
            </w:pPr>
            <w:r>
              <w:rPr>
                <w:rFonts w:ascii="Arial" w:cs="Arial" w:eastAsia="Arial" w:hAnsi="Arial"/>
                <w:sz w:val="12"/>
                <w:szCs w:val="12"/>
                <w:color w:val="auto"/>
              </w:rPr>
              <w:t>Non-revenue enhancing recurring CAPEX</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(13,683)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(9,160)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(3,688)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(17,371)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(13,978)</w:t>
            </w:r>
          </w:p>
        </w:tc>
      </w:tr>
      <w:tr>
        <w:trPr>
          <w:trHeight w:val="303"/>
        </w:trPr>
        <w:tc>
          <w:tcPr>
            <w:tcW w:w="4380" w:type="dxa"/>
            <w:vAlign w:val="bottom"/>
          </w:tcPr>
          <w:p>
            <w:pPr>
              <w:ind w:left="20"/>
              <w:spacing w:after="0"/>
              <w:rPr>
                <w:sz w:val="20"/>
                <w:szCs w:val="20"/>
                <w:color w:val="auto"/>
              </w:rPr>
            </w:pPr>
            <w:r>
              <w:rPr>
                <w:rFonts w:ascii="Arial" w:cs="Arial" w:eastAsia="Arial" w:hAnsi="Arial"/>
                <w:sz w:val="12"/>
                <w:szCs w:val="12"/>
                <w:b w:val="1"/>
                <w:bCs w:val="1"/>
                <w:color w:val="auto"/>
              </w:rPr>
              <w:t>Reported Funds Available for Distribution</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205,147</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99,790</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156,009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361,156</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207,383</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b w:val="1"/>
                <w:bCs w:val="1"/>
                <w:color w:val="auto"/>
              </w:rPr>
              <w:t>Diluted per Share</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1.96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0.96</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3.45</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2.01</w:t>
            </w:r>
          </w:p>
        </w:tc>
      </w:tr>
      <w:tr>
        <w:trPr>
          <w:trHeight w:val="317"/>
        </w:trPr>
        <w:tc>
          <w:tcPr>
            <w:tcW w:w="4380" w:type="dxa"/>
            <w:vAlign w:val="bottom"/>
          </w:tcPr>
          <w:p>
            <w:pPr>
              <w:ind w:left="380"/>
              <w:spacing w:after="0"/>
              <w:rPr>
                <w:sz w:val="20"/>
                <w:szCs w:val="20"/>
                <w:color w:val="auto"/>
              </w:rPr>
            </w:pPr>
            <w:r>
              <w:rPr>
                <w:rFonts w:ascii="Arial" w:cs="Arial" w:eastAsia="Arial" w:hAnsi="Arial"/>
                <w:sz w:val="12"/>
                <w:szCs w:val="12"/>
                <w:color w:val="auto"/>
              </w:rPr>
              <w:t>1515 Broadway - Viacom capital contribution</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8,996</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9,391</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481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9,477</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14,530</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388-390 Greenwich - Citi capital contribution</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5,542</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5,542</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388-390 Greenwich - free rent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20,459</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40,918</w:t>
            </w:r>
          </w:p>
        </w:tc>
      </w:tr>
      <w:tr>
        <w:trPr>
          <w:trHeight w:val="317"/>
        </w:trPr>
        <w:tc>
          <w:tcPr>
            <w:tcW w:w="4380" w:type="dxa"/>
            <w:vAlign w:val="bottom"/>
          </w:tcPr>
          <w:p>
            <w:pPr>
              <w:ind w:left="20"/>
              <w:spacing w:after="0"/>
              <w:rPr>
                <w:sz w:val="20"/>
                <w:szCs w:val="20"/>
                <w:color w:val="auto"/>
              </w:rPr>
            </w:pPr>
            <w:r>
              <w:rPr>
                <w:rFonts w:ascii="Arial" w:cs="Arial" w:eastAsia="Arial" w:hAnsi="Arial"/>
                <w:sz w:val="12"/>
                <w:szCs w:val="12"/>
                <w:b w:val="1"/>
                <w:bCs w:val="1"/>
                <w:color w:val="auto"/>
              </w:rPr>
              <w:t>Recurring Funds Available for Distribution</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214,143</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135,182</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156,490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370,633</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268,373</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b w:val="1"/>
                <w:bCs w:val="1"/>
                <w:color w:val="auto"/>
              </w:rPr>
              <w:t>Diluted per Share</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2.04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1.30</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3.55</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2.59</w:t>
            </w:r>
          </w:p>
        </w:tc>
      </w:tr>
      <w:tr>
        <w:trPr>
          <w:trHeight w:val="317"/>
        </w:trPr>
        <w:tc>
          <w:tcPr>
            <w:tcW w:w="4380" w:type="dxa"/>
            <w:vAlign w:val="bottom"/>
          </w:tcPr>
          <w:p>
            <w:pPr>
              <w:ind w:left="380"/>
              <w:spacing w:after="0"/>
              <w:rPr>
                <w:sz w:val="20"/>
                <w:szCs w:val="20"/>
                <w:color w:val="auto"/>
              </w:rPr>
            </w:pPr>
            <w:r>
              <w:rPr>
                <w:rFonts w:ascii="Arial" w:cs="Arial" w:eastAsia="Arial" w:hAnsi="Arial"/>
                <w:sz w:val="12"/>
                <w:szCs w:val="12"/>
                <w:color w:val="auto"/>
              </w:rPr>
              <w:t>First cycle tenant improvements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8,090</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7,530</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4,323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12,413</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10,336</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First cycle leasing commissions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7,078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3,818</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3,183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10,261</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4,150</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Redevelopment costs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61,594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18,316</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16,753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78,347</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24,973</w:t>
            </w:r>
          </w:p>
        </w:tc>
      </w:tr>
      <w:tr>
        <w:trPr>
          <w:trHeight w:val="219"/>
        </w:trPr>
        <w:tc>
          <w:tcPr>
            <w:tcW w:w="4380" w:type="dxa"/>
            <w:vAlign w:val="bottom"/>
          </w:tcPr>
          <w:p>
            <w:pPr>
              <w:ind w:left="380"/>
              <w:spacing w:after="0"/>
              <w:rPr>
                <w:sz w:val="20"/>
                <w:szCs w:val="20"/>
                <w:color w:val="auto"/>
              </w:rPr>
            </w:pPr>
            <w:r>
              <w:rPr>
                <w:rFonts w:ascii="Arial" w:cs="Arial" w:eastAsia="Arial" w:hAnsi="Arial"/>
                <w:sz w:val="12"/>
                <w:szCs w:val="12"/>
                <w:color w:val="auto"/>
              </w:rPr>
              <w:t>Capitalized interest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5,433</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22"/>
              <w:spacing w:after="0"/>
              <w:rPr>
                <w:sz w:val="20"/>
                <w:szCs w:val="20"/>
                <w:color w:val="auto"/>
              </w:rPr>
            </w:pPr>
            <w:r>
              <w:rPr>
                <w:rFonts w:ascii="Arial" w:cs="Arial" w:eastAsia="Arial" w:hAnsi="Arial"/>
                <w:sz w:val="12"/>
                <w:szCs w:val="12"/>
                <w:color w:val="auto"/>
              </w:rPr>
              <w:t>7,528</w:t>
            </w:r>
          </w:p>
        </w:tc>
        <w:tc>
          <w:tcPr>
            <w:tcW w:w="38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6,618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12,051</w:t>
            </w:r>
          </w:p>
        </w:tc>
        <w:tc>
          <w:tcPr>
            <w:tcW w:w="3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15,967</w:t>
            </w:r>
          </w:p>
        </w:tc>
      </w:tr>
      <w:tr>
        <w:trPr>
          <w:trHeight w:val="455"/>
        </w:trPr>
        <w:tc>
          <w:tcPr>
            <w:tcW w:w="4380" w:type="dxa"/>
            <w:vAlign w:val="bottom"/>
          </w:tcPr>
          <w:p>
            <w:pPr>
              <w:ind w:left="20"/>
              <w:spacing w:after="0"/>
              <w:rPr>
                <w:sz w:val="20"/>
                <w:szCs w:val="20"/>
                <w:color w:val="auto"/>
              </w:rPr>
            </w:pPr>
            <w:r>
              <w:rPr>
                <w:rFonts w:ascii="Arial" w:cs="Arial" w:eastAsia="Arial" w:hAnsi="Arial"/>
                <w:sz w:val="10"/>
                <w:szCs w:val="10"/>
                <w:color w:val="auto"/>
              </w:rPr>
              <w:t>Supplemental Information</w:t>
            </w:r>
          </w:p>
        </w:tc>
        <w:tc>
          <w:tcPr>
            <w:tcW w:w="160" w:type="dxa"/>
            <w:vAlign w:val="bottom"/>
          </w:tcPr>
          <w:p>
            <w:pPr>
              <w:spacing w:after="0"/>
              <w:rPr>
                <w:sz w:val="24"/>
                <w:szCs w:val="24"/>
                <w:color w:val="auto"/>
              </w:rPr>
            </w:pPr>
          </w:p>
        </w:tc>
        <w:tc>
          <w:tcPr>
            <w:tcW w:w="800" w:type="dxa"/>
            <w:vAlign w:val="bottom"/>
            <w:gridSpan w:val="3"/>
          </w:tcPr>
          <w:p>
            <w:pPr>
              <w:jc w:val="right"/>
              <w:ind w:right="202"/>
              <w:spacing w:after="0"/>
              <w:rPr>
                <w:sz w:val="20"/>
                <w:szCs w:val="20"/>
                <w:color w:val="auto"/>
              </w:rPr>
            </w:pPr>
            <w:r>
              <w:rPr>
                <w:rFonts w:ascii="Arial" w:cs="Arial" w:eastAsia="Arial" w:hAnsi="Arial"/>
                <w:sz w:val="10"/>
                <w:szCs w:val="10"/>
                <w:color w:val="auto"/>
              </w:rPr>
              <w:t>16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0"/>
                <w:szCs w:val="10"/>
                <w:color w:val="auto"/>
              </w:rPr>
              <w:t>Second Quarter 2016</w:t>
            </w:r>
          </w:p>
        </w:tc>
      </w:tr>
    </w:tbl>
    <w:p>
      <w:pPr>
        <w:sectPr>
          <w:pgSz w:w="11900" w:h="16838" w:orient="portrait"/>
          <w:cols w:equalWidth="0" w:num="1">
            <w:col w:w="10100"/>
          </w:cols>
          <w:pgMar w:left="900" w:top="338" w:right="899" w:bottom="1440" w:gutter="0" w:footer="0" w:header="0"/>
        </w:sectPr>
      </w:pPr>
    </w:p>
    <w:bookmarkStart w:id="33" w:name="page34"/>
    <w:bookmarkEnd w:id="3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CONSOLIDATED STATEMENT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34"/>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Series I</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Other</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Preferred</w:t>
            </w:r>
          </w:p>
        </w:tc>
        <w:tc>
          <w:tcPr>
            <w:tcW w:w="14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Common</w:t>
            </w:r>
          </w:p>
        </w:tc>
        <w:tc>
          <w:tcPr>
            <w:tcW w:w="80" w:type="dxa"/>
            <w:vAlign w:val="bottom"/>
          </w:tcPr>
          <w:p>
            <w:pPr>
              <w:spacing w:after="0"/>
              <w:rPr>
                <w:sz w:val="19"/>
                <w:szCs w:val="1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Treasury</w:t>
            </w:r>
          </w:p>
        </w:tc>
        <w:tc>
          <w:tcPr>
            <w:tcW w:w="10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Retained</w:t>
            </w:r>
          </w:p>
        </w:tc>
        <w:tc>
          <w:tcPr>
            <w:tcW w:w="880" w:type="dxa"/>
            <w:vAlign w:val="bottom"/>
            <w:gridSpan w:val="2"/>
          </w:tcPr>
          <w:p>
            <w:pPr>
              <w:jc w:val="right"/>
              <w:ind w:right="29"/>
              <w:spacing w:after="0"/>
              <w:rPr>
                <w:sz w:val="20"/>
                <w:szCs w:val="20"/>
                <w:color w:val="auto"/>
              </w:rPr>
            </w:pPr>
            <w:r>
              <w:rPr>
                <w:rFonts w:ascii="Arial" w:cs="Arial" w:eastAsia="Arial" w:hAnsi="Arial"/>
                <w:sz w:val="10"/>
                <w:szCs w:val="10"/>
                <w:b w:val="1"/>
                <w:bCs w:val="1"/>
                <w:color w:val="auto"/>
              </w:rPr>
              <w:t>Noncontrolling</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Comprehensive</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69"/>
              <w:spacing w:after="0"/>
              <w:rPr>
                <w:sz w:val="20"/>
                <w:szCs w:val="20"/>
                <w:color w:val="auto"/>
              </w:rPr>
            </w:pPr>
            <w:r>
              <w:rPr>
                <w:rFonts w:ascii="Arial" w:cs="Arial" w:eastAsia="Arial" w:hAnsi="Arial"/>
                <w:sz w:val="10"/>
                <w:szCs w:val="10"/>
                <w:b w:val="1"/>
                <w:bCs w:val="1"/>
                <w:color w:val="auto"/>
              </w:rPr>
              <w:t>Stock</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69"/>
              <w:spacing w:after="0"/>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Paid-In Capital</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49"/>
              <w:spacing w:after="0"/>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10"/>
                <w:szCs w:val="10"/>
                <w:b w:val="1"/>
                <w:bCs w:val="1"/>
                <w:color w:val="auto"/>
                <w:w w:val="98"/>
              </w:rPr>
              <w:t>Earnings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Interests</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0"/>
                <w:szCs w:val="10"/>
                <w:b w:val="1"/>
                <w:bCs w:val="1"/>
                <w:color w:val="auto"/>
              </w:rPr>
              <w:t>Loss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388"/>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2015</w:t>
            </w: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9"/>
              <w:spacing w:after="0"/>
              <w:rPr>
                <w:sz w:val="20"/>
                <w:szCs w:val="20"/>
                <w:color w:val="auto"/>
              </w:rPr>
            </w:pPr>
            <w:r>
              <w:rPr>
                <w:rFonts w:ascii="Arial" w:cs="Arial" w:eastAsia="Arial" w:hAnsi="Arial"/>
                <w:sz w:val="10"/>
                <w:szCs w:val="10"/>
                <w:b w:val="1"/>
                <w:bCs w:val="1"/>
                <w:color w:val="auto"/>
              </w:rPr>
              <w:t>221,932</w:t>
            </w:r>
          </w:p>
        </w:tc>
        <w:tc>
          <w:tcPr>
            <w:tcW w:w="80" w:type="dxa"/>
            <w:vAlign w:val="bottom"/>
          </w:tcPr>
          <w:p>
            <w:pPr>
              <w:spacing w:after="0"/>
              <w:rPr>
                <w:sz w:val="24"/>
                <w:szCs w:val="24"/>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1,001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Pr>
          <w:p>
            <w:pPr>
              <w:jc w:val="right"/>
              <w:ind w:right="9"/>
              <w:spacing w:after="0"/>
              <w:rPr>
                <w:sz w:val="20"/>
                <w:szCs w:val="20"/>
                <w:color w:val="auto"/>
              </w:rPr>
            </w:pPr>
            <w:r>
              <w:rPr>
                <w:rFonts w:ascii="Arial" w:cs="Arial" w:eastAsia="Arial" w:hAnsi="Arial"/>
                <w:sz w:val="10"/>
                <w:szCs w:val="10"/>
                <w:b w:val="1"/>
                <w:bCs w:val="1"/>
                <w:color w:val="auto"/>
              </w:rPr>
              <w:t>5,439,735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(10,000)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1,643,546</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29"/>
              <w:spacing w:after="0"/>
              <w:rPr>
                <w:sz w:val="20"/>
                <w:szCs w:val="20"/>
                <w:color w:val="auto"/>
              </w:rPr>
            </w:pPr>
            <w:r>
              <w:rPr>
                <w:rFonts w:ascii="Arial" w:cs="Arial" w:eastAsia="Arial" w:hAnsi="Arial"/>
                <w:sz w:val="10"/>
                <w:szCs w:val="10"/>
                <w:b w:val="1"/>
                <w:bCs w:val="1"/>
                <w:color w:val="auto"/>
              </w:rPr>
              <w:t>431,852</w:t>
            </w:r>
          </w:p>
        </w:tc>
        <w:tc>
          <w:tcPr>
            <w:tcW w:w="16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(8,749)</w:t>
            </w:r>
          </w:p>
        </w:tc>
        <w:tc>
          <w:tcPr>
            <w:tcW w:w="100" w:type="dxa"/>
            <w:vAlign w:val="bottom"/>
          </w:tcPr>
          <w:p>
            <w:pPr>
              <w:spacing w:after="0"/>
              <w:rPr>
                <w:sz w:val="24"/>
                <w:szCs w:val="24"/>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7,719,317</w:t>
            </w:r>
          </w:p>
        </w:tc>
        <w:tc>
          <w:tcPr>
            <w:tcW w:w="0" w:type="dxa"/>
            <w:vAlign w:val="bottom"/>
          </w:tcPr>
          <w:p>
            <w:pPr>
              <w:spacing w:after="0"/>
              <w:rPr>
                <w:sz w:val="1"/>
                <w:szCs w:val="1"/>
                <w:color w:val="auto"/>
              </w:rPr>
            </w:pPr>
          </w:p>
        </w:tc>
      </w:tr>
      <w:tr>
        <w:trPr>
          <w:trHeight w:val="404"/>
        </w:trPr>
        <w:tc>
          <w:tcPr>
            <w:tcW w:w="2900" w:type="dxa"/>
            <w:vAlign w:val="bottom"/>
          </w:tcPr>
          <w:p>
            <w:pPr>
              <w:ind w:left="20"/>
              <w:spacing w:after="0"/>
              <w:rPr>
                <w:sz w:val="20"/>
                <w:szCs w:val="20"/>
                <w:color w:val="auto"/>
              </w:rPr>
            </w:pPr>
            <w:r>
              <w:rPr>
                <w:rFonts w:ascii="Arial" w:cs="Arial" w:eastAsia="Arial" w:hAnsi="Arial"/>
                <w:sz w:val="10"/>
                <w:szCs w:val="10"/>
                <w:color w:val="auto"/>
              </w:rPr>
              <w:t>Net Income attributable to SL Green</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color w:val="auto"/>
              </w:rPr>
              <w:t>164,153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9"/>
              <w:spacing w:after="0"/>
              <w:rPr>
                <w:sz w:val="20"/>
                <w:szCs w:val="20"/>
                <w:color w:val="auto"/>
              </w:rPr>
            </w:pPr>
            <w:r>
              <w:rPr>
                <w:rFonts w:ascii="Arial" w:cs="Arial" w:eastAsia="Arial" w:hAnsi="Arial"/>
                <w:sz w:val="10"/>
                <w:szCs w:val="10"/>
                <w:color w:val="auto"/>
              </w:rPr>
              <w:t>5,409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169,562</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Acquisition of subsidiary interest from noncontrolling interest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Preferred dividends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(7,475)</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Cash distributions declared ($1.44 per common share)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(143,998)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(143,998)</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Cash distributions to noncontrolling interests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(9,866)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(9,866)</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Other comprehensive income - unrealized loss on derivative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(1,372)</w:t>
            </w:r>
          </w:p>
        </w:tc>
        <w:tc>
          <w:tcPr>
            <w:tcW w:w="0" w:type="dxa"/>
            <w:vAlign w:val="bottom"/>
          </w:tcPr>
          <w:p>
            <w:pPr>
              <w:spacing w:after="0"/>
              <w:rPr>
                <w:sz w:val="1"/>
                <w:szCs w:val="1"/>
                <w:color w:val="auto"/>
              </w:rPr>
            </w:pPr>
          </w:p>
        </w:tc>
      </w:tr>
      <w:tr>
        <w:trPr>
          <w:trHeight w:val="122"/>
        </w:trPr>
        <w:tc>
          <w:tcPr>
            <w:tcW w:w="2900" w:type="dxa"/>
            <w:vAlign w:val="bottom"/>
          </w:tcPr>
          <w:p>
            <w:pPr>
              <w:ind w:left="20"/>
              <w:spacing w:after="0"/>
              <w:rPr>
                <w:sz w:val="20"/>
                <w:szCs w:val="20"/>
                <w:color w:val="auto"/>
              </w:rPr>
            </w:pPr>
            <w:r>
              <w:rPr>
                <w:rFonts w:ascii="Arial" w:cs="Arial" w:eastAsia="Arial" w:hAnsi="Arial"/>
                <w:sz w:val="10"/>
                <w:szCs w:val="10"/>
                <w:color w:val="auto"/>
              </w:rPr>
              <w:t>instruments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Other comprehensive income - SLG's share of joint venture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900" w:type="dxa"/>
            <w:vAlign w:val="bottom"/>
          </w:tcPr>
          <w:p>
            <w:pPr>
              <w:ind w:left="20"/>
              <w:spacing w:after="0"/>
              <w:rPr>
                <w:sz w:val="20"/>
                <w:szCs w:val="20"/>
                <w:color w:val="auto"/>
              </w:rPr>
            </w:pPr>
            <w:r>
              <w:rPr>
                <w:rFonts w:ascii="Arial" w:cs="Arial" w:eastAsia="Arial" w:hAnsi="Arial"/>
                <w:sz w:val="10"/>
                <w:szCs w:val="10"/>
                <w:color w:val="auto"/>
              </w:rPr>
              <w:t>net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960"/>
              <w:spacing w:after="0"/>
              <w:rPr>
                <w:sz w:val="20"/>
                <w:szCs w:val="20"/>
                <w:color w:val="auto"/>
              </w:rPr>
            </w:pPr>
            <w:r>
              <w:rPr>
                <w:rFonts w:ascii="Arial" w:cs="Arial" w:eastAsia="Arial" w:hAnsi="Arial"/>
                <w:sz w:val="10"/>
                <w:szCs w:val="10"/>
                <w:color w:val="auto"/>
              </w:rPr>
              <w:t>unrealized loss on derivative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(5,599)</w:t>
            </w:r>
          </w:p>
        </w:tc>
        <w:tc>
          <w:tcPr>
            <w:tcW w:w="0" w:type="dxa"/>
            <w:vAlign w:val="bottom"/>
          </w:tcPr>
          <w:p>
            <w:pPr>
              <w:spacing w:after="0"/>
              <w:rPr>
                <w:sz w:val="1"/>
                <w:szCs w:val="1"/>
                <w:color w:val="auto"/>
              </w:rPr>
            </w:pPr>
          </w:p>
        </w:tc>
      </w:tr>
      <w:tr>
        <w:trPr>
          <w:trHeight w:val="122"/>
        </w:trPr>
        <w:tc>
          <w:tcPr>
            <w:tcW w:w="2900" w:type="dxa"/>
            <w:vAlign w:val="bottom"/>
          </w:tcPr>
          <w:p>
            <w:pPr>
              <w:ind w:left="960"/>
              <w:spacing w:after="0"/>
              <w:rPr>
                <w:sz w:val="20"/>
                <w:szCs w:val="20"/>
                <w:color w:val="auto"/>
              </w:rPr>
            </w:pPr>
            <w:r>
              <w:rPr>
                <w:rFonts w:ascii="Arial" w:cs="Arial" w:eastAsia="Arial" w:hAnsi="Arial"/>
                <w:sz w:val="10"/>
                <w:szCs w:val="10"/>
                <w:color w:val="auto"/>
              </w:rPr>
              <w:t>instruments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(5,599)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Other comprehensive income - unrealized loss 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(838)</w:t>
            </w:r>
          </w:p>
        </w:tc>
        <w:tc>
          <w:tcPr>
            <w:tcW w:w="0" w:type="dxa"/>
            <w:vAlign w:val="bottom"/>
          </w:tcPr>
          <w:p>
            <w:pPr>
              <w:spacing w:after="0"/>
              <w:rPr>
                <w:sz w:val="1"/>
                <w:szCs w:val="1"/>
                <w:color w:val="auto"/>
              </w:rPr>
            </w:pPr>
          </w:p>
        </w:tc>
      </w:tr>
      <w:tr>
        <w:trPr>
          <w:trHeight w:val="122"/>
        </w:trPr>
        <w:tc>
          <w:tcPr>
            <w:tcW w:w="2900" w:type="dxa"/>
            <w:vAlign w:val="bottom"/>
          </w:tcPr>
          <w:p>
            <w:pPr>
              <w:ind w:left="20"/>
              <w:spacing w:after="0"/>
              <w:rPr>
                <w:sz w:val="20"/>
                <w:szCs w:val="20"/>
                <w:color w:val="auto"/>
              </w:rPr>
            </w:pPr>
            <w:r>
              <w:rPr>
                <w:rFonts w:ascii="Arial" w:cs="Arial" w:eastAsia="Arial" w:hAnsi="Arial"/>
                <w:sz w:val="10"/>
                <w:szCs w:val="10"/>
                <w:color w:val="auto"/>
              </w:rPr>
              <w:t>marketable securities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(838)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Proceeds from stock options exercised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4,342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4,343</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DRSPP proceeds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89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Conversion of units of the Operating Partnership to common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11,795</w:t>
            </w:r>
          </w:p>
        </w:tc>
        <w:tc>
          <w:tcPr>
            <w:tcW w:w="0" w:type="dxa"/>
            <w:vAlign w:val="bottom"/>
          </w:tcPr>
          <w:p>
            <w:pPr>
              <w:spacing w:after="0"/>
              <w:rPr>
                <w:sz w:val="1"/>
                <w:szCs w:val="1"/>
                <w:color w:val="auto"/>
              </w:rPr>
            </w:pPr>
          </w:p>
        </w:tc>
      </w:tr>
      <w:tr>
        <w:trPr>
          <w:trHeight w:val="122"/>
        </w:trPr>
        <w:tc>
          <w:tcPr>
            <w:tcW w:w="2900" w:type="dxa"/>
            <w:vAlign w:val="bottom"/>
          </w:tcPr>
          <w:p>
            <w:pPr>
              <w:ind w:left="20"/>
              <w:spacing w:after="0"/>
              <w:rPr>
                <w:sz w:val="20"/>
                <w:szCs w:val="20"/>
                <w:color w:val="auto"/>
              </w:rPr>
            </w:pPr>
            <w:r>
              <w:rPr>
                <w:rFonts w:ascii="Arial" w:cs="Arial" w:eastAsia="Arial" w:hAnsi="Arial"/>
                <w:sz w:val="10"/>
                <w:szCs w:val="10"/>
                <w:color w:val="auto"/>
              </w:rPr>
              <w:t>stock</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11,794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Contributions to consolidated joint venture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9"/>
              <w:spacing w:after="0"/>
              <w:rPr>
                <w:sz w:val="20"/>
                <w:szCs w:val="20"/>
                <w:color w:val="auto"/>
              </w:rPr>
            </w:pPr>
            <w:r>
              <w:rPr>
                <w:rFonts w:ascii="Arial" w:cs="Arial" w:eastAsia="Arial" w:hAnsi="Arial"/>
                <w:sz w:val="10"/>
                <w:szCs w:val="10"/>
                <w:color w:val="auto"/>
              </w:rPr>
              <w:t>1,434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1,434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Reallocation of noncontrolling interests in the Operating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(906)</w:t>
            </w:r>
          </w:p>
        </w:tc>
        <w:tc>
          <w:tcPr>
            <w:tcW w:w="0" w:type="dxa"/>
            <w:vAlign w:val="bottom"/>
          </w:tcPr>
          <w:p>
            <w:pPr>
              <w:spacing w:after="0"/>
              <w:rPr>
                <w:sz w:val="1"/>
                <w:szCs w:val="1"/>
                <w:color w:val="auto"/>
              </w:rPr>
            </w:pPr>
          </w:p>
        </w:tc>
      </w:tr>
      <w:tr>
        <w:trPr>
          <w:trHeight w:val="122"/>
        </w:trPr>
        <w:tc>
          <w:tcPr>
            <w:tcW w:w="2900" w:type="dxa"/>
            <w:vAlign w:val="bottom"/>
          </w:tcPr>
          <w:p>
            <w:pPr>
              <w:ind w:left="20"/>
              <w:spacing w:after="0"/>
              <w:rPr>
                <w:sz w:val="20"/>
                <w:szCs w:val="20"/>
                <w:color w:val="auto"/>
              </w:rPr>
            </w:pPr>
            <w:r>
              <w:rPr>
                <w:rFonts w:ascii="Arial" w:cs="Arial" w:eastAsia="Arial" w:hAnsi="Arial"/>
                <w:sz w:val="10"/>
                <w:szCs w:val="10"/>
                <w:color w:val="auto"/>
              </w:rPr>
              <w:t>Partnership</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Reallocation of capital account relating to sale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Issuance of common stock</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(40)</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Arial" w:cs="Arial" w:eastAsia="Arial" w:hAnsi="Arial"/>
                <w:sz w:val="10"/>
                <w:szCs w:val="10"/>
                <w:color w:val="auto"/>
              </w:rPr>
              <w:t>Deferred compensation plan and stock awards, net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(2,150)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(2,150)</w:t>
            </w:r>
          </w:p>
        </w:tc>
        <w:tc>
          <w:tcPr>
            <w:tcW w:w="0" w:type="dxa"/>
            <w:vAlign w:val="bottom"/>
          </w:tcPr>
          <w:p>
            <w:pPr>
              <w:spacing w:after="0"/>
              <w:rPr>
                <w:sz w:val="1"/>
                <w:szCs w:val="1"/>
                <w:color w:val="auto"/>
              </w:rPr>
            </w:pPr>
          </w:p>
        </w:tc>
      </w:tr>
      <w:tr>
        <w:trPr>
          <w:trHeight w:val="225"/>
        </w:trPr>
        <w:tc>
          <w:tcPr>
            <w:tcW w:w="2900" w:type="dxa"/>
            <w:vAlign w:val="bottom"/>
          </w:tcPr>
          <w:p>
            <w:pPr>
              <w:ind w:left="20"/>
              <w:spacing w:after="0"/>
              <w:rPr>
                <w:sz w:val="20"/>
                <w:szCs w:val="20"/>
                <w:color w:val="auto"/>
              </w:rPr>
            </w:pPr>
            <w:r>
              <w:rPr>
                <w:rFonts w:ascii="Arial" w:cs="Arial" w:eastAsia="Arial" w:hAnsi="Arial"/>
                <w:sz w:val="10"/>
                <w:szCs w:val="10"/>
                <w:color w:val="auto"/>
              </w:rPr>
              <w:t>Amortization of deferred compensation plan</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12,823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12,823</w:t>
            </w:r>
          </w:p>
        </w:tc>
        <w:tc>
          <w:tcPr>
            <w:tcW w:w="0" w:type="dxa"/>
            <w:vAlign w:val="bottom"/>
          </w:tcPr>
          <w:p>
            <w:pPr>
              <w:spacing w:after="0"/>
              <w:rPr>
                <w:sz w:val="1"/>
                <w:szCs w:val="1"/>
                <w:color w:val="auto"/>
              </w:rPr>
            </w:pPr>
          </w:p>
        </w:tc>
      </w:tr>
      <w:tr>
        <w:trPr>
          <w:trHeight w:val="193"/>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Balance at June 30, 2016</w:t>
            </w: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9"/>
              <w:spacing w:after="0"/>
              <w:rPr>
                <w:sz w:val="20"/>
                <w:szCs w:val="20"/>
                <w:color w:val="auto"/>
              </w:rPr>
            </w:pPr>
            <w:r>
              <w:rPr>
                <w:rFonts w:ascii="Arial" w:cs="Arial" w:eastAsia="Arial" w:hAnsi="Arial"/>
                <w:sz w:val="10"/>
                <w:szCs w:val="10"/>
                <w:b w:val="1"/>
                <w:bCs w:val="1"/>
                <w:color w:val="auto"/>
              </w:rPr>
              <w:t>221,932</w:t>
            </w:r>
          </w:p>
        </w:tc>
        <w:tc>
          <w:tcPr>
            <w:tcW w:w="80" w:type="dxa"/>
            <w:vAlign w:val="bottom"/>
          </w:tcPr>
          <w:p>
            <w:pPr>
              <w:spacing w:after="0"/>
              <w:rPr>
                <w:sz w:val="16"/>
                <w:szCs w:val="16"/>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1,003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Pr>
          <w:p>
            <w:pPr>
              <w:jc w:val="right"/>
              <w:ind w:right="9"/>
              <w:spacing w:after="0"/>
              <w:rPr>
                <w:sz w:val="20"/>
                <w:szCs w:val="20"/>
                <w:color w:val="auto"/>
              </w:rPr>
            </w:pPr>
            <w:r>
              <w:rPr>
                <w:rFonts w:ascii="Arial" w:cs="Arial" w:eastAsia="Arial" w:hAnsi="Arial"/>
                <w:sz w:val="10"/>
                <w:szCs w:val="10"/>
                <w:b w:val="1"/>
                <w:bCs w:val="1"/>
                <w:color w:val="auto"/>
              </w:rPr>
              <w:t>5,466,593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(10,000)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1,655,320</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29"/>
              <w:spacing w:after="0"/>
              <w:rPr>
                <w:sz w:val="20"/>
                <w:szCs w:val="20"/>
                <w:color w:val="auto"/>
              </w:rPr>
            </w:pPr>
            <w:r>
              <w:rPr>
                <w:rFonts w:ascii="Arial" w:cs="Arial" w:eastAsia="Arial" w:hAnsi="Arial"/>
                <w:sz w:val="10"/>
                <w:szCs w:val="10"/>
                <w:b w:val="1"/>
                <w:bCs w:val="1"/>
                <w:color w:val="auto"/>
              </w:rPr>
              <w:t>428,829</w:t>
            </w:r>
          </w:p>
        </w:tc>
        <w:tc>
          <w:tcPr>
            <w:tcW w:w="16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(16,558)</w:t>
            </w:r>
          </w:p>
        </w:tc>
        <w:tc>
          <w:tcPr>
            <w:tcW w:w="100" w:type="dxa"/>
            <w:vAlign w:val="bottom"/>
          </w:tcPr>
          <w:p>
            <w:pPr>
              <w:spacing w:after="0"/>
              <w:rPr>
                <w:sz w:val="16"/>
                <w:szCs w:val="16"/>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7,747,119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auto"/>
            </w:tcBorders>
            <w:gridSpan w:val="7"/>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660" w:type="dxa"/>
            <w:vAlign w:val="bottom"/>
            <w:gridSpan w:val="7"/>
          </w:tcPr>
          <w:p>
            <w:pPr>
              <w:ind w:left="20"/>
              <w:spacing w:after="0"/>
              <w:rPr>
                <w:sz w:val="20"/>
                <w:szCs w:val="20"/>
                <w:color w:val="auto"/>
              </w:rPr>
            </w:pPr>
            <w:r>
              <w:rPr>
                <w:rFonts w:ascii="Arial" w:cs="Arial" w:eastAsia="Arial" w:hAnsi="Arial"/>
                <w:sz w:val="10"/>
                <w:szCs w:val="10"/>
                <w:b w:val="1"/>
                <w:bCs w:val="1"/>
                <w:color w:val="auto"/>
              </w:rPr>
              <w:t>RECONCILIATION OF SHARES AND UNITS OUTSTANDING, AND DILUTION COMPUTATION</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Stock-Based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Preferred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90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69"/>
              <w:spacing w:after="0"/>
              <w:rPr>
                <w:sz w:val="20"/>
                <w:szCs w:val="20"/>
                <w:color w:val="auto"/>
              </w:rPr>
            </w:pPr>
            <w:r>
              <w:rPr>
                <w:rFonts w:ascii="Arial" w:cs="Arial" w:eastAsia="Arial" w:hAnsi="Arial"/>
                <w:sz w:val="10"/>
                <w:szCs w:val="10"/>
                <w:b w:val="1"/>
                <w:bCs w:val="1"/>
                <w:color w:val="auto"/>
              </w:rPr>
              <w:t>OP Units</w:t>
            </w:r>
          </w:p>
        </w:tc>
        <w:tc>
          <w:tcPr>
            <w:tcW w:w="100" w:type="dxa"/>
            <w:vAlign w:val="bottom"/>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Compensation</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49"/>
              <w:spacing w:after="0"/>
              <w:rPr>
                <w:sz w:val="20"/>
                <w:szCs w:val="20"/>
                <w:color w:val="auto"/>
              </w:rPr>
            </w:pPr>
            <w:r>
              <w:rPr>
                <w:rFonts w:ascii="Arial" w:cs="Arial" w:eastAsia="Arial" w:hAnsi="Arial"/>
                <w:sz w:val="10"/>
                <w:szCs w:val="10"/>
                <w:b w:val="1"/>
                <w:bCs w:val="1"/>
                <w:color w:val="auto"/>
              </w:rPr>
              <w:t>Sub-total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12"/>
                <w:szCs w:val="12"/>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Diluted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Share Count at December 31, 2015</w:t>
            </w:r>
          </w:p>
        </w:tc>
        <w:tc>
          <w:tcPr>
            <w:tcW w:w="12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b w:val="1"/>
                <w:bCs w:val="1"/>
                <w:color w:val="auto"/>
              </w:rPr>
              <w:t>99,975,238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3,745,766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24"/>
                <w:szCs w:val="24"/>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auto"/>
              </w:rPr>
              <w:t>103,721,004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24"/>
                <w:szCs w:val="24"/>
                <w:color w:val="auto"/>
              </w:rPr>
            </w:pPr>
          </w:p>
        </w:tc>
        <w:tc>
          <w:tcPr>
            <w:tcW w:w="740" w:type="dxa"/>
            <w:vAlign w:val="bottom"/>
          </w:tcPr>
          <w:p>
            <w:pPr>
              <w:jc w:val="right"/>
              <w:ind w:right="29"/>
              <w:spacing w:after="0"/>
              <w:rPr>
                <w:sz w:val="20"/>
                <w:szCs w:val="20"/>
                <w:color w:val="auto"/>
              </w:rPr>
            </w:pPr>
            <w:r>
              <w:rPr>
                <w:rFonts w:ascii="Arial" w:cs="Arial" w:eastAsia="Arial" w:hAnsi="Arial"/>
                <w:sz w:val="10"/>
                <w:szCs w:val="10"/>
                <w:b w:val="1"/>
                <w:bCs w:val="1"/>
                <w:color w:val="auto"/>
              </w:rPr>
              <w:t>103,721,004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900" w:type="dxa"/>
            <w:vAlign w:val="bottom"/>
          </w:tcPr>
          <w:p>
            <w:pPr>
              <w:ind w:left="20"/>
              <w:spacing w:after="0"/>
              <w:rPr>
                <w:sz w:val="20"/>
                <w:szCs w:val="20"/>
                <w:color w:val="auto"/>
              </w:rPr>
            </w:pPr>
            <w:r>
              <w:rPr>
                <w:rFonts w:ascii="Arial" w:cs="Arial" w:eastAsia="Arial" w:hAnsi="Arial"/>
                <w:sz w:val="10"/>
                <w:szCs w:val="10"/>
                <w:color w:val="auto"/>
              </w:rPr>
              <w:t>YTD share activity</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189,120</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758,446</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947,566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947,566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Share Count at June 30, 2016 - Basic</w:t>
            </w: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b w:val="1"/>
                <w:bCs w:val="1"/>
                <w:color w:val="auto"/>
              </w:rPr>
              <w:t>100,164,358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4,504,212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auto"/>
              </w:rPr>
              <w:t>104,668,570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0"/>
                <w:szCs w:val="10"/>
                <w:b w:val="1"/>
                <w:bCs w:val="1"/>
                <w:color w:val="auto"/>
              </w:rPr>
              <w:t>104,668,570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900" w:type="dxa"/>
            <w:vAlign w:val="bottom"/>
          </w:tcPr>
          <w:p>
            <w:pPr>
              <w:ind w:left="20"/>
              <w:spacing w:after="0"/>
              <w:rPr>
                <w:sz w:val="20"/>
                <w:szCs w:val="20"/>
                <w:color w:val="auto"/>
              </w:rPr>
            </w:pPr>
            <w:r>
              <w:rPr>
                <w:rFonts w:ascii="Arial" w:cs="Arial" w:eastAsia="Arial" w:hAnsi="Arial"/>
                <w:sz w:val="10"/>
                <w:szCs w:val="10"/>
                <w:color w:val="auto"/>
              </w:rPr>
              <w:t>Weighting factor</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(71,392)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(346,443)</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282,417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(135,418)</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(135,418)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Weighted Average Share Count at June 30, 2016 - Diluted</w:t>
            </w: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b w:val="1"/>
                <w:bCs w:val="1"/>
                <w:color w:val="auto"/>
              </w:rPr>
              <w:t>100,092,966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b w:val="1"/>
                <w:bCs w:val="1"/>
                <w:color w:val="auto"/>
              </w:rPr>
              <w:t>4,157,769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b w:val="1"/>
                <w:bCs w:val="1"/>
                <w:color w:val="auto"/>
              </w:rPr>
              <w:t>282,417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auto"/>
              </w:rPr>
              <w:t>104,533,152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0"/>
                <w:szCs w:val="10"/>
                <w:b w:val="1"/>
                <w:bCs w:val="1"/>
                <w:color w:val="auto"/>
              </w:rPr>
              <w:t>104,533,152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4"/>
        </w:trPr>
        <w:tc>
          <w:tcPr>
            <w:tcW w:w="2900" w:type="dxa"/>
            <w:vAlign w:val="bottom"/>
          </w:tcPr>
          <w:p>
            <w:pPr>
              <w:ind w:left="20"/>
              <w:spacing w:after="0"/>
              <w:rPr>
                <w:sz w:val="20"/>
                <w:szCs w:val="20"/>
                <w:color w:val="auto"/>
              </w:rPr>
            </w:pPr>
            <w:r>
              <w:rPr>
                <w:rFonts w:ascii="Arial" w:cs="Arial" w:eastAsia="Arial" w:hAnsi="Arial"/>
                <w:sz w:val="10"/>
                <w:szCs w:val="10"/>
                <w:color w:val="auto"/>
              </w:rPr>
              <w:t>Supplemental Information</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369"/>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10"/>
                <w:szCs w:val="10"/>
                <w:color w:val="auto"/>
              </w:rPr>
              <w:t>Second Quarter 2016</w:t>
            </w:r>
          </w:p>
        </w:tc>
        <w:tc>
          <w:tcPr>
            <w:tcW w:w="0" w:type="dxa"/>
            <w:vAlign w:val="bottom"/>
          </w:tcPr>
          <w:p>
            <w:pPr>
              <w:spacing w:after="0"/>
              <w:rPr>
                <w:sz w:val="1"/>
                <w:szCs w:val="1"/>
                <w:color w:val="auto"/>
              </w:rPr>
            </w:pPr>
          </w:p>
        </w:tc>
      </w:tr>
    </w:tbl>
    <w:p>
      <w:pPr>
        <w:sectPr>
          <w:pgSz w:w="11900" w:h="16838" w:orient="portrait"/>
          <w:cols w:equalWidth="0" w:num="1">
            <w:col w:w="10080"/>
          </w:cols>
          <w:pgMar w:left="900" w:top="338" w:right="91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JOINT VENTURE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Sheet for Unconsolidated Joint Ventures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2"/>
                <w:szCs w:val="12"/>
                <w:b w:val="1"/>
                <w:bCs w:val="1"/>
                <w:color w:val="auto"/>
              </w:rPr>
              <w:t>June 30, 2016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2"/>
                <w:szCs w:val="12"/>
                <w:b w:val="1"/>
                <w:bCs w:val="1"/>
                <w:color w:val="auto"/>
              </w:rPr>
              <w:t>March 31, 2016</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2"/>
                <w:szCs w:val="12"/>
                <w:b w:val="1"/>
                <w:bCs w:val="1"/>
                <w:color w:val="auto"/>
              </w:rPr>
              <w:t>December 31, 2015</w:t>
            </w:r>
          </w:p>
        </w:tc>
      </w:tr>
      <w:tr>
        <w:trPr>
          <w:trHeight w:val="37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SLG Interest</w:t>
            </w:r>
          </w:p>
        </w:tc>
        <w:tc>
          <w:tcPr>
            <w:tcW w:w="140" w:type="dxa"/>
            <w:vAlign w:val="bottom"/>
          </w:tcPr>
          <w:p>
            <w:pPr>
              <w:spacing w:after="0"/>
              <w:rPr>
                <w:sz w:val="24"/>
                <w:szCs w:val="24"/>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SLG Interest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SLG Interest</w:t>
            </w:r>
          </w:p>
        </w:tc>
      </w:tr>
      <w:tr>
        <w:trPr>
          <w:trHeight w:val="22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05"/>
        </w:trPr>
        <w:tc>
          <w:tcPr>
            <w:tcW w:w="4820" w:type="dxa"/>
            <w:vAlign w:val="bottom"/>
          </w:tcPr>
          <w:p>
            <w:pPr>
              <w:ind w:left="20"/>
              <w:spacing w:after="0"/>
              <w:rPr>
                <w:sz w:val="20"/>
                <w:szCs w:val="20"/>
                <w:color w:val="auto"/>
              </w:rPr>
            </w:pPr>
            <w:r>
              <w:rPr>
                <w:rFonts w:ascii="Arial" w:cs="Arial" w:eastAsia="Arial" w:hAnsi="Arial"/>
                <w:sz w:val="12"/>
                <w:szCs w:val="12"/>
                <w:color w:val="auto"/>
              </w:rPr>
              <w:t>Commercial real estate properties, at cost: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4820" w:type="dxa"/>
            <w:vAlign w:val="bottom"/>
          </w:tcPr>
          <w:p>
            <w:pPr>
              <w:ind w:left="180"/>
              <w:spacing w:after="0"/>
              <w:rPr>
                <w:sz w:val="20"/>
                <w:szCs w:val="20"/>
                <w:color w:val="auto"/>
              </w:rPr>
            </w:pPr>
            <w:r>
              <w:rPr>
                <w:rFonts w:ascii="Arial" w:cs="Arial" w:eastAsia="Arial" w:hAnsi="Arial"/>
                <w:sz w:val="12"/>
                <w:szCs w:val="12"/>
                <w:color w:val="auto"/>
              </w:rPr>
              <w:t>Land and land interests</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1,672,348</w:t>
            </w:r>
          </w:p>
        </w:tc>
        <w:tc>
          <w:tcPr>
            <w:tcW w:w="80" w:type="dxa"/>
            <w:vAlign w:val="bottom"/>
          </w:tcPr>
          <w:p>
            <w:pPr>
              <w:spacing w:after="0"/>
              <w:rPr>
                <w:sz w:val="19"/>
                <w:szCs w:val="19"/>
                <w:color w:val="auto"/>
              </w:rPr>
            </w:pPr>
          </w:p>
        </w:tc>
        <w:tc>
          <w:tcPr>
            <w:tcW w:w="18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695,932</w:t>
            </w:r>
          </w:p>
        </w:tc>
        <w:tc>
          <w:tcPr>
            <w:tcW w:w="1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1,565,697</w:t>
            </w:r>
          </w:p>
        </w:tc>
        <w:tc>
          <w:tcPr>
            <w:tcW w:w="80" w:type="dxa"/>
            <w:vAlign w:val="bottom"/>
          </w:tcPr>
          <w:p>
            <w:pPr>
              <w:spacing w:after="0"/>
              <w:rPr>
                <w:sz w:val="19"/>
                <w:szCs w:val="19"/>
                <w:color w:val="auto"/>
              </w:rPr>
            </w:pPr>
          </w:p>
        </w:tc>
        <w:tc>
          <w:tcPr>
            <w:tcW w:w="180" w:type="dxa"/>
            <w:vAlign w:val="bottom"/>
            <w:gridSpan w:val="2"/>
          </w:tcPr>
          <w:p>
            <w:pPr>
              <w:jc w:val="right"/>
              <w:ind w:right="42"/>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682,896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1,609,720</w:t>
            </w:r>
          </w:p>
        </w:tc>
        <w:tc>
          <w:tcPr>
            <w:tcW w:w="10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716,021</w:t>
            </w:r>
          </w:p>
        </w:tc>
      </w:tr>
      <w:tr>
        <w:trPr>
          <w:trHeight w:val="219"/>
        </w:trPr>
        <w:tc>
          <w:tcPr>
            <w:tcW w:w="4820" w:type="dxa"/>
            <w:vAlign w:val="bottom"/>
          </w:tcPr>
          <w:p>
            <w:pPr>
              <w:ind w:left="180"/>
              <w:spacing w:after="0"/>
              <w:rPr>
                <w:sz w:val="20"/>
                <w:szCs w:val="20"/>
                <w:color w:val="auto"/>
              </w:rPr>
            </w:pPr>
            <w:r>
              <w:rPr>
                <w:rFonts w:ascii="Arial" w:cs="Arial" w:eastAsia="Arial" w:hAnsi="Arial"/>
                <w:sz w:val="12"/>
                <w:szCs w:val="12"/>
                <w:color w:val="auto"/>
              </w:rPr>
              <w:t>Building and improvements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5,381,439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1,999,579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4,948,597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1,914,246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5,044,397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2,042,794</w:t>
            </w:r>
          </w:p>
        </w:tc>
      </w:tr>
      <w:tr>
        <w:trPr>
          <w:trHeight w:val="219"/>
        </w:trPr>
        <w:tc>
          <w:tcPr>
            <w:tcW w:w="4820" w:type="dxa"/>
            <w:vAlign w:val="bottom"/>
          </w:tcPr>
          <w:p>
            <w:pPr>
              <w:ind w:left="180"/>
              <w:spacing w:after="0"/>
              <w:rPr>
                <w:sz w:val="20"/>
                <w:szCs w:val="20"/>
                <w:color w:val="auto"/>
              </w:rPr>
            </w:pPr>
            <w:r>
              <w:rPr>
                <w:rFonts w:ascii="Arial" w:cs="Arial" w:eastAsia="Arial" w:hAnsi="Arial"/>
                <w:sz w:val="12"/>
                <w:szCs w:val="12"/>
                <w:color w:val="auto"/>
              </w:rPr>
              <w:t>Building leasehold and improvements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44,029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22,014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39,497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19,748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32,726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16,363</w:t>
            </w:r>
          </w:p>
        </w:tc>
      </w:tr>
      <w:tr>
        <w:trPr>
          <w:trHeight w:val="223"/>
        </w:trPr>
        <w:tc>
          <w:tcPr>
            <w:tcW w:w="4820" w:type="dxa"/>
            <w:vAlign w:val="bottom"/>
          </w:tcPr>
          <w:p>
            <w:pPr>
              <w:ind w:left="180"/>
              <w:spacing w:after="0"/>
              <w:rPr>
                <w:sz w:val="20"/>
                <w:szCs w:val="20"/>
                <w:color w:val="auto"/>
              </w:rPr>
            </w:pPr>
            <w:r>
              <w:rPr>
                <w:rFonts w:ascii="Arial" w:cs="Arial" w:eastAsia="Arial" w:hAnsi="Arial"/>
                <w:sz w:val="12"/>
                <w:szCs w:val="12"/>
                <w:color w:val="auto"/>
              </w:rPr>
              <w:t>Properties under capital lease</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189,558</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94,779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189,558</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94,779</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2"/>
                <w:szCs w:val="12"/>
                <w:color w:val="auto"/>
              </w:rPr>
              <w:t>189,558</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94,779</w:t>
            </w:r>
          </w:p>
        </w:tc>
      </w:tr>
      <w:tr>
        <w:trPr>
          <w:trHeight w:val="194"/>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7,287,374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2,812,304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6,743,349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2,711,669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6,876,401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2,869,957</w:t>
            </w:r>
          </w:p>
        </w:tc>
      </w:tr>
      <w:tr>
        <w:trPr>
          <w:trHeight w:val="223"/>
        </w:trPr>
        <w:tc>
          <w:tcPr>
            <w:tcW w:w="4820" w:type="dxa"/>
            <w:vAlign w:val="bottom"/>
          </w:tcPr>
          <w:p>
            <w:pPr>
              <w:ind w:left="20"/>
              <w:spacing w:after="0"/>
              <w:rPr>
                <w:sz w:val="20"/>
                <w:szCs w:val="20"/>
                <w:color w:val="auto"/>
              </w:rPr>
            </w:pPr>
            <w:r>
              <w:rPr>
                <w:rFonts w:ascii="Arial" w:cs="Arial" w:eastAsia="Arial" w:hAnsi="Arial"/>
                <w:sz w:val="12"/>
                <w:szCs w:val="12"/>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(776,599)</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(297,563)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(744,657)</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(285,205)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(753,933)</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(307,639)</w:t>
            </w:r>
          </w:p>
        </w:tc>
      </w:tr>
      <w:tr>
        <w:trPr>
          <w:trHeight w:val="194"/>
        </w:trPr>
        <w:tc>
          <w:tcPr>
            <w:tcW w:w="4820" w:type="dxa"/>
            <w:vAlign w:val="bottom"/>
          </w:tcPr>
          <w:p>
            <w:pPr>
              <w:ind w:left="40"/>
              <w:spacing w:after="0"/>
              <w:rPr>
                <w:sz w:val="20"/>
                <w:szCs w:val="20"/>
                <w:color w:val="auto"/>
              </w:rPr>
            </w:pPr>
            <w:r>
              <w:rPr>
                <w:rFonts w:ascii="Arial" w:cs="Arial" w:eastAsia="Arial" w:hAnsi="Arial"/>
                <w:sz w:val="12"/>
                <w:szCs w:val="12"/>
                <w:color w:val="auto"/>
              </w:rPr>
              <w:t>Net real estate</w:t>
            </w:r>
          </w:p>
        </w:tc>
        <w:tc>
          <w:tcPr>
            <w:tcW w:w="12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6,510,775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2,514,741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5,998,692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2,426,464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6,122,468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2,562,318</w:t>
            </w:r>
          </w:p>
        </w:tc>
      </w:tr>
      <w:tr>
        <w:trPr>
          <w:trHeight w:val="612"/>
        </w:trPr>
        <w:tc>
          <w:tcPr>
            <w:tcW w:w="482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12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180,336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62,835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112,181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47,599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164,973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59,701</w:t>
            </w: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Restricted cash</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101,794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28,897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90,180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32,475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93,591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28,748</w:t>
            </w: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Debt and preferred equity investments, net</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304,901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202,544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284,014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191,849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145,878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145,878</w:t>
            </w:r>
          </w:p>
        </w:tc>
      </w:tr>
      <w:tr>
        <w:trPr>
          <w:trHeight w:val="167"/>
        </w:trPr>
        <w:tc>
          <w:tcPr>
            <w:tcW w:w="4820" w:type="dxa"/>
            <w:vAlign w:val="bottom"/>
          </w:tcPr>
          <w:p>
            <w:pPr>
              <w:ind w:left="20"/>
              <w:spacing w:after="0"/>
              <w:rPr>
                <w:sz w:val="20"/>
                <w:szCs w:val="20"/>
                <w:color w:val="auto"/>
              </w:rPr>
            </w:pPr>
            <w:r>
              <w:rPr>
                <w:rFonts w:ascii="Arial" w:cs="Arial" w:eastAsia="Arial" w:hAnsi="Arial"/>
                <w:sz w:val="12"/>
                <w:szCs w:val="12"/>
                <w:color w:val="auto"/>
                <w:w w:val="98"/>
              </w:rPr>
              <w:t>Tenant and other receivables, net of $5,441 reserve at 6/30/2016, of which $2,338 is SLG's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9"/>
        </w:trPr>
        <w:tc>
          <w:tcPr>
            <w:tcW w:w="4820" w:type="dxa"/>
            <w:vAlign w:val="bottom"/>
          </w:tcPr>
          <w:p>
            <w:pPr>
              <w:ind w:left="20"/>
              <w:spacing w:after="0"/>
              <w:rPr>
                <w:sz w:val="20"/>
                <w:szCs w:val="20"/>
                <w:color w:val="auto"/>
              </w:rPr>
            </w:pPr>
            <w:r>
              <w:rPr>
                <w:rFonts w:ascii="Arial" w:cs="Arial" w:eastAsia="Arial" w:hAnsi="Arial"/>
                <w:sz w:val="12"/>
                <w:szCs w:val="12"/>
                <w:color w:val="auto"/>
              </w:rPr>
              <w:t>share.</w:t>
            </w:r>
          </w:p>
        </w:tc>
        <w:tc>
          <w:tcPr>
            <w:tcW w:w="12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32,786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13,514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31,817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14,499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30,059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13,033</w:t>
            </w:r>
          </w:p>
        </w:tc>
      </w:tr>
      <w:tr>
        <w:trPr>
          <w:trHeight w:val="167"/>
        </w:trPr>
        <w:tc>
          <w:tcPr>
            <w:tcW w:w="4820" w:type="dxa"/>
            <w:vAlign w:val="bottom"/>
          </w:tcPr>
          <w:p>
            <w:pPr>
              <w:ind w:left="20"/>
              <w:spacing w:after="0"/>
              <w:rPr>
                <w:sz w:val="20"/>
                <w:szCs w:val="20"/>
                <w:color w:val="auto"/>
              </w:rPr>
            </w:pPr>
            <w:r>
              <w:rPr>
                <w:rFonts w:ascii="Arial" w:cs="Arial" w:eastAsia="Arial" w:hAnsi="Arial"/>
                <w:sz w:val="12"/>
                <w:szCs w:val="12"/>
                <w:color w:val="auto"/>
              </w:rPr>
              <w:t>Deferred rents receivables, net of $5,999 reserve for tenant credit loss (of which $2,591 is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9"/>
        </w:trPr>
        <w:tc>
          <w:tcPr>
            <w:tcW w:w="4820" w:type="dxa"/>
            <w:vAlign w:val="bottom"/>
          </w:tcPr>
          <w:p>
            <w:pPr>
              <w:ind w:left="20"/>
              <w:spacing w:after="0"/>
              <w:rPr>
                <w:sz w:val="20"/>
                <w:szCs w:val="20"/>
                <w:color w:val="auto"/>
              </w:rPr>
            </w:pPr>
            <w:r>
              <w:rPr>
                <w:rFonts w:ascii="Arial" w:cs="Arial" w:eastAsia="Arial" w:hAnsi="Arial"/>
                <w:sz w:val="12"/>
                <w:szCs w:val="12"/>
                <w:color w:val="auto"/>
              </w:rPr>
              <w:t>SLG's</w:t>
            </w:r>
          </w:p>
        </w:tc>
        <w:tc>
          <w:tcPr>
            <w:tcW w:w="12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189,557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81,996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180,672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77,325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178,743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79,985</w:t>
            </w:r>
          </w:p>
        </w:tc>
      </w:tr>
      <w:tr>
        <w:trPr>
          <w:trHeight w:val="175"/>
        </w:trPr>
        <w:tc>
          <w:tcPr>
            <w:tcW w:w="4820" w:type="dxa"/>
            <w:vAlign w:val="bottom"/>
          </w:tcPr>
          <w:p>
            <w:pPr>
              <w:ind w:left="120"/>
              <w:spacing w:after="0"/>
              <w:rPr>
                <w:sz w:val="20"/>
                <w:szCs w:val="20"/>
                <w:color w:val="auto"/>
              </w:rPr>
            </w:pPr>
            <w:r>
              <w:rPr>
                <w:rFonts w:ascii="Arial" w:cs="Arial" w:eastAsia="Arial" w:hAnsi="Arial"/>
                <w:sz w:val="12"/>
                <w:szCs w:val="12"/>
                <w:color w:val="auto"/>
              </w:rPr>
              <w:t>share) at 6/30/2016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50"/>
        </w:trPr>
        <w:tc>
          <w:tcPr>
            <w:tcW w:w="4820" w:type="dxa"/>
            <w:vAlign w:val="bottom"/>
          </w:tcPr>
          <w:p>
            <w:pPr>
              <w:ind w:left="20"/>
              <w:spacing w:after="0"/>
              <w:rPr>
                <w:sz w:val="20"/>
                <w:szCs w:val="20"/>
                <w:color w:val="auto"/>
              </w:rPr>
            </w:pPr>
            <w:r>
              <w:rPr>
                <w:rFonts w:ascii="Arial" w:cs="Arial" w:eastAsia="Arial" w:hAnsi="Arial"/>
                <w:sz w:val="12"/>
                <w:szCs w:val="12"/>
                <w:color w:val="auto"/>
              </w:rPr>
              <w:t>Deferred costs, net</w:t>
            </w:r>
          </w:p>
        </w:tc>
        <w:tc>
          <w:tcPr>
            <w:tcW w:w="12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111,928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45,926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116,278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48,176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108,727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47,041</w:t>
            </w:r>
          </w:p>
        </w:tc>
      </w:tr>
      <w:tr>
        <w:trPr>
          <w:trHeight w:val="223"/>
        </w:trPr>
        <w:tc>
          <w:tcPr>
            <w:tcW w:w="482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125,438</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52,610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142,189</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58,266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2"/>
                <w:szCs w:val="12"/>
                <w:color w:val="auto"/>
              </w:rPr>
              <w:t>139,747</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63,242</w:t>
            </w:r>
          </w:p>
        </w:tc>
      </w:tr>
      <w:tr>
        <w:trPr>
          <w:trHeight w:val="19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7,557,515</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3,003,063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6,956,023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2,896,653</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2"/>
                <w:szCs w:val="12"/>
                <w:b w:val="1"/>
                <w:bCs w:val="1"/>
                <w:color w:val="auto"/>
              </w:rPr>
              <w:t>6,984,186</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2,999,946</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8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05"/>
        </w:trPr>
        <w:tc>
          <w:tcPr>
            <w:tcW w:w="4820" w:type="dxa"/>
            <w:vAlign w:val="bottom"/>
          </w:tcPr>
          <w:p>
            <w:pPr>
              <w:ind w:left="20"/>
              <w:spacing w:after="0"/>
              <w:rPr>
                <w:sz w:val="20"/>
                <w:szCs w:val="20"/>
                <w:color w:val="auto"/>
              </w:rPr>
            </w:pPr>
            <w:r>
              <w:rPr>
                <w:rFonts w:ascii="Arial" w:cs="Arial" w:eastAsia="Arial" w:hAnsi="Arial"/>
                <w:sz w:val="12"/>
                <w:szCs w:val="12"/>
                <w:color w:val="auto"/>
              </w:rPr>
              <w:t>Mortgage loans payable, net of deferred financing costs of $109,083 at 6/30/2016</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4,922,493</w:t>
            </w:r>
          </w:p>
        </w:tc>
        <w:tc>
          <w:tcPr>
            <w:tcW w:w="80" w:type="dxa"/>
            <w:vAlign w:val="bottom"/>
          </w:tcPr>
          <w:p>
            <w:pPr>
              <w:spacing w:after="0"/>
              <w:rPr>
                <w:sz w:val="17"/>
                <w:szCs w:val="17"/>
                <w:color w:val="auto"/>
              </w:rPr>
            </w:pPr>
          </w:p>
        </w:tc>
        <w:tc>
          <w:tcPr>
            <w:tcW w:w="18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1,819,430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4,319,655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1,672,002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4,266,548</w:t>
            </w:r>
          </w:p>
        </w:tc>
        <w:tc>
          <w:tcPr>
            <w:tcW w:w="10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1,702,057</w:t>
            </w: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Accrued interest</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11,459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11,410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5,076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9,804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4,201</w:t>
            </w: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12,202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7,289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6,873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4,148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5,438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4,404</w:t>
            </w: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Accounts payable and accrued expenses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95,239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36,339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87,357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34,432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87,736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38,911</w:t>
            </w: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Deferred revenue</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200,672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91,132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206,143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93,667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209,095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94,110</w:t>
            </w: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Capitalized lease obligations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184,590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92,295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183,882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91,941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183,189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91,594</w:t>
            </w: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Security deposits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30,449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27,694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8,709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9"/>
              <w:spacing w:after="0"/>
              <w:rPr>
                <w:sz w:val="20"/>
                <w:szCs w:val="20"/>
                <w:color w:val="auto"/>
              </w:rPr>
            </w:pPr>
            <w:r>
              <w:rPr>
                <w:rFonts w:ascii="Arial" w:cs="Arial" w:eastAsia="Arial" w:hAnsi="Arial"/>
                <w:sz w:val="12"/>
                <w:szCs w:val="12"/>
                <w:color w:val="auto"/>
              </w:rPr>
              <w:t>27,898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8,957</w:t>
            </w:r>
          </w:p>
        </w:tc>
      </w:tr>
      <w:tr>
        <w:trPr>
          <w:trHeight w:val="223"/>
        </w:trPr>
        <w:tc>
          <w:tcPr>
            <w:tcW w:w="4820" w:type="dxa"/>
            <w:vAlign w:val="bottom"/>
          </w:tcPr>
          <w:p>
            <w:pPr>
              <w:ind w:left="20"/>
              <w:spacing w:after="0"/>
              <w:rPr>
                <w:sz w:val="20"/>
                <w:szCs w:val="20"/>
                <w:color w:val="auto"/>
              </w:rPr>
            </w:pPr>
            <w:r>
              <w:rPr>
                <w:rFonts w:ascii="Arial" w:cs="Arial" w:eastAsia="Arial" w:hAnsi="Arial"/>
                <w:sz w:val="12"/>
                <w:szCs w:val="12"/>
                <w:color w:val="auto"/>
              </w:rPr>
              <w:t>Equity</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2,100,411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942,764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2,113,009</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986,678</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2"/>
                <w:szCs w:val="12"/>
                <w:color w:val="auto"/>
              </w:rPr>
              <w:t>2,194,478</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1,055,712</w:t>
            </w:r>
          </w:p>
        </w:tc>
      </w:tr>
      <w:tr>
        <w:trPr>
          <w:trHeight w:val="19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7,557,515</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3,003,063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6,956,023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2,896,653</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2"/>
                <w:szCs w:val="12"/>
                <w:b w:val="1"/>
                <w:bCs w:val="1"/>
                <w:color w:val="auto"/>
              </w:rPr>
              <w:t>6,984,186</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2,999,946</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98"/>
        </w:trPr>
        <w:tc>
          <w:tcPr>
            <w:tcW w:w="4820" w:type="dxa"/>
            <w:vAlign w:val="bottom"/>
          </w:tcPr>
          <w:p>
            <w:pPr>
              <w:ind w:left="40"/>
              <w:spacing w:after="0"/>
              <w:rPr>
                <w:sz w:val="20"/>
                <w:szCs w:val="20"/>
                <w:color w:val="auto"/>
              </w:rPr>
            </w:pPr>
            <w:r>
              <w:rPr>
                <w:rFonts w:ascii="Arial" w:cs="Arial" w:eastAsia="Arial" w:hAnsi="Arial"/>
                <w:sz w:val="10"/>
                <w:szCs w:val="10"/>
                <w:color w:val="auto"/>
              </w:rPr>
              <w:t>Supplemental Information</w:t>
            </w:r>
          </w:p>
        </w:tc>
        <w:tc>
          <w:tcPr>
            <w:tcW w:w="120" w:type="dxa"/>
            <w:vAlign w:val="bottom"/>
          </w:tcPr>
          <w:p>
            <w:pPr>
              <w:spacing w:after="0"/>
              <w:rPr>
                <w:sz w:val="24"/>
                <w:szCs w:val="24"/>
                <w:color w:val="auto"/>
              </w:rPr>
            </w:pPr>
          </w:p>
        </w:tc>
        <w:tc>
          <w:tcPr>
            <w:tcW w:w="400" w:type="dxa"/>
            <w:vAlign w:val="bottom"/>
            <w:gridSpan w:val="2"/>
          </w:tcPr>
          <w:p>
            <w:pPr>
              <w:jc w:val="right"/>
              <w:ind w:right="182"/>
              <w:spacing w:after="0"/>
              <w:rPr>
                <w:sz w:val="20"/>
                <w:szCs w:val="20"/>
                <w:color w:val="auto"/>
              </w:rPr>
            </w:pPr>
            <w:r>
              <w:rPr>
                <w:rFonts w:ascii="Arial" w:cs="Arial" w:eastAsia="Arial" w:hAnsi="Arial"/>
                <w:sz w:val="10"/>
                <w:szCs w:val="10"/>
                <w:color w:val="auto"/>
              </w:rPr>
              <w:t>18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6"/>
          </w:tcPr>
          <w:p>
            <w:pPr>
              <w:jc w:val="right"/>
              <w:ind w:right="40"/>
              <w:spacing w:after="0"/>
              <w:rPr>
                <w:sz w:val="20"/>
                <w:szCs w:val="20"/>
                <w:color w:val="auto"/>
              </w:rPr>
            </w:pPr>
            <w:r>
              <w:rPr>
                <w:rFonts w:ascii="Arial" w:cs="Arial" w:eastAsia="Arial" w:hAnsi="Arial"/>
                <w:sz w:val="10"/>
                <w:szCs w:val="10"/>
                <w:color w:val="auto"/>
              </w:rPr>
              <w:t>Second Quarter 2016</w:t>
            </w:r>
          </w:p>
        </w:tc>
      </w:tr>
    </w:tbl>
    <w:p>
      <w:pPr>
        <w:sectPr>
          <w:pgSz w:w="11900" w:h="16838" w:orient="portrait"/>
          <w:cols w:equalWidth="0" w:num="1">
            <w:col w:w="10120"/>
          </w:cols>
          <w:pgMar w:left="900" w:top="337" w:right="879" w:bottom="1440" w:gutter="0" w:footer="0" w:header="0"/>
        </w:sectPr>
      </w:pPr>
    </w:p>
    <w:bookmarkStart w:id="35" w:name="page36"/>
    <w:bookmarkEnd w:id="3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JOINT VENTURE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1" w:lineRule="exact"/>
        <w:rPr>
          <w:sz w:val="20"/>
          <w:szCs w:val="20"/>
          <w:color w:val="auto"/>
        </w:rPr>
      </w:pPr>
    </w:p>
    <w:p>
      <w:pPr>
        <w:ind w:right="6000"/>
        <w:spacing w:after="0" w:line="231" w:lineRule="auto"/>
        <w:rPr>
          <w:sz w:val="20"/>
          <w:szCs w:val="20"/>
          <w:color w:val="auto"/>
        </w:rPr>
      </w:pPr>
      <w:r>
        <w:rPr>
          <w:rFonts w:ascii="Arial" w:cs="Arial" w:eastAsia="Arial" w:hAnsi="Arial"/>
          <w:sz w:val="15"/>
          <w:szCs w:val="15"/>
          <w:b w:val="1"/>
          <w:bCs w:val="1"/>
          <w:color w:val="auto"/>
        </w:rPr>
        <w:t>Statement of Operations for Unconsolidated Joint Ventures 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8"/>
          </w:tcPr>
          <w:p>
            <w:pPr>
              <w:jc w:val="center"/>
              <w:ind w:right="480"/>
              <w:spacing w:after="0"/>
              <w:rPr>
                <w:sz w:val="20"/>
                <w:szCs w:val="20"/>
                <w:color w:val="auto"/>
              </w:rPr>
            </w:pPr>
            <w:r>
              <w:rPr>
                <w:rFonts w:ascii="Arial" w:cs="Arial" w:eastAsia="Arial" w:hAnsi="Arial"/>
                <w:sz w:val="12"/>
                <w:szCs w:val="12"/>
                <w:b w:val="1"/>
                <w:bCs w:val="1"/>
                <w:color w:val="auto"/>
                <w:w w:val="96"/>
              </w:rPr>
              <w:t>Three Months Ended</w:t>
            </w:r>
          </w:p>
        </w:tc>
        <w:tc>
          <w:tcPr>
            <w:tcW w:w="300" w:type="dxa"/>
            <w:vAlign w:val="bottom"/>
          </w:tcPr>
          <w:p>
            <w:pPr>
              <w:spacing w:after="0"/>
              <w:rPr>
                <w:sz w:val="13"/>
                <w:szCs w:val="13"/>
                <w:color w:val="auto"/>
              </w:rPr>
            </w:pPr>
          </w:p>
        </w:tc>
        <w:tc>
          <w:tcPr>
            <w:tcW w:w="1800" w:type="dxa"/>
            <w:vAlign w:val="bottom"/>
            <w:gridSpan w:val="7"/>
          </w:tcPr>
          <w:p>
            <w:pPr>
              <w:ind w:left="8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3"/>
                <w:szCs w:val="13"/>
                <w:color w:val="auto"/>
              </w:rPr>
            </w:pPr>
          </w:p>
        </w:tc>
        <w:tc>
          <w:tcPr>
            <w:tcW w:w="162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center"/>
              <w:ind w:right="22"/>
              <w:spacing w:after="0"/>
              <w:rPr>
                <w:sz w:val="20"/>
                <w:szCs w:val="20"/>
                <w:color w:val="auto"/>
              </w:rPr>
            </w:pPr>
            <w:r>
              <w:rPr>
                <w:rFonts w:ascii="Arial" w:cs="Arial" w:eastAsia="Arial" w:hAnsi="Arial"/>
                <w:sz w:val="12"/>
                <w:szCs w:val="12"/>
                <w:b w:val="1"/>
                <w:bCs w:val="1"/>
                <w:color w:val="auto"/>
                <w:w w:val="97"/>
              </w:rPr>
              <w:t>June 30, 2016</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2"/>
                <w:szCs w:val="12"/>
                <w:b w:val="1"/>
                <w:bCs w:val="1"/>
                <w:color w:val="auto"/>
              </w:rPr>
              <w:t>March 31, 2016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2"/>
                <w:szCs w:val="12"/>
                <w:b w:val="1"/>
                <w:bCs w:val="1"/>
                <w:color w:val="auto"/>
              </w:rPr>
              <w:t>June 30, 2015</w:t>
            </w:r>
          </w:p>
        </w:tc>
        <w:tc>
          <w:tcPr>
            <w:tcW w:w="0" w:type="dxa"/>
            <w:vAlign w:val="bottom"/>
          </w:tcPr>
          <w:p>
            <w:pPr>
              <w:spacing w:after="0"/>
              <w:rPr>
                <w:sz w:val="1"/>
                <w:szCs w:val="1"/>
                <w:color w:val="auto"/>
              </w:rPr>
            </w:pPr>
          </w:p>
        </w:tc>
      </w:tr>
      <w:tr>
        <w:trPr>
          <w:trHeight w:val="378"/>
        </w:trPr>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24"/>
                <w:szCs w:val="24"/>
                <w:color w:val="auto"/>
              </w:rPr>
            </w:pPr>
          </w:p>
        </w:tc>
        <w:tc>
          <w:tcPr>
            <w:tcW w:w="1020" w:type="dxa"/>
            <w:vAlign w:val="bottom"/>
            <w:gridSpan w:val="4"/>
          </w:tcPr>
          <w:p>
            <w:pPr>
              <w:ind w:left="40"/>
              <w:spacing w:after="0"/>
              <w:rPr>
                <w:sz w:val="20"/>
                <w:szCs w:val="20"/>
                <w:color w:val="auto"/>
              </w:rPr>
            </w:pPr>
            <w:r>
              <w:rPr>
                <w:rFonts w:ascii="Arial" w:cs="Arial" w:eastAsia="Arial" w:hAnsi="Arial"/>
                <w:sz w:val="12"/>
                <w:szCs w:val="12"/>
                <w:b w:val="1"/>
                <w:bCs w:val="1"/>
                <w:color w:val="auto"/>
              </w:rPr>
              <w:t>SLG Interest</w:t>
            </w:r>
          </w:p>
        </w:tc>
        <w:tc>
          <w:tcPr>
            <w:tcW w:w="30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SLG Interest</w:t>
            </w:r>
          </w:p>
        </w:tc>
        <w:tc>
          <w:tcPr>
            <w:tcW w:w="300" w:type="dxa"/>
            <w:vAlign w:val="bottom"/>
          </w:tcPr>
          <w:p>
            <w:pPr>
              <w:spacing w:after="0"/>
              <w:rPr>
                <w:sz w:val="24"/>
                <w:szCs w:val="24"/>
                <w:color w:val="auto"/>
              </w:rPr>
            </w:pPr>
          </w:p>
        </w:tc>
        <w:tc>
          <w:tcPr>
            <w:tcW w:w="620" w:type="dxa"/>
            <w:vAlign w:val="bottom"/>
            <w:gridSpan w:val="2"/>
          </w:tcPr>
          <w:p>
            <w:pPr>
              <w:jc w:val="right"/>
              <w:ind w:right="262"/>
              <w:spacing w:after="0"/>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SLG Interest</w:t>
            </w:r>
          </w:p>
        </w:tc>
        <w:tc>
          <w:tcPr>
            <w:tcW w:w="0" w:type="dxa"/>
            <w:vAlign w:val="bottom"/>
          </w:tcPr>
          <w:p>
            <w:pPr>
              <w:spacing w:after="0"/>
              <w:rPr>
                <w:sz w:val="1"/>
                <w:szCs w:val="1"/>
                <w:color w:val="auto"/>
              </w:rPr>
            </w:pPr>
          </w:p>
        </w:tc>
      </w:tr>
      <w:tr>
        <w:trPr>
          <w:trHeight w:val="227"/>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Revenues</w:t>
            </w:r>
          </w:p>
        </w:tc>
        <w:tc>
          <w:tcPr>
            <w:tcW w:w="3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rPr>
                <w:sz w:val="20"/>
                <w:szCs w:val="20"/>
                <w:color w:val="auto"/>
              </w:rPr>
            </w:pPr>
            <w:r>
              <w:rPr>
                <w:rFonts w:ascii="Arial" w:cs="Arial" w:eastAsia="Arial" w:hAnsi="Arial"/>
                <w:sz w:val="12"/>
                <w:szCs w:val="12"/>
                <w:color w:val="auto"/>
              </w:rPr>
              <w:t>Rental revenue, net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135,799</w:t>
            </w:r>
          </w:p>
        </w:tc>
        <w:tc>
          <w:tcPr>
            <w:tcW w:w="1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51,377</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139,775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52,540</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124,307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46,664</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Escalation and reimbursement revenues</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9,180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3,752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8,229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3,178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9,041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3,910</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Investment income</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6,710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4,108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9,300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5,899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8,877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5,783</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(114)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(155)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5,208</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2,648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1,310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623</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Total Revenues, net</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151,575</w:t>
            </w:r>
          </w:p>
        </w:tc>
        <w:tc>
          <w:tcPr>
            <w:tcW w:w="14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59,082</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162,512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64,265</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143,535</w:t>
            </w: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56,980</w:t>
            </w:r>
          </w:p>
        </w:tc>
        <w:tc>
          <w:tcPr>
            <w:tcW w:w="0" w:type="dxa"/>
            <w:vAlign w:val="bottom"/>
          </w:tcPr>
          <w:p>
            <w:pPr>
              <w:spacing w:after="0"/>
              <w:rPr>
                <w:sz w:val="1"/>
                <w:szCs w:val="1"/>
                <w:color w:val="auto"/>
              </w:rPr>
            </w:pPr>
          </w:p>
        </w:tc>
      </w:tr>
      <w:tr>
        <w:trPr>
          <w:trHeight w:val="42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Expenses</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27,166</w:t>
            </w:r>
          </w:p>
        </w:tc>
        <w:tc>
          <w:tcPr>
            <w:tcW w:w="1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8,618</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27,254</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9,329</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26,345</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9,175</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Ground rent</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3,715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1,857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3,211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1,606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2,572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1,286</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2"/>
                <w:szCs w:val="12"/>
                <w:color w:val="auto"/>
              </w:rPr>
              <w:t>Real estate taxes</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24,332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8,348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24,210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8,659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22,335</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7,879</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55,213</w:t>
            </w:r>
          </w:p>
        </w:tc>
        <w:tc>
          <w:tcPr>
            <w:tcW w:w="14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18,823</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54,675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19,594</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51,252</w:t>
            </w: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18,340</w:t>
            </w:r>
          </w:p>
        </w:tc>
        <w:tc>
          <w:tcPr>
            <w:tcW w:w="0" w:type="dxa"/>
            <w:vAlign w:val="bottom"/>
          </w:tcPr>
          <w:p>
            <w:pPr>
              <w:spacing w:after="0"/>
              <w:rPr>
                <w:sz w:val="1"/>
                <w:szCs w:val="1"/>
                <w:color w:val="auto"/>
              </w:rPr>
            </w:pPr>
          </w:p>
        </w:tc>
      </w:tr>
      <w:tr>
        <w:trPr>
          <w:trHeight w:val="415"/>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NOI</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96,362</w:t>
            </w:r>
          </w:p>
        </w:tc>
        <w:tc>
          <w:tcPr>
            <w:tcW w:w="14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40,259</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107,837</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44,671</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92,283</w:t>
            </w: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38,640</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Cash NOI</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90,239</w:t>
            </w:r>
          </w:p>
        </w:tc>
        <w:tc>
          <w:tcPr>
            <w:tcW w:w="1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35,840</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91,089</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37,288</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86,611</w:t>
            </w: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33,050</w:t>
            </w:r>
          </w:p>
        </w:tc>
        <w:tc>
          <w:tcPr>
            <w:tcW w:w="0" w:type="dxa"/>
            <w:vAlign w:val="bottom"/>
          </w:tcPr>
          <w:p>
            <w:pPr>
              <w:spacing w:after="0"/>
              <w:rPr>
                <w:sz w:val="1"/>
                <w:szCs w:val="1"/>
                <w:color w:val="auto"/>
              </w:rPr>
            </w:pPr>
          </w:p>
        </w:tc>
      </w:tr>
      <w:tr>
        <w:trPr>
          <w:trHeight w:val="415"/>
        </w:trPr>
        <w:tc>
          <w:tcPr>
            <w:tcW w:w="3920" w:type="dxa"/>
            <w:vAlign w:val="bottom"/>
          </w:tcPr>
          <w:p>
            <w:pPr>
              <w:ind w:left="20"/>
              <w:spacing w:after="0"/>
              <w:rPr>
                <w:sz w:val="20"/>
                <w:szCs w:val="20"/>
                <w:color w:val="auto"/>
              </w:rPr>
            </w:pPr>
            <w:r>
              <w:rPr>
                <w:rFonts w:ascii="Arial" w:cs="Arial" w:eastAsia="Arial" w:hAnsi="Arial"/>
                <w:sz w:val="12"/>
                <w:szCs w:val="12"/>
                <w:color w:val="auto"/>
              </w:rPr>
              <w:t>Transaction related costs, net of recoveries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24"/>
                <w:szCs w:val="2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24"/>
                <w:szCs w:val="24"/>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Interest expense, net of interest income</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46,351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17,391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49,736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17,259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51,715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18,259</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Amortization of deferred financing costs</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7,276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2,136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3,236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3,145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1,344</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37,294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14,910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37,851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14,903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37,894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15,494</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2"/>
                <w:szCs w:val="12"/>
                <w:color w:val="auto"/>
              </w:rPr>
              <w:t>Loss on early extinguishment of debt</w:t>
            </w: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1,606</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972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01"/>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5,441</w:t>
            </w:r>
          </w:p>
        </w:tc>
        <w:tc>
          <w:tcPr>
            <w:tcW w:w="14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5,822</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15,408</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10,241</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2"/>
                <w:szCs w:val="12"/>
                <w:b w:val="1"/>
                <w:bCs w:val="1"/>
                <w:color w:val="auto"/>
              </w:rPr>
              <w:t>(474)</w:t>
            </w: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3,540</w:t>
            </w:r>
          </w:p>
        </w:tc>
        <w:tc>
          <w:tcPr>
            <w:tcW w:w="0" w:type="dxa"/>
            <w:vAlign w:val="bottom"/>
          </w:tcPr>
          <w:p>
            <w:pPr>
              <w:spacing w:after="0"/>
              <w:rPr>
                <w:sz w:val="1"/>
                <w:szCs w:val="1"/>
                <w:color w:val="auto"/>
              </w:rPr>
            </w:pPr>
          </w:p>
        </w:tc>
      </w:tr>
      <w:tr>
        <w:trPr>
          <w:trHeight w:val="420"/>
        </w:trPr>
        <w:tc>
          <w:tcPr>
            <w:tcW w:w="3920" w:type="dxa"/>
            <w:vAlign w:val="bottom"/>
          </w:tcPr>
          <w:p>
            <w:pPr>
              <w:ind w:left="20"/>
              <w:spacing w:after="0"/>
              <w:rPr>
                <w:sz w:val="20"/>
                <w:szCs w:val="20"/>
                <w:color w:val="auto"/>
              </w:rPr>
            </w:pPr>
            <w:r>
              <w:rPr>
                <w:rFonts w:ascii="Arial" w:cs="Arial" w:eastAsia="Arial" w:hAnsi="Arial"/>
                <w:sz w:val="12"/>
                <w:szCs w:val="12"/>
                <w:color w:val="auto"/>
              </w:rPr>
              <w:t>Real estate depreciation</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37,234</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14,909</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37,789</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14,902</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37,816</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15,484</w:t>
            </w:r>
          </w:p>
        </w:tc>
        <w:tc>
          <w:tcPr>
            <w:tcW w:w="0" w:type="dxa"/>
            <w:vAlign w:val="bottom"/>
          </w:tcPr>
          <w:p>
            <w:pPr>
              <w:spacing w:after="0"/>
              <w:rPr>
                <w:sz w:val="1"/>
                <w:szCs w:val="1"/>
                <w:color w:val="auto"/>
              </w:rPr>
            </w:pPr>
          </w:p>
        </w:tc>
      </w:tr>
      <w:tr>
        <w:trPr>
          <w:trHeight w:val="193"/>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FFO Contribution</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42,675</w:t>
            </w:r>
          </w:p>
        </w:tc>
        <w:tc>
          <w:tcPr>
            <w:tcW w:w="14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20,731</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53,197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25,143</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37,342</w:t>
            </w: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19,024</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FAD Adjustments: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9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rPr>
                <w:sz w:val="20"/>
                <w:szCs w:val="20"/>
                <w:color w:val="auto"/>
              </w:rPr>
            </w:pPr>
            <w:r>
              <w:rPr>
                <w:rFonts w:ascii="Arial" w:cs="Arial" w:eastAsia="Arial" w:hAnsi="Arial"/>
                <w:sz w:val="12"/>
                <w:szCs w:val="12"/>
                <w:color w:val="auto"/>
              </w:rPr>
              <w:t>Non real estate depreciation and amortization</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7,337</w:t>
            </w:r>
          </w:p>
        </w:tc>
        <w:tc>
          <w:tcPr>
            <w:tcW w:w="1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2,137</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3,297</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1,298</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3,223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1,354</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Straight-line rental income and other non-cash adjustments</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(12,391)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(6,059)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(13,590)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(5,613)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(9,793)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(5,042)</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Second cycle tenant improvement</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(2,263)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(1,175)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(1,378)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(724)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(4,099)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(1,837)</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Second cycle leasing commissions</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(142)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(1,003)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(544)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(1,238)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2"/>
                <w:szCs w:val="12"/>
                <w:color w:val="auto"/>
              </w:rPr>
              <w:t>Recurring CAPEX</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(1,142)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(635)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(447)</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(244)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(1,563)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(831)</w:t>
            </w:r>
          </w:p>
        </w:tc>
        <w:tc>
          <w:tcPr>
            <w:tcW w:w="0" w:type="dxa"/>
            <w:vAlign w:val="bottom"/>
          </w:tcPr>
          <w:p>
            <w:pPr>
              <w:spacing w:after="0"/>
              <w:rPr>
                <w:sz w:val="1"/>
                <w:szCs w:val="1"/>
                <w:color w:val="auto"/>
              </w:rPr>
            </w:pPr>
          </w:p>
        </w:tc>
      </w:tr>
      <w:tr>
        <w:trPr>
          <w:trHeight w:val="199"/>
        </w:trPr>
        <w:tc>
          <w:tcPr>
            <w:tcW w:w="3920" w:type="dxa"/>
            <w:vAlign w:val="bottom"/>
          </w:tcPr>
          <w:p>
            <w:pPr>
              <w:ind w:left="20"/>
              <w:spacing w:after="0"/>
              <w:rPr>
                <w:sz w:val="20"/>
                <w:szCs w:val="20"/>
                <w:color w:val="auto"/>
              </w:rPr>
            </w:pPr>
            <w:r>
              <w:rPr>
                <w:rFonts w:ascii="Arial" w:cs="Arial" w:eastAsia="Arial" w:hAnsi="Arial"/>
                <w:sz w:val="12"/>
                <w:szCs w:val="12"/>
                <w:color w:val="auto"/>
              </w:rPr>
              <w:t>FAD Adjustment</w:t>
            </w: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(9,041)</w:t>
            </w:r>
          </w:p>
        </w:tc>
        <w:tc>
          <w:tcPr>
            <w:tcW w:w="14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9"/>
              </w:rPr>
              <w:t>$</w:t>
            </w: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(5,874)</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(13,121)</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(5,827)</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(13,470)</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(7,087)</w:t>
            </w:r>
          </w:p>
        </w:tc>
        <w:tc>
          <w:tcPr>
            <w:tcW w:w="0" w:type="dxa"/>
            <w:vAlign w:val="bottom"/>
          </w:tcPr>
          <w:p>
            <w:pPr>
              <w:spacing w:after="0"/>
              <w:rPr>
                <w:sz w:val="1"/>
                <w:szCs w:val="1"/>
                <w:color w:val="auto"/>
              </w:rPr>
            </w:pPr>
          </w:p>
        </w:tc>
      </w:tr>
      <w:tr>
        <w:trPr>
          <w:trHeight w:val="401"/>
        </w:trPr>
        <w:tc>
          <w:tcPr>
            <w:tcW w:w="3920" w:type="dxa"/>
            <w:vAlign w:val="bottom"/>
          </w:tcPr>
          <w:p>
            <w:pPr>
              <w:ind w:left="20"/>
              <w:spacing w:after="0"/>
              <w:rPr>
                <w:sz w:val="20"/>
                <w:szCs w:val="20"/>
                <w:color w:val="auto"/>
              </w:rPr>
            </w:pPr>
            <w:r>
              <w:rPr>
                <w:rFonts w:ascii="Arial" w:cs="Arial" w:eastAsia="Arial" w:hAnsi="Arial"/>
                <w:sz w:val="12"/>
                <w:szCs w:val="12"/>
                <w:color w:val="auto"/>
              </w:rPr>
              <w:t>First cycle tenant improvement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19,660</w:t>
            </w:r>
          </w:p>
        </w:tc>
        <w:tc>
          <w:tcPr>
            <w:tcW w:w="14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9,009</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10,535</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2,903</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8,913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4,367</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First cycle leasing commissions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2,487</w:t>
            </w:r>
          </w:p>
        </w:tc>
        <w:tc>
          <w:tcPr>
            <w:tcW w:w="1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1,071</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10,505</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5,282</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9,533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4,356</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Redevelopment costs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7,182</w:t>
            </w:r>
          </w:p>
        </w:tc>
        <w:tc>
          <w:tcPr>
            <w:tcW w:w="1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4,794</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15,361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5,275</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27,093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12,667</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Capitalized interest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6,519</w:t>
            </w:r>
          </w:p>
        </w:tc>
        <w:tc>
          <w:tcPr>
            <w:tcW w:w="1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3,491</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6,104</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3,285</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
              <w:spacing w:after="0"/>
              <w:rPr>
                <w:sz w:val="20"/>
                <w:szCs w:val="20"/>
                <w:color w:val="auto"/>
              </w:rPr>
            </w:pPr>
            <w:r>
              <w:rPr>
                <w:rFonts w:ascii="Arial" w:cs="Arial" w:eastAsia="Arial" w:hAnsi="Arial"/>
                <w:sz w:val="12"/>
                <w:szCs w:val="12"/>
                <w:color w:val="auto"/>
              </w:rPr>
              <w:t>8,427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4,215</w:t>
            </w:r>
          </w:p>
        </w:tc>
        <w:tc>
          <w:tcPr>
            <w:tcW w:w="0" w:type="dxa"/>
            <w:vAlign w:val="bottom"/>
          </w:tcPr>
          <w:p>
            <w:pPr>
              <w:spacing w:after="0"/>
              <w:rPr>
                <w:sz w:val="1"/>
                <w:szCs w:val="1"/>
                <w:color w:val="auto"/>
              </w:rPr>
            </w:pPr>
          </w:p>
        </w:tc>
      </w:tr>
      <w:tr>
        <w:trPr>
          <w:trHeight w:val="455"/>
        </w:trPr>
        <w:tc>
          <w:tcPr>
            <w:tcW w:w="3920" w:type="dxa"/>
            <w:vAlign w:val="bottom"/>
          </w:tcPr>
          <w:p>
            <w:pPr>
              <w:ind w:left="40"/>
              <w:spacing w:after="0"/>
              <w:rPr>
                <w:sz w:val="20"/>
                <w:szCs w:val="20"/>
                <w:color w:val="auto"/>
              </w:rPr>
            </w:pPr>
            <w:r>
              <w:rPr>
                <w:rFonts w:ascii="Arial" w:cs="Arial" w:eastAsia="Arial" w:hAnsi="Arial"/>
                <w:sz w:val="10"/>
                <w:szCs w:val="10"/>
                <w:color w:val="auto"/>
              </w:rPr>
              <w:t>Supplemental Information</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Arial" w:cs="Arial" w:eastAsia="Arial" w:hAnsi="Arial"/>
                <w:sz w:val="10"/>
                <w:szCs w:val="10"/>
                <w:color w:val="auto"/>
              </w:rPr>
              <w:t>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0"/>
                <w:szCs w:val="10"/>
                <w:color w:val="auto"/>
              </w:rPr>
              <w:t>Second Quarter 2016</w:t>
            </w:r>
          </w:p>
        </w:tc>
        <w:tc>
          <w:tcPr>
            <w:tcW w:w="0" w:type="dxa"/>
            <w:vAlign w:val="bottom"/>
          </w:tcPr>
          <w:p>
            <w:pPr>
              <w:spacing w:after="0"/>
              <w:rPr>
                <w:sz w:val="1"/>
                <w:szCs w:val="1"/>
                <w:color w:val="auto"/>
              </w:rPr>
            </w:pPr>
          </w:p>
        </w:tc>
      </w:tr>
    </w:tbl>
    <w:p>
      <w:pPr>
        <w:sectPr>
          <w:pgSz w:w="11900" w:h="16838" w:orient="portrait"/>
          <w:cols w:equalWidth="0" w:num="1">
            <w:col w:w="10100"/>
          </w:cols>
          <w:pgMar w:left="900" w:top="338" w:right="899" w:bottom="1440" w:gutter="0" w:footer="0" w:header="0"/>
        </w:sectPr>
      </w:pPr>
    </w:p>
    <w:bookmarkStart w:id="36" w:name="page37"/>
    <w:bookmarkEnd w:id="3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JOINT VENTURE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1" w:lineRule="exact"/>
        <w:rPr>
          <w:sz w:val="20"/>
          <w:szCs w:val="20"/>
          <w:color w:val="auto"/>
        </w:rPr>
      </w:pPr>
    </w:p>
    <w:p>
      <w:pPr>
        <w:ind w:right="6020"/>
        <w:spacing w:after="0" w:line="231" w:lineRule="auto"/>
        <w:rPr>
          <w:sz w:val="20"/>
          <w:szCs w:val="20"/>
          <w:color w:val="auto"/>
        </w:rPr>
      </w:pPr>
      <w:r>
        <w:rPr>
          <w:rFonts w:ascii="Arial" w:cs="Arial" w:eastAsia="Arial" w:hAnsi="Arial"/>
          <w:sz w:val="15"/>
          <w:szCs w:val="15"/>
          <w:b w:val="1"/>
          <w:bCs w:val="1"/>
          <w:color w:val="auto"/>
        </w:rPr>
        <w:t>Statement of Operations for Unconsolidated Joint Ventures 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ind w:left="20"/>
              <w:spacing w:after="0"/>
              <w:rPr>
                <w:sz w:val="20"/>
                <w:szCs w:val="20"/>
                <w:color w:val="auto"/>
              </w:rPr>
            </w:pPr>
            <w:r>
              <w:rPr>
                <w:rFonts w:ascii="Arial" w:cs="Arial" w:eastAsia="Arial" w:hAnsi="Arial"/>
                <w:sz w:val="12"/>
                <w:szCs w:val="12"/>
                <w:b w:val="1"/>
                <w:bCs w:val="1"/>
                <w:color w:val="auto"/>
              </w:rPr>
              <w:t>Six Months Ended June 30, 2016</w:t>
            </w:r>
          </w:p>
        </w:tc>
        <w:tc>
          <w:tcPr>
            <w:tcW w:w="4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6"/>
          </w:tcPr>
          <w:p>
            <w:pPr>
              <w:ind w:left="40"/>
              <w:spacing w:after="0"/>
              <w:rPr>
                <w:sz w:val="20"/>
                <w:szCs w:val="20"/>
                <w:color w:val="auto"/>
              </w:rPr>
            </w:pPr>
            <w:r>
              <w:rPr>
                <w:rFonts w:ascii="Arial" w:cs="Arial" w:eastAsia="Arial" w:hAnsi="Arial"/>
                <w:sz w:val="12"/>
                <w:szCs w:val="12"/>
                <w:b w:val="1"/>
                <w:bCs w:val="1"/>
                <w:color w:val="auto"/>
              </w:rPr>
              <w:t>Six Months Ended June 30, 2015</w:t>
            </w:r>
          </w:p>
        </w:tc>
        <w:tc>
          <w:tcPr>
            <w:tcW w:w="0" w:type="dxa"/>
            <w:vAlign w:val="bottom"/>
          </w:tcPr>
          <w:p>
            <w:pPr>
              <w:spacing w:after="0"/>
              <w:rPr>
                <w:sz w:val="1"/>
                <w:szCs w:val="1"/>
                <w:color w:val="auto"/>
              </w:rPr>
            </w:pPr>
          </w:p>
        </w:tc>
      </w:tr>
      <w:tr>
        <w:trPr>
          <w:trHeight w:val="378"/>
        </w:trPr>
        <w:tc>
          <w:tcPr>
            <w:tcW w:w="3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Total</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SLG Interest</w:t>
            </w:r>
          </w:p>
        </w:tc>
        <w:tc>
          <w:tcPr>
            <w:tcW w:w="52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SLG Interest</w:t>
            </w:r>
          </w:p>
        </w:tc>
        <w:tc>
          <w:tcPr>
            <w:tcW w:w="0" w:type="dxa"/>
            <w:vAlign w:val="bottom"/>
          </w:tcPr>
          <w:p>
            <w:pPr>
              <w:spacing w:after="0"/>
              <w:rPr>
                <w:sz w:val="1"/>
                <w:szCs w:val="1"/>
                <w:color w:val="auto"/>
              </w:rPr>
            </w:pPr>
          </w:p>
        </w:tc>
      </w:tr>
      <w:tr>
        <w:trPr>
          <w:trHeight w:val="227"/>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Revenues</w:t>
            </w:r>
          </w:p>
        </w:tc>
        <w:tc>
          <w:tcPr>
            <w:tcW w:w="5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940" w:type="dxa"/>
            <w:vAlign w:val="bottom"/>
          </w:tcPr>
          <w:p>
            <w:pPr>
              <w:ind w:left="20"/>
              <w:spacing w:after="0"/>
              <w:rPr>
                <w:sz w:val="20"/>
                <w:szCs w:val="20"/>
                <w:color w:val="auto"/>
              </w:rPr>
            </w:pPr>
            <w:r>
              <w:rPr>
                <w:rFonts w:ascii="Arial" w:cs="Arial" w:eastAsia="Arial" w:hAnsi="Arial"/>
                <w:sz w:val="12"/>
                <w:szCs w:val="12"/>
                <w:color w:val="auto"/>
              </w:rPr>
              <w:t>Rental revenue, net</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w w:val="96"/>
              </w:rPr>
              <w:t>275,574</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103,917</w:t>
            </w:r>
          </w:p>
        </w:tc>
        <w:tc>
          <w:tcPr>
            <w:tcW w:w="400" w:type="dxa"/>
            <w:vAlign w:val="bottom"/>
          </w:tcPr>
          <w:p>
            <w:pPr>
              <w:spacing w:after="0"/>
              <w:rPr>
                <w:sz w:val="17"/>
                <w:szCs w:val="17"/>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234,449</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90,097</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Escalation and reimbursement revenues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17,409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6,930</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17,587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7,537</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Investment income</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16,010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10,007</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17,599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11,473</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5,094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2,493</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2,816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1,337</w:t>
            </w:r>
          </w:p>
        </w:tc>
        <w:tc>
          <w:tcPr>
            <w:tcW w:w="0" w:type="dxa"/>
            <w:vAlign w:val="bottom"/>
          </w:tcPr>
          <w:p>
            <w:pPr>
              <w:spacing w:after="0"/>
              <w:rPr>
                <w:sz w:val="1"/>
                <w:szCs w:val="1"/>
                <w:color w:val="auto"/>
              </w:rPr>
            </w:pPr>
          </w:p>
        </w:tc>
      </w:tr>
      <w:tr>
        <w:trPr>
          <w:trHeight w:val="194"/>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Total Revenues, net</w:t>
            </w: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auto"/>
                <w:w w:val="96"/>
              </w:rPr>
              <w:t>314,087</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123,347</w:t>
            </w:r>
          </w:p>
        </w:tc>
        <w:tc>
          <w:tcPr>
            <w:tcW w:w="400" w:type="dxa"/>
            <w:vAlign w:val="bottom"/>
          </w:tcPr>
          <w:p>
            <w:pPr>
              <w:spacing w:after="0"/>
              <w:rPr>
                <w:sz w:val="16"/>
                <w:szCs w:val="16"/>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272,451</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110,444</w:t>
            </w:r>
          </w:p>
        </w:tc>
        <w:tc>
          <w:tcPr>
            <w:tcW w:w="0" w:type="dxa"/>
            <w:vAlign w:val="bottom"/>
          </w:tcPr>
          <w:p>
            <w:pPr>
              <w:spacing w:after="0"/>
              <w:rPr>
                <w:sz w:val="1"/>
                <w:szCs w:val="1"/>
                <w:color w:val="auto"/>
              </w:rPr>
            </w:pPr>
          </w:p>
        </w:tc>
      </w:tr>
      <w:tr>
        <w:trPr>
          <w:trHeight w:val="42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Expenses</w:t>
            </w: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4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54,420</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17,947</w:t>
            </w:r>
          </w:p>
        </w:tc>
        <w:tc>
          <w:tcPr>
            <w:tcW w:w="400" w:type="dxa"/>
            <w:vAlign w:val="bottom"/>
          </w:tcPr>
          <w:p>
            <w:pPr>
              <w:spacing w:after="0"/>
              <w:rPr>
                <w:sz w:val="17"/>
                <w:szCs w:val="17"/>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51,831</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18,909</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Ground rent</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6,926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3,463</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5,164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2,582</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2"/>
                <w:szCs w:val="12"/>
                <w:color w:val="auto"/>
              </w:rPr>
              <w:t>Real estate taxes</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48,542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17,007</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41,711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15,259</w:t>
            </w:r>
          </w:p>
        </w:tc>
        <w:tc>
          <w:tcPr>
            <w:tcW w:w="0" w:type="dxa"/>
            <w:vAlign w:val="bottom"/>
          </w:tcPr>
          <w:p>
            <w:pPr>
              <w:spacing w:after="0"/>
              <w:rPr>
                <w:sz w:val="1"/>
                <w:szCs w:val="1"/>
                <w:color w:val="auto"/>
              </w:rPr>
            </w:pPr>
          </w:p>
        </w:tc>
      </w:tr>
      <w:tr>
        <w:trPr>
          <w:trHeight w:val="194"/>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auto"/>
                <w:w w:val="96"/>
              </w:rPr>
              <w:t>109,888</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38,417</w:t>
            </w:r>
          </w:p>
        </w:tc>
        <w:tc>
          <w:tcPr>
            <w:tcW w:w="400" w:type="dxa"/>
            <w:vAlign w:val="bottom"/>
          </w:tcPr>
          <w:p>
            <w:pPr>
              <w:spacing w:after="0"/>
              <w:rPr>
                <w:sz w:val="16"/>
                <w:szCs w:val="16"/>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98,706</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36,750</w:t>
            </w:r>
          </w:p>
        </w:tc>
        <w:tc>
          <w:tcPr>
            <w:tcW w:w="0" w:type="dxa"/>
            <w:vAlign w:val="bottom"/>
          </w:tcPr>
          <w:p>
            <w:pPr>
              <w:spacing w:after="0"/>
              <w:rPr>
                <w:sz w:val="1"/>
                <w:szCs w:val="1"/>
                <w:color w:val="auto"/>
              </w:rPr>
            </w:pPr>
          </w:p>
        </w:tc>
      </w:tr>
      <w:tr>
        <w:trPr>
          <w:trHeight w:val="415"/>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NOI</w:t>
            </w: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auto"/>
                <w:w w:val="96"/>
              </w:rPr>
              <w:t>204,199</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84,930</w:t>
            </w:r>
          </w:p>
        </w:tc>
        <w:tc>
          <w:tcPr>
            <w:tcW w:w="400" w:type="dxa"/>
            <w:vAlign w:val="bottom"/>
          </w:tcPr>
          <w:p>
            <w:pPr>
              <w:spacing w:after="0"/>
              <w:rPr>
                <w:sz w:val="24"/>
                <w:szCs w:val="24"/>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173,745</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73,694</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Cash NOI</w:t>
            </w: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auto"/>
                <w:w w:val="96"/>
              </w:rPr>
              <w:t>181,328</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73,128</w:t>
            </w:r>
          </w:p>
        </w:tc>
        <w:tc>
          <w:tcPr>
            <w:tcW w:w="400" w:type="dxa"/>
            <w:vAlign w:val="bottom"/>
          </w:tcPr>
          <w:p>
            <w:pPr>
              <w:spacing w:after="0"/>
              <w:rPr>
                <w:sz w:val="19"/>
                <w:szCs w:val="19"/>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160,901</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63,583</w:t>
            </w:r>
          </w:p>
        </w:tc>
        <w:tc>
          <w:tcPr>
            <w:tcW w:w="0" w:type="dxa"/>
            <w:vAlign w:val="bottom"/>
          </w:tcPr>
          <w:p>
            <w:pPr>
              <w:spacing w:after="0"/>
              <w:rPr>
                <w:sz w:val="1"/>
                <w:szCs w:val="1"/>
                <w:color w:val="auto"/>
              </w:rPr>
            </w:pPr>
          </w:p>
        </w:tc>
      </w:tr>
      <w:tr>
        <w:trPr>
          <w:trHeight w:val="415"/>
        </w:trPr>
        <w:tc>
          <w:tcPr>
            <w:tcW w:w="3940" w:type="dxa"/>
            <w:vAlign w:val="bottom"/>
          </w:tcPr>
          <w:p>
            <w:pPr>
              <w:ind w:left="20"/>
              <w:spacing w:after="0"/>
              <w:rPr>
                <w:sz w:val="20"/>
                <w:szCs w:val="20"/>
                <w:color w:val="auto"/>
              </w:rPr>
            </w:pPr>
            <w:r>
              <w:rPr>
                <w:rFonts w:ascii="Arial" w:cs="Arial" w:eastAsia="Arial" w:hAnsi="Arial"/>
                <w:sz w:val="12"/>
                <w:szCs w:val="12"/>
                <w:color w:val="auto"/>
              </w:rPr>
              <w:t>Transaction related costs, net of recoveries</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720" w:type="dxa"/>
            <w:vAlign w:val="bottom"/>
          </w:tcPr>
          <w:p>
            <w:pPr>
              <w:spacing w:after="0"/>
              <w:rPr>
                <w:sz w:val="24"/>
                <w:szCs w:val="24"/>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Interest expense, net of interest income</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96,087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34,650</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95,722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33,514</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Amortization of deferred financing costs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10,512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3,432</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6,155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2,665</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75,145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29,813</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70,878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29,354</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2"/>
                <w:szCs w:val="12"/>
                <w:color w:val="auto"/>
              </w:rPr>
              <w:t>Loss on early extinguishment of debt</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1,606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972</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833</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401"/>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auto"/>
              </w:rPr>
              <w:t>20,849</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16,063</w:t>
            </w:r>
          </w:p>
        </w:tc>
        <w:tc>
          <w:tcPr>
            <w:tcW w:w="400" w:type="dxa"/>
            <w:vAlign w:val="bottom"/>
          </w:tcPr>
          <w:p>
            <w:pPr>
              <w:spacing w:after="0"/>
              <w:rPr>
                <w:sz w:val="24"/>
                <w:szCs w:val="24"/>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146</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7,744</w:t>
            </w:r>
          </w:p>
        </w:tc>
        <w:tc>
          <w:tcPr>
            <w:tcW w:w="0" w:type="dxa"/>
            <w:vAlign w:val="bottom"/>
          </w:tcPr>
          <w:p>
            <w:pPr>
              <w:spacing w:after="0"/>
              <w:rPr>
                <w:sz w:val="1"/>
                <w:szCs w:val="1"/>
                <w:color w:val="auto"/>
              </w:rPr>
            </w:pPr>
          </w:p>
        </w:tc>
      </w:tr>
      <w:tr>
        <w:trPr>
          <w:trHeight w:val="420"/>
        </w:trPr>
        <w:tc>
          <w:tcPr>
            <w:tcW w:w="3940" w:type="dxa"/>
            <w:vAlign w:val="bottom"/>
          </w:tcPr>
          <w:p>
            <w:pPr>
              <w:ind w:left="20"/>
              <w:spacing w:after="0"/>
              <w:rPr>
                <w:sz w:val="20"/>
                <w:szCs w:val="20"/>
                <w:color w:val="auto"/>
              </w:rPr>
            </w:pPr>
            <w:r>
              <w:rPr>
                <w:rFonts w:ascii="Arial" w:cs="Arial" w:eastAsia="Arial" w:hAnsi="Arial"/>
                <w:sz w:val="12"/>
                <w:szCs w:val="12"/>
                <w:color w:val="auto"/>
              </w:rPr>
              <w:t>Real estate depreciation</w:t>
            </w: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75,023</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29,810</w:t>
            </w:r>
          </w:p>
        </w:tc>
        <w:tc>
          <w:tcPr>
            <w:tcW w:w="4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70,750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29,335</w:t>
            </w:r>
          </w:p>
        </w:tc>
        <w:tc>
          <w:tcPr>
            <w:tcW w:w="0" w:type="dxa"/>
            <w:vAlign w:val="bottom"/>
          </w:tcPr>
          <w:p>
            <w:pPr>
              <w:spacing w:after="0"/>
              <w:rPr>
                <w:sz w:val="1"/>
                <w:szCs w:val="1"/>
                <w:color w:val="auto"/>
              </w:rPr>
            </w:pPr>
          </w:p>
        </w:tc>
      </w:tr>
      <w:tr>
        <w:trPr>
          <w:trHeight w:val="193"/>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FFO Contribution</w:t>
            </w:r>
          </w:p>
        </w:tc>
        <w:tc>
          <w:tcPr>
            <w:tcW w:w="52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95,872</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45,873</w:t>
            </w:r>
          </w:p>
        </w:tc>
        <w:tc>
          <w:tcPr>
            <w:tcW w:w="400" w:type="dxa"/>
            <w:vAlign w:val="bottom"/>
          </w:tcPr>
          <w:p>
            <w:pPr>
              <w:spacing w:after="0"/>
              <w:rPr>
                <w:sz w:val="16"/>
                <w:szCs w:val="16"/>
                <w:color w:val="auto"/>
              </w:rPr>
            </w:pPr>
          </w:p>
        </w:tc>
        <w:tc>
          <w:tcPr>
            <w:tcW w:w="52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70,896</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37,079</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FAD Adjustments:</w:t>
            </w: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94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40" w:type="dxa"/>
            <w:vAlign w:val="bottom"/>
          </w:tcPr>
          <w:p>
            <w:pPr>
              <w:ind w:left="20"/>
              <w:spacing w:after="0"/>
              <w:rPr>
                <w:sz w:val="20"/>
                <w:szCs w:val="20"/>
                <w:color w:val="auto"/>
              </w:rPr>
            </w:pPr>
            <w:r>
              <w:rPr>
                <w:rFonts w:ascii="Arial" w:cs="Arial" w:eastAsia="Arial" w:hAnsi="Arial"/>
                <w:sz w:val="12"/>
                <w:szCs w:val="12"/>
                <w:color w:val="auto"/>
              </w:rPr>
              <w:t>Non real estate depreciation and amortization</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10,634</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3,435</w:t>
            </w:r>
          </w:p>
        </w:tc>
        <w:tc>
          <w:tcPr>
            <w:tcW w:w="400" w:type="dxa"/>
            <w:vAlign w:val="bottom"/>
          </w:tcPr>
          <w:p>
            <w:pPr>
              <w:spacing w:after="0"/>
              <w:rPr>
                <w:sz w:val="17"/>
                <w:szCs w:val="17"/>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6,283</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2,685</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Straight-line rental income and other non-cash adjustments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(25,981)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(11,672)</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(17,291)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(8,501)</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Second cycle tenant improvement</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(3,641)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(1,899)</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(5,854)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(2,588)</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Second cycle leasing commissions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(1,585)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(686)</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(3,481)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(1,680)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2"/>
                <w:szCs w:val="12"/>
                <w:color w:val="auto"/>
              </w:rPr>
              <w:t>Recurring CAPEX</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(879)</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(1,817)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(963)</w:t>
            </w:r>
          </w:p>
        </w:tc>
        <w:tc>
          <w:tcPr>
            <w:tcW w:w="0" w:type="dxa"/>
            <w:vAlign w:val="bottom"/>
          </w:tcPr>
          <w:p>
            <w:pPr>
              <w:spacing w:after="0"/>
              <w:rPr>
                <w:sz w:val="1"/>
                <w:szCs w:val="1"/>
                <w:color w:val="auto"/>
              </w:rPr>
            </w:pPr>
          </w:p>
        </w:tc>
      </w:tr>
      <w:tr>
        <w:trPr>
          <w:trHeight w:val="199"/>
        </w:trPr>
        <w:tc>
          <w:tcPr>
            <w:tcW w:w="3940" w:type="dxa"/>
            <w:vAlign w:val="bottom"/>
          </w:tcPr>
          <w:p>
            <w:pPr>
              <w:ind w:left="20"/>
              <w:spacing w:after="0"/>
              <w:rPr>
                <w:sz w:val="20"/>
                <w:szCs w:val="20"/>
                <w:color w:val="auto"/>
              </w:rPr>
            </w:pPr>
            <w:r>
              <w:rPr>
                <w:rFonts w:ascii="Arial" w:cs="Arial" w:eastAsia="Arial" w:hAnsi="Arial"/>
                <w:sz w:val="12"/>
                <w:szCs w:val="12"/>
                <w:color w:val="auto"/>
              </w:rPr>
              <w:t>FAD Adjustment</w:t>
            </w:r>
          </w:p>
        </w:tc>
        <w:tc>
          <w:tcPr>
            <w:tcW w:w="52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(22,162)</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(11,701)</w:t>
            </w:r>
          </w:p>
        </w:tc>
        <w:tc>
          <w:tcPr>
            <w:tcW w:w="400" w:type="dxa"/>
            <w:vAlign w:val="bottom"/>
          </w:tcPr>
          <w:p>
            <w:pPr>
              <w:spacing w:after="0"/>
              <w:rPr>
                <w:sz w:val="17"/>
                <w:szCs w:val="17"/>
                <w:color w:val="auto"/>
              </w:rPr>
            </w:pPr>
          </w:p>
        </w:tc>
        <w:tc>
          <w:tcPr>
            <w:tcW w:w="52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(22,160)</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(11,047)</w:t>
            </w:r>
          </w:p>
        </w:tc>
        <w:tc>
          <w:tcPr>
            <w:tcW w:w="0" w:type="dxa"/>
            <w:vAlign w:val="bottom"/>
          </w:tcPr>
          <w:p>
            <w:pPr>
              <w:spacing w:after="0"/>
              <w:rPr>
                <w:sz w:val="1"/>
                <w:szCs w:val="1"/>
                <w:color w:val="auto"/>
              </w:rPr>
            </w:pPr>
          </w:p>
        </w:tc>
      </w:tr>
      <w:tr>
        <w:trPr>
          <w:trHeight w:val="401"/>
        </w:trPr>
        <w:tc>
          <w:tcPr>
            <w:tcW w:w="3940" w:type="dxa"/>
            <w:vAlign w:val="bottom"/>
          </w:tcPr>
          <w:p>
            <w:pPr>
              <w:ind w:left="20"/>
              <w:spacing w:after="0"/>
              <w:rPr>
                <w:sz w:val="20"/>
                <w:szCs w:val="20"/>
                <w:color w:val="auto"/>
              </w:rPr>
            </w:pPr>
            <w:r>
              <w:rPr>
                <w:rFonts w:ascii="Arial" w:cs="Arial" w:eastAsia="Arial" w:hAnsi="Arial"/>
                <w:sz w:val="12"/>
                <w:szCs w:val="12"/>
                <w:color w:val="auto"/>
              </w:rPr>
              <w:t>First cycle tenant improvement</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30,195</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11,912</w:t>
            </w:r>
          </w:p>
        </w:tc>
        <w:tc>
          <w:tcPr>
            <w:tcW w:w="400" w:type="dxa"/>
            <w:vAlign w:val="bottom"/>
          </w:tcPr>
          <w:p>
            <w:pPr>
              <w:spacing w:after="0"/>
              <w:rPr>
                <w:sz w:val="24"/>
                <w:szCs w:val="24"/>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12,121</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5,833</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First cycle leasing commissions</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12,992</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6,353</w:t>
            </w:r>
          </w:p>
        </w:tc>
        <w:tc>
          <w:tcPr>
            <w:tcW w:w="400" w:type="dxa"/>
            <w:vAlign w:val="bottom"/>
          </w:tcPr>
          <w:p>
            <w:pPr>
              <w:spacing w:after="0"/>
              <w:rPr>
                <w:sz w:val="19"/>
                <w:szCs w:val="19"/>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20,865</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10,079</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Redevelopment costs</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22,543</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10,069</w:t>
            </w:r>
          </w:p>
        </w:tc>
        <w:tc>
          <w:tcPr>
            <w:tcW w:w="400" w:type="dxa"/>
            <w:vAlign w:val="bottom"/>
          </w:tcPr>
          <w:p>
            <w:pPr>
              <w:spacing w:after="0"/>
              <w:rPr>
                <w:sz w:val="19"/>
                <w:szCs w:val="19"/>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57,823</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27,081</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2"/>
                <w:szCs w:val="12"/>
                <w:color w:val="auto"/>
              </w:rPr>
              <w:t>Capitalized interest</w:t>
            </w: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12,623</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6,776</w:t>
            </w:r>
          </w:p>
        </w:tc>
        <w:tc>
          <w:tcPr>
            <w:tcW w:w="400" w:type="dxa"/>
            <w:vAlign w:val="bottom"/>
          </w:tcPr>
          <w:p>
            <w:pPr>
              <w:spacing w:after="0"/>
              <w:rPr>
                <w:sz w:val="19"/>
                <w:szCs w:val="19"/>
                <w:color w:val="auto"/>
              </w:rPr>
            </w:pPr>
          </w:p>
        </w:tc>
        <w:tc>
          <w:tcPr>
            <w:tcW w:w="520" w:type="dxa"/>
            <w:vAlign w:val="bottom"/>
          </w:tcPr>
          <w:p>
            <w:pPr>
              <w:jc w:val="right"/>
              <w:ind w:right="3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20,735</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10,253</w:t>
            </w:r>
          </w:p>
        </w:tc>
        <w:tc>
          <w:tcPr>
            <w:tcW w:w="0" w:type="dxa"/>
            <w:vAlign w:val="bottom"/>
          </w:tcPr>
          <w:p>
            <w:pPr>
              <w:spacing w:after="0"/>
              <w:rPr>
                <w:sz w:val="1"/>
                <w:szCs w:val="1"/>
                <w:color w:val="auto"/>
              </w:rPr>
            </w:pPr>
          </w:p>
        </w:tc>
      </w:tr>
      <w:tr>
        <w:trPr>
          <w:trHeight w:val="455"/>
        </w:trPr>
        <w:tc>
          <w:tcPr>
            <w:tcW w:w="3940" w:type="dxa"/>
            <w:vAlign w:val="bottom"/>
          </w:tcPr>
          <w:p>
            <w:pPr>
              <w:ind w:left="40"/>
              <w:spacing w:after="0"/>
              <w:rPr>
                <w:sz w:val="20"/>
                <w:szCs w:val="20"/>
                <w:color w:val="auto"/>
              </w:rPr>
            </w:pPr>
            <w:r>
              <w:rPr>
                <w:rFonts w:ascii="Arial" w:cs="Arial" w:eastAsia="Arial" w:hAnsi="Arial"/>
                <w:sz w:val="10"/>
                <w:szCs w:val="10"/>
                <w:color w:val="auto"/>
              </w:rPr>
              <w:t>Supplemental Information</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jc w:val="right"/>
              <w:ind w:right="122"/>
              <w:spacing w:after="0"/>
              <w:rPr>
                <w:sz w:val="20"/>
                <w:szCs w:val="20"/>
                <w:color w:val="auto"/>
              </w:rPr>
            </w:pPr>
            <w:r>
              <w:rPr>
                <w:rFonts w:ascii="Arial" w:cs="Arial" w:eastAsia="Arial" w:hAnsi="Arial"/>
                <w:sz w:val="10"/>
                <w:szCs w:val="10"/>
                <w:color w:val="auto"/>
              </w:rPr>
              <w:t>20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0"/>
                <w:szCs w:val="10"/>
                <w:color w:val="auto"/>
              </w:rPr>
              <w:t>Second Quarter 2016</w:t>
            </w:r>
          </w:p>
        </w:tc>
        <w:tc>
          <w:tcPr>
            <w:tcW w:w="0" w:type="dxa"/>
            <w:vAlign w:val="bottom"/>
          </w:tcPr>
          <w:p>
            <w:pPr>
              <w:spacing w:after="0"/>
              <w:rPr>
                <w:sz w:val="1"/>
                <w:szCs w:val="1"/>
                <w:color w:val="auto"/>
              </w:rPr>
            </w:pPr>
          </w:p>
        </w:tc>
      </w:tr>
    </w:tbl>
    <w:p>
      <w:pPr>
        <w:sectPr>
          <w:pgSz w:w="11900" w:h="16838" w:orient="portrait"/>
          <w:cols w:equalWidth="0" w:num="1">
            <w:col w:w="10120"/>
          </w:cols>
          <w:pgMar w:left="900" w:top="338" w:right="879" w:bottom="1440" w:gutter="0" w:footer="0" w:header="0"/>
        </w:sectPr>
      </w:pPr>
    </w:p>
    <w:bookmarkStart w:id="37" w:name="page38"/>
    <w:bookmarkEnd w:id="3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1" w:lineRule="exact"/>
        <w:rPr>
          <w:sz w:val="20"/>
          <w:szCs w:val="20"/>
          <w:color w:val="auto"/>
        </w:rPr>
      </w:pPr>
    </w:p>
    <w:p>
      <w:pPr>
        <w:ind w:right="4020"/>
        <w:spacing w:after="0" w:line="231" w:lineRule="auto"/>
        <w:rPr>
          <w:sz w:val="20"/>
          <w:szCs w:val="20"/>
          <w:color w:val="auto"/>
        </w:rPr>
      </w:pPr>
      <w:r>
        <w:rPr>
          <w:rFonts w:ascii="Arial" w:cs="Arial" w:eastAsia="Arial" w:hAnsi="Arial"/>
          <w:sz w:val="15"/>
          <w:szCs w:val="15"/>
          <w:b w:val="1"/>
          <w:bCs w:val="1"/>
          <w:color w:val="auto"/>
        </w:rPr>
        <w:t>Net Operating Income and Components of Consolidated Debt Service and Fixed Charge Coverage - 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7"/>
          </w:tcPr>
          <w:p>
            <w:pPr>
              <w:jc w:val="right"/>
              <w:ind w:right="502"/>
              <w:spacing w:after="0"/>
              <w:rPr>
                <w:sz w:val="20"/>
                <w:szCs w:val="20"/>
                <w:color w:val="auto"/>
              </w:rPr>
            </w:pPr>
            <w:r>
              <w:rPr>
                <w:rFonts w:ascii="Arial" w:cs="Arial" w:eastAsia="Arial" w:hAnsi="Arial"/>
                <w:sz w:val="12"/>
                <w:szCs w:val="12"/>
                <w:b w:val="1"/>
                <w:bCs w:val="1"/>
                <w:color w:val="auto"/>
              </w:rPr>
              <w:t>Three Months Ended</w:t>
            </w:r>
          </w:p>
        </w:tc>
        <w:tc>
          <w:tcPr>
            <w:tcW w:w="1840" w:type="dxa"/>
            <w:vAlign w:val="bottom"/>
            <w:gridSpan w:val="6"/>
          </w:tcPr>
          <w:p>
            <w:pPr>
              <w:jc w:val="center"/>
              <w:spacing w:after="0"/>
              <w:rPr>
                <w:sz w:val="20"/>
                <w:szCs w:val="20"/>
                <w:color w:val="auto"/>
              </w:rPr>
            </w:pPr>
            <w:r>
              <w:rPr>
                <w:rFonts w:ascii="Arial" w:cs="Arial" w:eastAsia="Arial" w:hAnsi="Arial"/>
                <w:sz w:val="12"/>
                <w:szCs w:val="12"/>
                <w:b w:val="1"/>
                <w:bCs w:val="1"/>
                <w:color w:val="auto"/>
                <w:w w:val="97"/>
              </w:rPr>
              <w:t>Three Months Ended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7"/>
          </w:tcPr>
          <w:p>
            <w:pPr>
              <w:jc w:val="right"/>
              <w:ind w:right="64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rPr>
              <w:t>June 30,</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right"/>
              <w:ind w:right="242"/>
              <w:spacing w:after="0"/>
              <w:rPr>
                <w:sz w:val="20"/>
                <w:szCs w:val="20"/>
                <w:color w:val="auto"/>
              </w:rPr>
            </w:pPr>
            <w:r>
              <w:rPr>
                <w:rFonts w:ascii="Arial" w:cs="Arial" w:eastAsia="Arial" w:hAnsi="Arial"/>
                <w:sz w:val="12"/>
                <w:szCs w:val="12"/>
                <w:b w:val="1"/>
                <w:bCs w:val="1"/>
                <w:color w:val="auto"/>
              </w:rPr>
              <w:t>June 30,</w:t>
            </w: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center"/>
              <w:ind w:right="102"/>
              <w:spacing w:after="0"/>
              <w:rPr>
                <w:sz w:val="20"/>
                <w:szCs w:val="20"/>
                <w:color w:val="auto"/>
              </w:rPr>
            </w:pPr>
            <w:r>
              <w:rPr>
                <w:rFonts w:ascii="Arial" w:cs="Arial" w:eastAsia="Arial" w:hAnsi="Arial"/>
                <w:sz w:val="12"/>
                <w:szCs w:val="12"/>
                <w:b w:val="1"/>
                <w:bCs w:val="1"/>
                <w:color w:val="auto"/>
                <w:w w:val="93"/>
              </w:rPr>
              <w:t>March 31,</w:t>
            </w:r>
          </w:p>
        </w:tc>
        <w:tc>
          <w:tcPr>
            <w:tcW w:w="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rPr>
              <w:t>June 30,</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34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right"/>
              <w:ind w:right="342"/>
              <w:spacing w:after="0"/>
              <w:rPr>
                <w:sz w:val="20"/>
                <w:szCs w:val="20"/>
                <w:color w:val="auto"/>
              </w:rPr>
            </w:pPr>
            <w:r>
              <w:rPr>
                <w:rFonts w:ascii="Arial" w:cs="Arial" w:eastAsia="Arial" w:hAnsi="Arial"/>
                <w:sz w:val="12"/>
                <w:szCs w:val="12"/>
                <w:b w:val="1"/>
                <w:bCs w:val="1"/>
                <w:color w:val="auto"/>
              </w:rPr>
              <w:t>2015</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center"/>
              <w:ind w:right="122"/>
              <w:spacing w:after="0"/>
              <w:rPr>
                <w:sz w:val="20"/>
                <w:szCs w:val="20"/>
                <w:color w:val="auto"/>
              </w:rPr>
            </w:pPr>
            <w:r>
              <w:rPr>
                <w:rFonts w:ascii="Arial" w:cs="Arial" w:eastAsia="Arial" w:hAnsi="Arial"/>
                <w:sz w:val="12"/>
                <w:szCs w:val="12"/>
                <w:b w:val="1"/>
                <w:bCs w:val="1"/>
                <w:color w:val="auto"/>
                <w:w w:val="97"/>
              </w:rPr>
              <w:t>2016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right"/>
              <w:ind w:right="32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31"/>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 xml:space="preserve">Net Operating Income </w:t>
            </w:r>
            <w:r>
              <w:rPr>
                <w:rFonts w:ascii="Arial" w:cs="Arial" w:eastAsia="Arial" w:hAnsi="Arial"/>
                <w:sz w:val="14"/>
                <w:szCs w:val="14"/>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7"/>
        </w:trPr>
        <w:tc>
          <w:tcPr>
            <w:tcW w:w="3600" w:type="dxa"/>
            <w:vAlign w:val="bottom"/>
          </w:tcPr>
          <w:p>
            <w:pPr>
              <w:ind w:left="20"/>
              <w:spacing w:after="0"/>
              <w:rPr>
                <w:sz w:val="20"/>
                <w:szCs w:val="20"/>
                <w:color w:val="auto"/>
              </w:rPr>
            </w:pPr>
            <w:r>
              <w:rPr>
                <w:rFonts w:ascii="Arial" w:cs="Arial" w:eastAsia="Arial" w:hAnsi="Arial"/>
                <w:sz w:val="12"/>
                <w:szCs w:val="12"/>
                <w:color w:val="auto"/>
              </w:rPr>
              <w:t>NOI</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22"/>
              <w:spacing w:after="0"/>
              <w:rPr>
                <w:sz w:val="20"/>
                <w:szCs w:val="20"/>
                <w:color w:val="auto"/>
              </w:rPr>
            </w:pPr>
            <w:r>
              <w:rPr>
                <w:rFonts w:ascii="Arial" w:cs="Arial" w:eastAsia="Arial" w:hAnsi="Arial"/>
                <w:sz w:val="12"/>
                <w:szCs w:val="12"/>
                <w:color w:val="auto"/>
              </w:rPr>
              <w:t>316,061</w:t>
            </w:r>
          </w:p>
        </w:tc>
        <w:tc>
          <w:tcPr>
            <w:tcW w:w="200" w:type="dxa"/>
            <w:vAlign w:val="bottom"/>
          </w:tcPr>
          <w:p>
            <w:pPr>
              <w:spacing w:after="0"/>
              <w:rPr>
                <w:sz w:val="24"/>
                <w:szCs w:val="2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211,147</w:t>
            </w:r>
          </w:p>
        </w:tc>
        <w:tc>
          <w:tcPr>
            <w:tcW w:w="5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239,693</w:t>
            </w:r>
          </w:p>
        </w:tc>
        <w:tc>
          <w:tcPr>
            <w:tcW w:w="400" w:type="dxa"/>
            <w:vAlign w:val="bottom"/>
          </w:tcPr>
          <w:p>
            <w:pPr>
              <w:spacing w:after="0"/>
              <w:rPr>
                <w:sz w:val="24"/>
                <w:szCs w:val="2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555,754</w:t>
            </w:r>
          </w:p>
        </w:tc>
        <w:tc>
          <w:tcPr>
            <w:tcW w:w="20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color w:val="auto"/>
              </w:rPr>
              <w:t>414,757</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2"/>
                <w:szCs w:val="12"/>
                <w:color w:val="auto"/>
              </w:rPr>
              <w:t>NOI from discontinued operations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2"/>
                <w:szCs w:val="12"/>
                <w:color w:val="auto"/>
              </w:rPr>
              <w:t>488</w:t>
            </w: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2"/>
                <w:szCs w:val="12"/>
                <w:color w:val="auto"/>
              </w:rPr>
              <w:t>Total NOI - consolidated</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316,061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211,147</w:t>
            </w:r>
          </w:p>
        </w:tc>
        <w:tc>
          <w:tcPr>
            <w:tcW w:w="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239,693</w:t>
            </w:r>
          </w:p>
        </w:tc>
        <w:tc>
          <w:tcPr>
            <w:tcW w:w="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color w:val="auto"/>
              </w:rPr>
              <w:t>555,754</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415,245</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2"/>
                <w:szCs w:val="12"/>
                <w:color w:val="auto"/>
              </w:rPr>
              <w:t>SLG share of property NOI from unconsolidated JVs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40,259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38,640</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44,671</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84,930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73,694</w:t>
            </w: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2"/>
                <w:szCs w:val="12"/>
                <w:b w:val="1"/>
                <w:bCs w:val="1"/>
                <w:color w:val="auto"/>
              </w:rPr>
              <w:t>Combined NOI</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356,320</w:t>
            </w:r>
          </w:p>
        </w:tc>
        <w:tc>
          <w:tcPr>
            <w:tcW w:w="20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249,787</w:t>
            </w:r>
          </w:p>
        </w:tc>
        <w:tc>
          <w:tcPr>
            <w:tcW w:w="5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284,364</w:t>
            </w:r>
          </w:p>
        </w:tc>
        <w:tc>
          <w:tcPr>
            <w:tcW w:w="40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640,684</w:t>
            </w:r>
          </w:p>
        </w:tc>
        <w:tc>
          <w:tcPr>
            <w:tcW w:w="20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488,939</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2"/>
                <w:szCs w:val="12"/>
                <w:color w:val="auto"/>
              </w:rPr>
              <w:t>Partners' share of NOI - consolidated JVs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(9,068)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(9,219)</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(8,568)</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(17,636)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(18,003)</w:t>
            </w:r>
          </w:p>
        </w:tc>
        <w:tc>
          <w:tcPr>
            <w:tcW w:w="0" w:type="dxa"/>
            <w:vAlign w:val="bottom"/>
          </w:tcPr>
          <w:p>
            <w:pPr>
              <w:spacing w:after="0"/>
              <w:rPr>
                <w:sz w:val="1"/>
                <w:szCs w:val="1"/>
                <w:color w:val="auto"/>
              </w:rPr>
            </w:pPr>
          </w:p>
        </w:tc>
      </w:tr>
      <w:tr>
        <w:trPr>
          <w:trHeight w:val="193"/>
        </w:trPr>
        <w:tc>
          <w:tcPr>
            <w:tcW w:w="3600" w:type="dxa"/>
            <w:vAlign w:val="bottom"/>
          </w:tcPr>
          <w:p>
            <w:pPr>
              <w:ind w:left="20"/>
              <w:spacing w:after="0"/>
              <w:rPr>
                <w:sz w:val="20"/>
                <w:szCs w:val="20"/>
                <w:color w:val="auto"/>
              </w:rPr>
            </w:pPr>
            <w:r>
              <w:rPr>
                <w:rFonts w:ascii="Arial" w:cs="Arial" w:eastAsia="Arial" w:hAnsi="Arial"/>
                <w:sz w:val="12"/>
                <w:szCs w:val="12"/>
                <w:b w:val="1"/>
                <w:bCs w:val="1"/>
                <w:color w:val="auto"/>
              </w:rPr>
              <w:t>NOI - SLG share</w:t>
            </w: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347,252</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240,568</w:t>
            </w:r>
          </w:p>
        </w:tc>
        <w:tc>
          <w:tcPr>
            <w:tcW w:w="4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275,796</w:t>
            </w:r>
          </w:p>
        </w:tc>
        <w:tc>
          <w:tcPr>
            <w:tcW w:w="40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623,048</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470,936</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NOI</w:t>
            </w: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600" w:type="dxa"/>
            <w:vAlign w:val="bottom"/>
            <w:vMerge w:val="continue"/>
          </w:tcPr>
          <w:p>
            <w:pPr>
              <w:spacing w:after="0"/>
              <w:rPr>
                <w:sz w:val="24"/>
                <w:szCs w:val="24"/>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22"/>
              <w:spacing w:after="0"/>
              <w:rPr>
                <w:sz w:val="20"/>
                <w:szCs w:val="20"/>
                <w:color w:val="auto"/>
              </w:rPr>
            </w:pPr>
            <w:r>
              <w:rPr>
                <w:rFonts w:ascii="Arial" w:cs="Arial" w:eastAsia="Arial" w:hAnsi="Arial"/>
                <w:sz w:val="12"/>
                <w:szCs w:val="12"/>
                <w:color w:val="auto"/>
              </w:rPr>
              <w:t>356,320</w:t>
            </w:r>
          </w:p>
        </w:tc>
        <w:tc>
          <w:tcPr>
            <w:tcW w:w="200" w:type="dxa"/>
            <w:vAlign w:val="bottom"/>
          </w:tcPr>
          <w:p>
            <w:pPr>
              <w:spacing w:after="0"/>
              <w:rPr>
                <w:sz w:val="24"/>
                <w:szCs w:val="2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249,787</w:t>
            </w:r>
          </w:p>
        </w:tc>
        <w:tc>
          <w:tcPr>
            <w:tcW w:w="5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284,364</w:t>
            </w:r>
          </w:p>
        </w:tc>
        <w:tc>
          <w:tcPr>
            <w:tcW w:w="400" w:type="dxa"/>
            <w:vAlign w:val="bottom"/>
          </w:tcPr>
          <w:p>
            <w:pPr>
              <w:spacing w:after="0"/>
              <w:rPr>
                <w:sz w:val="24"/>
                <w:szCs w:val="2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640,684</w:t>
            </w:r>
          </w:p>
        </w:tc>
        <w:tc>
          <w:tcPr>
            <w:tcW w:w="20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color w:val="auto"/>
              </w:rPr>
              <w:t>488,939</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2"/>
                <w:szCs w:val="12"/>
                <w:color w:val="auto"/>
              </w:rPr>
              <w:t>Free rent (net of amortization)</w:t>
            </w:r>
          </w:p>
        </w:tc>
        <w:tc>
          <w:tcPr>
            <w:tcW w:w="200" w:type="dxa"/>
            <w:vAlign w:val="bottom"/>
          </w:tcPr>
          <w:p>
            <w:pPr>
              <w:spacing w:after="0"/>
              <w:rPr>
                <w:sz w:val="19"/>
                <w:szCs w:val="19"/>
                <w:color w:val="auto"/>
              </w:rPr>
            </w:pPr>
          </w:p>
        </w:tc>
        <w:tc>
          <w:tcPr>
            <w:tcW w:w="860" w:type="dxa"/>
            <w:vAlign w:val="bottom"/>
            <w:gridSpan w:val="3"/>
          </w:tcPr>
          <w:p>
            <w:pPr>
              <w:jc w:val="right"/>
              <w:ind w:right="22"/>
              <w:spacing w:after="0"/>
              <w:rPr>
                <w:sz w:val="20"/>
                <w:szCs w:val="20"/>
                <w:color w:val="auto"/>
              </w:rPr>
            </w:pPr>
            <w:r>
              <w:rPr>
                <w:rFonts w:ascii="Arial" w:cs="Arial" w:eastAsia="Arial" w:hAnsi="Arial"/>
                <w:sz w:val="12"/>
                <w:szCs w:val="12"/>
                <w:color w:val="auto"/>
              </w:rPr>
              <w:t>52,341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(25,067)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10,249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62,590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2"/>
                <w:szCs w:val="12"/>
                <w:color w:val="auto"/>
              </w:rPr>
              <w:t>(47,540)</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2"/>
                <w:szCs w:val="12"/>
                <w:color w:val="auto"/>
              </w:rPr>
              <w:t>Net FAS 141 adjustment</w:t>
            </w:r>
          </w:p>
        </w:tc>
        <w:tc>
          <w:tcPr>
            <w:tcW w:w="2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(157,703)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(8,903)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(35,637)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(193,340)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2"/>
                <w:szCs w:val="12"/>
                <w:color w:val="auto"/>
              </w:rPr>
              <w:t>(23,446)</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2"/>
                <w:szCs w:val="12"/>
                <w:color w:val="auto"/>
              </w:rPr>
              <w:t>Straightline revenue adjustment</w:t>
            </w:r>
          </w:p>
        </w:tc>
        <w:tc>
          <w:tcPr>
            <w:tcW w:w="2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(5,349)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(12,494)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(16,627)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(21,976)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2"/>
                <w:szCs w:val="12"/>
                <w:color w:val="auto"/>
              </w:rPr>
              <w:t>(25,896)</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2"/>
                <w:szCs w:val="12"/>
                <w:color w:val="auto"/>
              </w:rPr>
              <w:t>Allowance for S/L tenant credit loss</w:t>
            </w:r>
          </w:p>
        </w:tc>
        <w:tc>
          <w:tcPr>
            <w:tcW w:w="200" w:type="dxa"/>
            <w:vAlign w:val="bottom"/>
          </w:tcPr>
          <w:p>
            <w:pPr>
              <w:spacing w:after="0"/>
              <w:rPr>
                <w:sz w:val="19"/>
                <w:szCs w:val="19"/>
                <w:color w:val="auto"/>
              </w:rPr>
            </w:pPr>
          </w:p>
        </w:tc>
        <w:tc>
          <w:tcPr>
            <w:tcW w:w="860" w:type="dxa"/>
            <w:vAlign w:val="bottom"/>
            <w:gridSpan w:val="3"/>
          </w:tcPr>
          <w:p>
            <w:pPr>
              <w:jc w:val="right"/>
              <w:ind w:right="22"/>
              <w:spacing w:after="0"/>
              <w:rPr>
                <w:sz w:val="20"/>
                <w:szCs w:val="20"/>
                <w:color w:val="auto"/>
              </w:rPr>
            </w:pPr>
            <w:r>
              <w:rPr>
                <w:rFonts w:ascii="Arial" w:cs="Arial" w:eastAsia="Arial" w:hAnsi="Arial"/>
                <w:sz w:val="12"/>
                <w:szCs w:val="12"/>
                <w:color w:val="auto"/>
              </w:rPr>
              <w:t>301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(71)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1,665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1,966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2"/>
                <w:szCs w:val="12"/>
                <w:color w:val="auto"/>
              </w:rPr>
              <w:t>(983)</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2"/>
                <w:szCs w:val="12"/>
                <w:color w:val="auto"/>
              </w:rPr>
              <w:t>Ground lease straight-line adjustment</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912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705</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817</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1,729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1,410</w:t>
            </w: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2"/>
                <w:szCs w:val="12"/>
                <w:b w:val="1"/>
                <w:bCs w:val="1"/>
                <w:color w:val="auto"/>
              </w:rPr>
              <w:t>Combined Cash NOI</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246,822</w:t>
            </w:r>
          </w:p>
        </w:tc>
        <w:tc>
          <w:tcPr>
            <w:tcW w:w="20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203,957</w:t>
            </w:r>
          </w:p>
        </w:tc>
        <w:tc>
          <w:tcPr>
            <w:tcW w:w="5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244,831</w:t>
            </w:r>
          </w:p>
        </w:tc>
        <w:tc>
          <w:tcPr>
            <w:tcW w:w="40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491,653</w:t>
            </w:r>
          </w:p>
        </w:tc>
        <w:tc>
          <w:tcPr>
            <w:tcW w:w="20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392,484</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2"/>
                <w:szCs w:val="12"/>
                <w:color w:val="auto"/>
              </w:rPr>
              <w:t>Partners' share of NOI - consolidated JVs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(7,284)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(5,713)</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(6,861)</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(14,145)</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(13,328)</w:t>
            </w:r>
          </w:p>
        </w:tc>
        <w:tc>
          <w:tcPr>
            <w:tcW w:w="0" w:type="dxa"/>
            <w:vAlign w:val="bottom"/>
          </w:tcPr>
          <w:p>
            <w:pPr>
              <w:spacing w:after="0"/>
              <w:rPr>
                <w:sz w:val="1"/>
                <w:szCs w:val="1"/>
                <w:color w:val="auto"/>
              </w:rPr>
            </w:pPr>
          </w:p>
        </w:tc>
      </w:tr>
      <w:tr>
        <w:trPr>
          <w:trHeight w:val="193"/>
        </w:trPr>
        <w:tc>
          <w:tcPr>
            <w:tcW w:w="3600" w:type="dxa"/>
            <w:vAlign w:val="bottom"/>
          </w:tcPr>
          <w:p>
            <w:pPr>
              <w:ind w:left="20"/>
              <w:spacing w:after="0"/>
              <w:rPr>
                <w:sz w:val="20"/>
                <w:szCs w:val="20"/>
                <w:color w:val="auto"/>
              </w:rPr>
            </w:pPr>
            <w:r>
              <w:rPr>
                <w:rFonts w:ascii="Arial" w:cs="Arial" w:eastAsia="Arial" w:hAnsi="Arial"/>
                <w:sz w:val="12"/>
                <w:szCs w:val="12"/>
                <w:b w:val="1"/>
                <w:bCs w:val="1"/>
                <w:color w:val="auto"/>
              </w:rPr>
              <w:t>Cash NOI - SLG share</w:t>
            </w: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239,538</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198,244</w:t>
            </w:r>
          </w:p>
        </w:tc>
        <w:tc>
          <w:tcPr>
            <w:tcW w:w="4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237,970</w:t>
            </w:r>
          </w:p>
        </w:tc>
        <w:tc>
          <w:tcPr>
            <w:tcW w:w="40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477,508</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379,156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60" w:type="dxa"/>
            <w:vAlign w:val="bottom"/>
            <w:tcBorders>
              <w:bottom w:val="single" w:sz="8" w:color="auto"/>
            </w:tcBorders>
            <w:gridSpan w:val="6"/>
          </w:tcPr>
          <w:p>
            <w:pPr>
              <w:ind w:left="20"/>
              <w:spacing w:after="0"/>
              <w:rPr>
                <w:sz w:val="20"/>
                <w:szCs w:val="20"/>
                <w:color w:val="auto"/>
              </w:rPr>
            </w:pPr>
            <w:r>
              <w:rPr>
                <w:rFonts w:ascii="Arial" w:cs="Arial" w:eastAsia="Arial" w:hAnsi="Arial"/>
                <w:sz w:val="12"/>
                <w:szCs w:val="12"/>
                <w:b w:val="1"/>
                <w:bCs w:val="1"/>
                <w:color w:val="auto"/>
              </w:rPr>
              <w:t>Components of Consolidated Debt Service and Fixed Charges - Cash Basis</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60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22"/>
              <w:spacing w:after="0"/>
              <w:rPr>
                <w:sz w:val="20"/>
                <w:szCs w:val="20"/>
                <w:color w:val="auto"/>
              </w:rPr>
            </w:pPr>
            <w:r>
              <w:rPr>
                <w:rFonts w:ascii="Arial" w:cs="Arial" w:eastAsia="Arial" w:hAnsi="Arial"/>
                <w:sz w:val="12"/>
                <w:szCs w:val="12"/>
                <w:color w:val="auto"/>
              </w:rPr>
              <w:t>88,459</w:t>
            </w:r>
          </w:p>
        </w:tc>
        <w:tc>
          <w:tcPr>
            <w:tcW w:w="200" w:type="dxa"/>
            <w:vAlign w:val="bottom"/>
          </w:tcPr>
          <w:p>
            <w:pPr>
              <w:spacing w:after="0"/>
              <w:rPr>
                <w:sz w:val="24"/>
                <w:szCs w:val="2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75,746</w:t>
            </w:r>
          </w:p>
        </w:tc>
        <w:tc>
          <w:tcPr>
            <w:tcW w:w="5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96,718</w:t>
            </w:r>
          </w:p>
        </w:tc>
        <w:tc>
          <w:tcPr>
            <w:tcW w:w="400" w:type="dxa"/>
            <w:vAlign w:val="bottom"/>
          </w:tcPr>
          <w:p>
            <w:pPr>
              <w:spacing w:after="0"/>
              <w:rPr>
                <w:sz w:val="24"/>
                <w:szCs w:val="2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185,177</w:t>
            </w:r>
          </w:p>
        </w:tc>
        <w:tc>
          <w:tcPr>
            <w:tcW w:w="20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color w:val="auto"/>
              </w:rPr>
              <w:t>151,662</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2"/>
                <w:szCs w:val="12"/>
                <w:color w:val="auto"/>
              </w:rPr>
              <w:t>Principal amortization payments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7,910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7,530</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7,994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15,904</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15,196</w:t>
            </w: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2"/>
                <w:szCs w:val="12"/>
                <w:b w:val="1"/>
                <w:bCs w:val="1"/>
                <w:color w:val="auto"/>
              </w:rPr>
              <w:t>Total Consolidated Debt Service</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96,369</w:t>
            </w:r>
          </w:p>
        </w:tc>
        <w:tc>
          <w:tcPr>
            <w:tcW w:w="20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83,276</w:t>
            </w:r>
          </w:p>
        </w:tc>
        <w:tc>
          <w:tcPr>
            <w:tcW w:w="5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104,712</w:t>
            </w:r>
          </w:p>
        </w:tc>
        <w:tc>
          <w:tcPr>
            <w:tcW w:w="40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201,081</w:t>
            </w:r>
          </w:p>
        </w:tc>
        <w:tc>
          <w:tcPr>
            <w:tcW w:w="20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166,858</w:t>
            </w:r>
          </w:p>
        </w:tc>
        <w:tc>
          <w:tcPr>
            <w:tcW w:w="0" w:type="dxa"/>
            <w:vAlign w:val="bottom"/>
          </w:tcPr>
          <w:p>
            <w:pPr>
              <w:spacing w:after="0"/>
              <w:rPr>
                <w:sz w:val="1"/>
                <w:szCs w:val="1"/>
                <w:color w:val="auto"/>
              </w:rPr>
            </w:pPr>
          </w:p>
        </w:tc>
      </w:tr>
      <w:tr>
        <w:trPr>
          <w:trHeight w:val="415"/>
        </w:trPr>
        <w:tc>
          <w:tcPr>
            <w:tcW w:w="3600" w:type="dxa"/>
            <w:vAlign w:val="bottom"/>
          </w:tcPr>
          <w:p>
            <w:pPr>
              <w:ind w:left="20"/>
              <w:spacing w:after="0"/>
              <w:rPr>
                <w:sz w:val="20"/>
                <w:szCs w:val="20"/>
                <w:color w:val="auto"/>
              </w:rPr>
            </w:pPr>
            <w:r>
              <w:rPr>
                <w:rFonts w:ascii="Arial" w:cs="Arial" w:eastAsia="Arial" w:hAnsi="Arial"/>
                <w:sz w:val="12"/>
                <w:szCs w:val="12"/>
                <w:color w:val="auto"/>
              </w:rPr>
              <w:t>Payments under ground lease arrangements</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22"/>
              <w:spacing w:after="0"/>
              <w:rPr>
                <w:sz w:val="20"/>
                <w:szCs w:val="20"/>
                <w:color w:val="auto"/>
              </w:rPr>
            </w:pPr>
            <w:r>
              <w:rPr>
                <w:rFonts w:ascii="Arial" w:cs="Arial" w:eastAsia="Arial" w:hAnsi="Arial"/>
                <w:sz w:val="12"/>
                <w:szCs w:val="12"/>
                <w:color w:val="auto"/>
              </w:rPr>
              <w:t>7,698</w:t>
            </w:r>
          </w:p>
        </w:tc>
        <w:tc>
          <w:tcPr>
            <w:tcW w:w="200" w:type="dxa"/>
            <w:vAlign w:val="bottom"/>
          </w:tcPr>
          <w:p>
            <w:pPr>
              <w:spacing w:after="0"/>
              <w:rPr>
                <w:sz w:val="24"/>
                <w:szCs w:val="2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7,592</w:t>
            </w:r>
          </w:p>
        </w:tc>
        <w:tc>
          <w:tcPr>
            <w:tcW w:w="5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7,700</w:t>
            </w:r>
          </w:p>
        </w:tc>
        <w:tc>
          <w:tcPr>
            <w:tcW w:w="400" w:type="dxa"/>
            <w:vAlign w:val="bottom"/>
          </w:tcPr>
          <w:p>
            <w:pPr>
              <w:spacing w:after="0"/>
              <w:rPr>
                <w:sz w:val="24"/>
                <w:szCs w:val="2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15,398</w:t>
            </w:r>
          </w:p>
        </w:tc>
        <w:tc>
          <w:tcPr>
            <w:tcW w:w="20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color w:val="auto"/>
              </w:rPr>
              <w:t>15,286</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2"/>
                <w:szCs w:val="12"/>
                <w:color w:val="auto"/>
              </w:rPr>
              <w:t>Dividends on preferred units</w:t>
            </w:r>
          </w:p>
        </w:tc>
        <w:tc>
          <w:tcPr>
            <w:tcW w:w="200" w:type="dxa"/>
            <w:vAlign w:val="bottom"/>
          </w:tcPr>
          <w:p>
            <w:pPr>
              <w:spacing w:after="0"/>
              <w:rPr>
                <w:sz w:val="19"/>
                <w:szCs w:val="19"/>
                <w:color w:val="auto"/>
              </w:rPr>
            </w:pPr>
          </w:p>
        </w:tc>
        <w:tc>
          <w:tcPr>
            <w:tcW w:w="860" w:type="dxa"/>
            <w:vAlign w:val="bottom"/>
            <w:gridSpan w:val="3"/>
          </w:tcPr>
          <w:p>
            <w:pPr>
              <w:jc w:val="right"/>
              <w:ind w:right="22"/>
              <w:spacing w:after="0"/>
              <w:rPr>
                <w:sz w:val="20"/>
                <w:szCs w:val="20"/>
                <w:color w:val="auto"/>
              </w:rPr>
            </w:pPr>
            <w:r>
              <w:rPr>
                <w:rFonts w:ascii="Arial" w:cs="Arial" w:eastAsia="Arial" w:hAnsi="Arial"/>
                <w:sz w:val="12"/>
                <w:szCs w:val="12"/>
                <w:color w:val="auto"/>
              </w:rPr>
              <w:t>2,880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1,140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2,648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
              <w:spacing w:after="0"/>
              <w:rPr>
                <w:sz w:val="20"/>
                <w:szCs w:val="20"/>
                <w:color w:val="auto"/>
              </w:rPr>
            </w:pPr>
            <w:r>
              <w:rPr>
                <w:rFonts w:ascii="Arial" w:cs="Arial" w:eastAsia="Arial" w:hAnsi="Arial"/>
                <w:sz w:val="12"/>
                <w:szCs w:val="12"/>
                <w:color w:val="auto"/>
              </w:rPr>
              <w:t>5,528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2"/>
                <w:szCs w:val="12"/>
                <w:color w:val="auto"/>
              </w:rPr>
              <w:t>2,091</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2"/>
                <w:szCs w:val="12"/>
                <w:color w:val="auto"/>
              </w:rPr>
              <w:t>Dividends on perpetual preferred shares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3,737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3,738</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3,738</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7,475</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7,476</w:t>
            </w:r>
          </w:p>
        </w:tc>
        <w:tc>
          <w:tcPr>
            <w:tcW w:w="0" w:type="dxa"/>
            <w:vAlign w:val="bottom"/>
          </w:tcPr>
          <w:p>
            <w:pPr>
              <w:spacing w:after="0"/>
              <w:rPr>
                <w:sz w:val="1"/>
                <w:szCs w:val="1"/>
                <w:color w:val="auto"/>
              </w:rPr>
            </w:pPr>
          </w:p>
        </w:tc>
      </w:tr>
      <w:tr>
        <w:trPr>
          <w:trHeight w:val="193"/>
        </w:trPr>
        <w:tc>
          <w:tcPr>
            <w:tcW w:w="3600" w:type="dxa"/>
            <w:vAlign w:val="bottom"/>
          </w:tcPr>
          <w:p>
            <w:pPr>
              <w:ind w:left="20"/>
              <w:spacing w:after="0"/>
              <w:rPr>
                <w:sz w:val="20"/>
                <w:szCs w:val="20"/>
                <w:color w:val="auto"/>
              </w:rPr>
            </w:pPr>
            <w:r>
              <w:rPr>
                <w:rFonts w:ascii="Arial" w:cs="Arial" w:eastAsia="Arial" w:hAnsi="Arial"/>
                <w:sz w:val="12"/>
                <w:szCs w:val="12"/>
                <w:b w:val="1"/>
                <w:bCs w:val="1"/>
                <w:color w:val="auto"/>
              </w:rPr>
              <w:t>Total Consolidated Fixed Charges</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110,684</w:t>
            </w:r>
          </w:p>
        </w:tc>
        <w:tc>
          <w:tcPr>
            <w:tcW w:w="20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95,746</w:t>
            </w:r>
          </w:p>
        </w:tc>
        <w:tc>
          <w:tcPr>
            <w:tcW w:w="5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118,798</w:t>
            </w:r>
          </w:p>
        </w:tc>
        <w:tc>
          <w:tcPr>
            <w:tcW w:w="40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229,482</w:t>
            </w:r>
          </w:p>
        </w:tc>
        <w:tc>
          <w:tcPr>
            <w:tcW w:w="20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191,711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80"/>
        <w:spacing w:after="0"/>
        <w:rPr>
          <w:sz w:val="20"/>
          <w:szCs w:val="20"/>
          <w:color w:val="auto"/>
        </w:rPr>
      </w:pPr>
      <w:r>
        <w:rPr>
          <w:rFonts w:ascii="Arial" w:cs="Arial" w:eastAsia="Arial" w:hAnsi="Arial"/>
          <w:sz w:val="9"/>
          <w:szCs w:val="9"/>
          <w:color w:val="auto"/>
        </w:rPr>
        <w:t>(1) Includes the operating income of SL Green Management Corp. and Eemerge 212. Excludes lease termination income and the activity of 885 Third Avenue which was sold but did not meet the criteria for sale accounting and remains consolidated.</w:t>
      </w: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21</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Same Store - Consolidated</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6"/>
              </w:rPr>
              <w:t>Three Months Ended</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2"/>
                <w:szCs w:val="12"/>
                <w:b w:val="1"/>
                <w:bCs w:val="1"/>
                <w:color w:val="auto"/>
              </w:rPr>
              <w:t>Six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5"/>
              </w:rPr>
              <w:t>June 30,</w:t>
            </w:r>
          </w:p>
        </w:tc>
        <w:tc>
          <w:tcPr>
            <w:tcW w:w="20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5"/>
              </w:rPr>
              <w:t>June 30,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5"/>
          </w:tcPr>
          <w:p>
            <w:pPr>
              <w:jc w:val="center"/>
              <w:ind w:right="640"/>
              <w:spacing w:after="0"/>
              <w:rPr>
                <w:sz w:val="20"/>
                <w:szCs w:val="20"/>
                <w:color w:val="auto"/>
              </w:rPr>
            </w:pPr>
            <w:r>
              <w:rPr>
                <w:rFonts w:ascii="Arial" w:cs="Arial" w:eastAsia="Arial" w:hAnsi="Arial"/>
                <w:sz w:val="12"/>
                <w:szCs w:val="12"/>
                <w:b w:val="1"/>
                <w:bCs w:val="1"/>
                <w:color w:val="auto"/>
                <w:w w:val="97"/>
              </w:rPr>
              <w:t>March 31,</w:t>
            </w:r>
          </w:p>
        </w:tc>
        <w:tc>
          <w:tcPr>
            <w:tcW w:w="10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5"/>
              </w:rPr>
              <w:t>June 30,</w:t>
            </w:r>
          </w:p>
        </w:tc>
        <w:tc>
          <w:tcPr>
            <w:tcW w:w="1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5"/>
              </w:rPr>
              <w:t>June 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b w:val="1"/>
                <w:bCs w:val="1"/>
                <w:color w:val="auto"/>
                <w:w w:val="89"/>
              </w:rPr>
              <w:t>2016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2015</w:t>
            </w:r>
          </w:p>
        </w:tc>
        <w:tc>
          <w:tcPr>
            <w:tcW w:w="68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center"/>
              <w:ind w:left="82"/>
              <w:spacing w:after="0"/>
              <w:rPr>
                <w:sz w:val="20"/>
                <w:szCs w:val="20"/>
                <w:color w:val="auto"/>
              </w:rPr>
            </w:pPr>
            <w:r>
              <w:rPr>
                <w:rFonts w:ascii="Arial" w:cs="Arial" w:eastAsia="Arial" w:hAnsi="Arial"/>
                <w:sz w:val="12"/>
                <w:szCs w:val="12"/>
                <w:b w:val="1"/>
                <w:bCs w:val="1"/>
                <w:color w:val="auto"/>
                <w:w w:val="97"/>
              </w:rPr>
              <w:t>2016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2015</w:t>
            </w:r>
          </w:p>
        </w:tc>
        <w:tc>
          <w:tcPr>
            <w:tcW w:w="5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r>
      <w:tr>
        <w:trPr>
          <w:trHeight w:val="227"/>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Revenues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Rental revenue, net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263,316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254,219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3.6 %</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258,395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521,711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498,050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4.8 %</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Escalation &amp; reimbursement revenues</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42,796</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39,536</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8.2 %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40,711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83,507</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78,534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6.3 %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Other income</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1,537</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13,597</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(88.7)%</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2,026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3,563</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15,110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(76.4)%</w:t>
            </w: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Total Revenues</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307,649</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307,352</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0.1 %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301,132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608,781</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591,694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2.9 %</w:t>
            </w:r>
          </w:p>
        </w:tc>
      </w:tr>
      <w:tr>
        <w:trPr>
          <w:trHeight w:val="223"/>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Expenses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Operating expenses</w:t>
            </w: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63,081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63,493</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(0.6)%</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67,780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130,861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133,239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(1.8)%</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Ground rent</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8,328</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8,276</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0.6 %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8,328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16,655</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16,655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0.0 %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Real estate taxes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57,355</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53,760</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6.7 %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57,237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114,592</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106,852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7.2 %</w:t>
            </w:r>
          </w:p>
        </w:tc>
      </w:tr>
      <w:tr>
        <w:trPr>
          <w:trHeight w:val="20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128,764</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125,529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2.6 %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133,345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262,108</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256,746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2.1 %</w:t>
            </w: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Operating Income</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178,885</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181,823</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(1.6)%</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167,787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346,673</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334,948</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3.5 %</w:t>
            </w: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Interest expense &amp; amortization of financing costs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44,976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41,148</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9.3 %</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44,519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89,495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83,078</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7.7 %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Depreciation &amp; amortization</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79,811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79,118</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0.9 %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79,422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159,233</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156,310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1.9 %</w:t>
            </w:r>
          </w:p>
        </w:tc>
      </w:tr>
      <w:tr>
        <w:trPr>
          <w:trHeight w:val="401"/>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Income before noncontrolling interest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54,098</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61,557</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(12.1)%</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43,846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97,945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95,560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2.5 %</w:t>
            </w:r>
          </w:p>
        </w:tc>
      </w:tr>
      <w:tr>
        <w:trPr>
          <w:trHeight w:val="223"/>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Real estate depreciation &amp; amortization</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79,740</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79,049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0.9 %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79,353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159,093</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156,154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FFO Contribution</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133,838</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140,606</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(4.8)%</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123,199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257,038</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251,714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2.1 %</w:t>
            </w:r>
          </w:p>
        </w:tc>
      </w:tr>
      <w:tr>
        <w:trPr>
          <w:trHeight w:val="437"/>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Less:  Non–building revenue</w:t>
            </w:r>
          </w:p>
        </w:tc>
        <w:tc>
          <w:tcPr>
            <w:tcW w:w="100" w:type="dxa"/>
            <w:vAlign w:val="bottom"/>
          </w:tcPr>
          <w:p>
            <w:pPr>
              <w:spacing w:after="0"/>
              <w:rPr>
                <w:sz w:val="24"/>
                <w:szCs w:val="2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746</w:t>
            </w:r>
          </w:p>
        </w:tc>
        <w:tc>
          <w:tcPr>
            <w:tcW w:w="20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307</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143.0 %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384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1,129</w:t>
            </w:r>
          </w:p>
        </w:tc>
        <w:tc>
          <w:tcPr>
            <w:tcW w:w="18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782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44.4 %</w:t>
            </w:r>
          </w:p>
        </w:tc>
      </w:tr>
      <w:tr>
        <w:trPr>
          <w:trHeight w:val="437"/>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Interest expense &amp; amortization of financing costs</w:t>
            </w:r>
          </w:p>
        </w:tc>
        <w:tc>
          <w:tcPr>
            <w:tcW w:w="100" w:type="dxa"/>
            <w:vAlign w:val="bottom"/>
          </w:tcPr>
          <w:p>
            <w:pPr>
              <w:spacing w:after="0"/>
              <w:rPr>
                <w:sz w:val="24"/>
                <w:szCs w:val="2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44,976</w:t>
            </w:r>
          </w:p>
        </w:tc>
        <w:tc>
          <w:tcPr>
            <w:tcW w:w="20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41,148</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9.3 %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44,519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89,495</w:t>
            </w:r>
          </w:p>
        </w:tc>
        <w:tc>
          <w:tcPr>
            <w:tcW w:w="18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83,078</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7.7 %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Non-real estate depreciation</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71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2.9 %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140</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156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(10.3)%</w:t>
            </w:r>
          </w:p>
        </w:tc>
      </w:tr>
      <w:tr>
        <w:trPr>
          <w:trHeight w:val="205"/>
        </w:trPr>
        <w:tc>
          <w:tcPr>
            <w:tcW w:w="320" w:type="dxa"/>
            <w:vAlign w:val="bottom"/>
          </w:tcPr>
          <w:p>
            <w:pPr>
              <w:spacing w:after="0"/>
              <w:rPr>
                <w:sz w:val="17"/>
                <w:szCs w:val="17"/>
                <w:color w:val="auto"/>
              </w:rPr>
            </w:pPr>
          </w:p>
        </w:tc>
        <w:tc>
          <w:tcPr>
            <w:tcW w:w="3800" w:type="dxa"/>
            <w:vAlign w:val="bottom"/>
          </w:tcPr>
          <w:p>
            <w:pPr>
              <w:jc w:val="right"/>
              <w:ind w:right="162"/>
              <w:spacing w:after="0"/>
              <w:rPr>
                <w:sz w:val="20"/>
                <w:szCs w:val="20"/>
                <w:color w:val="auto"/>
              </w:rPr>
            </w:pPr>
            <w:r>
              <w:rPr>
                <w:rFonts w:ascii="Arial" w:cs="Arial" w:eastAsia="Arial" w:hAnsi="Arial"/>
                <w:sz w:val="12"/>
                <w:szCs w:val="12"/>
                <w:b w:val="1"/>
                <w:bCs w:val="1"/>
                <w:color w:val="auto"/>
              </w:rPr>
              <w:t>NOI</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178,139</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181,516</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(1.9)%</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167,403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345,544</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334,166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3.4 %</w:t>
            </w:r>
          </w:p>
        </w:tc>
      </w:tr>
      <w:tr>
        <w:trPr>
          <w:trHeight w:val="442"/>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Cash Adjustments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Less:  Free rent (net of amortization)</w:t>
            </w: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444</w:t>
            </w:r>
          </w:p>
        </w:tc>
        <w:tc>
          <w:tcPr>
            <w:tcW w:w="20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3,350</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(86.7)%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885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1,330</w:t>
            </w:r>
          </w:p>
        </w:tc>
        <w:tc>
          <w:tcPr>
            <w:tcW w:w="1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5,540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(76.0)%</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Straightline revenue</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8,347</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16,279</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(48.7)%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8,285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16,632</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21,826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(23.8)%</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Rental income - FAS 141</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3,792</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4,996</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(24.1)%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3,741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7,532</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7,815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(3.6)%</w:t>
            </w:r>
          </w:p>
        </w:tc>
      </w:tr>
      <w:tr>
        <w:trPr>
          <w:trHeight w:val="219"/>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Ground lease straight-line adjustment</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467</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472</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935</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944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Allowance for S/L tenant credit loss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247</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(688)</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(135.9)%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1,665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1,912</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(1,608)</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(218.9)%</w:t>
            </w:r>
          </w:p>
        </w:tc>
      </w:tr>
      <w:tr>
        <w:trPr>
          <w:trHeight w:val="205"/>
        </w:trPr>
        <w:tc>
          <w:tcPr>
            <w:tcW w:w="320" w:type="dxa"/>
            <w:vAlign w:val="bottom"/>
          </w:tcPr>
          <w:p>
            <w:pPr>
              <w:spacing w:after="0"/>
              <w:rPr>
                <w:sz w:val="17"/>
                <w:szCs w:val="17"/>
                <w:color w:val="auto"/>
              </w:rPr>
            </w:pPr>
          </w:p>
        </w:tc>
        <w:tc>
          <w:tcPr>
            <w:tcW w:w="3800" w:type="dxa"/>
            <w:vAlign w:val="bottom"/>
          </w:tcPr>
          <w:p>
            <w:pPr>
              <w:jc w:val="right"/>
              <w:ind w:right="162"/>
              <w:spacing w:after="0"/>
              <w:rPr>
                <w:sz w:val="20"/>
                <w:szCs w:val="20"/>
                <w:color w:val="auto"/>
              </w:rPr>
            </w:pPr>
            <w:r>
              <w:rPr>
                <w:rFonts w:ascii="Arial" w:cs="Arial" w:eastAsia="Arial" w:hAnsi="Arial"/>
                <w:sz w:val="12"/>
                <w:szCs w:val="12"/>
                <w:b w:val="1"/>
                <w:bCs w:val="1"/>
                <w:color w:val="auto"/>
              </w:rPr>
              <w:t>Cash NOI</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166,270</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156,675</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6.1 %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156,624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322,897</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298,321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8.2 %</w:t>
            </w:r>
          </w:p>
        </w:tc>
      </w:tr>
      <w:tr>
        <w:trPr>
          <w:trHeight w:val="442"/>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Operating Margins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NOI to real estate revenue, net</w:t>
            </w:r>
          </w:p>
        </w:tc>
        <w:tc>
          <w:tcPr>
            <w:tcW w:w="10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58.0%</w:t>
            </w:r>
          </w:p>
        </w:tc>
        <w:tc>
          <w:tcPr>
            <w:tcW w:w="20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59.2%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55.4%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56.7%</w:t>
            </w:r>
          </w:p>
        </w:tc>
        <w:tc>
          <w:tcPr>
            <w:tcW w:w="18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56.7%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Cash NOI to real estate revenue, net</w:t>
            </w: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54.1%</w:t>
            </w:r>
          </w:p>
        </w:tc>
        <w:tc>
          <w:tcPr>
            <w:tcW w:w="2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51.1%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51.8%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53.0%</w:t>
            </w:r>
          </w:p>
        </w:tc>
        <w:tc>
          <w:tcPr>
            <w:tcW w:w="1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NOI before ground rent/real estate revenue, net</w:t>
            </w:r>
          </w:p>
        </w:tc>
        <w:tc>
          <w:tcPr>
            <w:tcW w:w="10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60.7%</w:t>
            </w:r>
          </w:p>
        </w:tc>
        <w:tc>
          <w:tcPr>
            <w:tcW w:w="20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62.0%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58.1%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59.4%</w:t>
            </w: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59.5%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Cash NOI before ground rent/real estate revenue, net</w:t>
            </w: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56.7%</w:t>
            </w:r>
          </w:p>
        </w:tc>
        <w:tc>
          <w:tcPr>
            <w:tcW w:w="2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54.4%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55.6%</w:t>
            </w:r>
          </w:p>
        </w:tc>
        <w:tc>
          <w:tcPr>
            <w:tcW w:w="1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5"/>
        </w:trPr>
        <w:tc>
          <w:tcPr>
            <w:tcW w:w="4120" w:type="dxa"/>
            <w:vAlign w:val="bottom"/>
            <w:gridSpan w:val="2"/>
          </w:tcPr>
          <w:p>
            <w:pPr>
              <w:ind w:left="20"/>
              <w:spacing w:after="0"/>
              <w:rPr>
                <w:sz w:val="20"/>
                <w:szCs w:val="20"/>
                <w:color w:val="auto"/>
              </w:rPr>
            </w:pPr>
            <w:r>
              <w:rPr>
                <w:rFonts w:ascii="Arial" w:cs="Arial" w:eastAsia="Arial" w:hAnsi="Arial"/>
                <w:sz w:val="10"/>
                <w:szCs w:val="10"/>
                <w:color w:val="auto"/>
              </w:rPr>
              <w:t>Supplemental Information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0"/>
                <w:szCs w:val="10"/>
                <w:color w:val="auto"/>
              </w:rPr>
              <w:t>Second Quarter 2016</w:t>
            </w:r>
          </w:p>
        </w:tc>
      </w:tr>
    </w:tbl>
    <w:p>
      <w:pPr>
        <w:sectPr>
          <w:pgSz w:w="11900" w:h="16838" w:orient="portrait"/>
          <w:cols w:equalWidth="0" w:num="1">
            <w:col w:w="10100"/>
          </w:cols>
          <w:pgMar w:left="900" w:top="338" w:right="89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Same Store - Joint Venture</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6"/>
              </w:rPr>
              <w:t>Three Months Ended</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2"/>
                <w:szCs w:val="12"/>
                <w:b w:val="1"/>
                <w:bCs w:val="1"/>
                <w:color w:val="auto"/>
              </w:rPr>
              <w:t>Six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5"/>
              </w:rPr>
              <w:t>June 30,</w:t>
            </w:r>
          </w:p>
        </w:tc>
        <w:tc>
          <w:tcPr>
            <w:tcW w:w="20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5"/>
              </w:rPr>
              <w:t>June 30,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5"/>
          </w:tcPr>
          <w:p>
            <w:pPr>
              <w:jc w:val="center"/>
              <w:ind w:right="640"/>
              <w:spacing w:after="0"/>
              <w:rPr>
                <w:sz w:val="20"/>
                <w:szCs w:val="20"/>
                <w:color w:val="auto"/>
              </w:rPr>
            </w:pPr>
            <w:r>
              <w:rPr>
                <w:rFonts w:ascii="Arial" w:cs="Arial" w:eastAsia="Arial" w:hAnsi="Arial"/>
                <w:sz w:val="12"/>
                <w:szCs w:val="12"/>
                <w:b w:val="1"/>
                <w:bCs w:val="1"/>
                <w:color w:val="auto"/>
                <w:w w:val="97"/>
              </w:rPr>
              <w:t>March 31,</w:t>
            </w:r>
          </w:p>
        </w:tc>
        <w:tc>
          <w:tcPr>
            <w:tcW w:w="10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5"/>
              </w:rPr>
              <w:t>June 30,</w:t>
            </w:r>
          </w:p>
        </w:tc>
        <w:tc>
          <w:tcPr>
            <w:tcW w:w="1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5"/>
              </w:rPr>
              <w:t>June 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120"/>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2015</w:t>
            </w:r>
          </w:p>
        </w:tc>
        <w:tc>
          <w:tcPr>
            <w:tcW w:w="68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center"/>
              <w:ind w:left="82"/>
              <w:spacing w:after="0"/>
              <w:rPr>
                <w:sz w:val="20"/>
                <w:szCs w:val="20"/>
                <w:color w:val="auto"/>
              </w:rPr>
            </w:pPr>
            <w:r>
              <w:rPr>
                <w:rFonts w:ascii="Arial" w:cs="Arial" w:eastAsia="Arial" w:hAnsi="Arial"/>
                <w:sz w:val="12"/>
                <w:szCs w:val="12"/>
                <w:b w:val="1"/>
                <w:bCs w:val="1"/>
                <w:color w:val="auto"/>
                <w:w w:val="97"/>
              </w:rPr>
              <w:t>2016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2015</w:t>
            </w:r>
          </w:p>
        </w:tc>
        <w:tc>
          <w:tcPr>
            <w:tcW w:w="5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r>
      <w:tr>
        <w:trPr>
          <w:trHeight w:val="227"/>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Revenues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Rental revenue, net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28,049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26,721</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5.0 %</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28,565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56,614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53,503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5.8 %</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Escalation &amp; reimbursement revenues</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2,297</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2,163</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6.2 %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2,166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4,462</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4,262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4.7 %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Other income</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255</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196</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30.1 %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226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481</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15,933 %</w:t>
            </w: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Total Revenues</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30,601</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29,080</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5.2 %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30,957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61,557</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57,768</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6.6 %</w:t>
            </w:r>
          </w:p>
        </w:tc>
      </w:tr>
      <w:tr>
        <w:trPr>
          <w:trHeight w:val="223"/>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Expenses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Operating expenses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4,378</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4,550</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(3.8)%</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4,684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9,063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9,376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(3.3)%</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Ground rent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Real estate taxes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4,324</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4,119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5.0 %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4,414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8,738</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8,235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6.1 %</w:t>
            </w:r>
          </w:p>
        </w:tc>
      </w:tr>
      <w:tr>
        <w:trPr>
          <w:trHeight w:val="20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8,702</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8,669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0.4 %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9,098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17,801</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17,611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1.1 %</w:t>
            </w: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Operating Income</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21,899</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20,411</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7.3 %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21,859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43,756</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40,157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9.0 %</w:t>
            </w: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Interest expense &amp; amortization of financing costs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9,675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8,025</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20.6 %</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8,878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18,552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15,354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20.8 %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Depreciation &amp; amortization</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9,033</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8,833</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2.3 %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8,888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17,922</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17,634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1.6 %</w:t>
            </w:r>
          </w:p>
        </w:tc>
      </w:tr>
      <w:tr>
        <w:trPr>
          <w:trHeight w:val="423"/>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Income before noncontrolling interest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3,191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3,553</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(10.2)%</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4,093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7,282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7,169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1.6 %</w:t>
            </w:r>
          </w:p>
        </w:tc>
      </w:tr>
      <w:tr>
        <w:trPr>
          <w:trHeight w:val="223"/>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Real estate depreciation &amp; amortization</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9,033</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8,833</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2.3 %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8,888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17,922</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17,633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1.6 %</w:t>
            </w: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FFO Contribution</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12,224</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12,386</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(1.3)%</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12,981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25,204</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24,802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1.6 %</w:t>
            </w:r>
          </w:p>
        </w:tc>
      </w:tr>
      <w:tr>
        <w:trPr>
          <w:trHeight w:val="437"/>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Less:  Non–building revenue</w:t>
            </w:r>
          </w:p>
        </w:tc>
        <w:tc>
          <w:tcPr>
            <w:tcW w:w="100" w:type="dxa"/>
            <w:vAlign w:val="bottom"/>
          </w:tcPr>
          <w:p>
            <w:pPr>
              <w:spacing w:after="0"/>
              <w:rPr>
                <w:sz w:val="24"/>
                <w:szCs w:val="2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60</w:t>
            </w:r>
          </w:p>
        </w:tc>
        <w:tc>
          <w:tcPr>
            <w:tcW w:w="20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32</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87.5 %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63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122</w:t>
            </w:r>
          </w:p>
        </w:tc>
        <w:tc>
          <w:tcPr>
            <w:tcW w:w="18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34.1 %</w:t>
            </w:r>
          </w:p>
        </w:tc>
      </w:tr>
      <w:tr>
        <w:trPr>
          <w:trHeight w:val="437"/>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Interest expense &amp; amortization of financing costs</w:t>
            </w:r>
          </w:p>
        </w:tc>
        <w:tc>
          <w:tcPr>
            <w:tcW w:w="100" w:type="dxa"/>
            <w:vAlign w:val="bottom"/>
          </w:tcPr>
          <w:p>
            <w:pPr>
              <w:spacing w:after="0"/>
              <w:rPr>
                <w:sz w:val="24"/>
                <w:szCs w:val="2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9,675</w:t>
            </w:r>
          </w:p>
        </w:tc>
        <w:tc>
          <w:tcPr>
            <w:tcW w:w="20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8,025</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20.6 %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8,878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18,552</w:t>
            </w:r>
          </w:p>
        </w:tc>
        <w:tc>
          <w:tcPr>
            <w:tcW w:w="18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15,354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20.8 %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Non-real estate depreciation</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(100.0)%</w:t>
            </w:r>
          </w:p>
        </w:tc>
      </w:tr>
      <w:tr>
        <w:trPr>
          <w:trHeight w:val="205"/>
        </w:trPr>
        <w:tc>
          <w:tcPr>
            <w:tcW w:w="320" w:type="dxa"/>
            <w:vAlign w:val="bottom"/>
          </w:tcPr>
          <w:p>
            <w:pPr>
              <w:spacing w:after="0"/>
              <w:rPr>
                <w:sz w:val="17"/>
                <w:szCs w:val="17"/>
                <w:color w:val="auto"/>
              </w:rPr>
            </w:pPr>
          </w:p>
        </w:tc>
        <w:tc>
          <w:tcPr>
            <w:tcW w:w="3800" w:type="dxa"/>
            <w:vAlign w:val="bottom"/>
          </w:tcPr>
          <w:p>
            <w:pPr>
              <w:jc w:val="right"/>
              <w:ind w:right="142"/>
              <w:spacing w:after="0"/>
              <w:rPr>
                <w:sz w:val="20"/>
                <w:szCs w:val="20"/>
                <w:color w:val="auto"/>
              </w:rPr>
            </w:pPr>
            <w:r>
              <w:rPr>
                <w:rFonts w:ascii="Arial" w:cs="Arial" w:eastAsia="Arial" w:hAnsi="Arial"/>
                <w:sz w:val="12"/>
                <w:szCs w:val="12"/>
                <w:b w:val="1"/>
                <w:bCs w:val="1"/>
                <w:color w:val="auto"/>
              </w:rPr>
              <w:t>NOI</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21,839</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20,379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7.2 %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21,796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43,634</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40,066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8.9 %</w:t>
            </w:r>
          </w:p>
        </w:tc>
      </w:tr>
      <w:tr>
        <w:trPr>
          <w:trHeight w:val="442"/>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Cash Adjustments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Less:  Free rent (net of amortization)</w:t>
            </w: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866</w:t>
            </w:r>
          </w:p>
        </w:tc>
        <w:tc>
          <w:tcPr>
            <w:tcW w:w="20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694</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24.8 %</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703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1,569</w:t>
            </w:r>
          </w:p>
        </w:tc>
        <w:tc>
          <w:tcPr>
            <w:tcW w:w="1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1,152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36.2 %</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Straightline revenue adjustment</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723</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966</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(25.2)%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1,303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2,026</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1,949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4.0 %</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Rental income - FAS 141</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391</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439</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(10.9)%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391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782</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963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(18.8)%</w:t>
            </w:r>
          </w:p>
        </w:tc>
      </w:tr>
      <w:tr>
        <w:trPr>
          <w:trHeight w:val="219"/>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Ground lease straight-line adjustment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Allowance for S/L tenant credit loss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(117)</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(100.0)%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(117)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(100.0)%</w:t>
            </w:r>
          </w:p>
        </w:tc>
      </w:tr>
      <w:tr>
        <w:trPr>
          <w:trHeight w:val="205"/>
        </w:trPr>
        <w:tc>
          <w:tcPr>
            <w:tcW w:w="320" w:type="dxa"/>
            <w:vAlign w:val="bottom"/>
          </w:tcPr>
          <w:p>
            <w:pPr>
              <w:spacing w:after="0"/>
              <w:rPr>
                <w:sz w:val="17"/>
                <w:szCs w:val="17"/>
                <w:color w:val="auto"/>
              </w:rPr>
            </w:pPr>
          </w:p>
        </w:tc>
        <w:tc>
          <w:tcPr>
            <w:tcW w:w="3800" w:type="dxa"/>
            <w:vAlign w:val="bottom"/>
          </w:tcPr>
          <w:p>
            <w:pPr>
              <w:jc w:val="right"/>
              <w:ind w:right="142"/>
              <w:spacing w:after="0"/>
              <w:rPr>
                <w:sz w:val="20"/>
                <w:szCs w:val="20"/>
                <w:color w:val="auto"/>
              </w:rPr>
            </w:pPr>
            <w:r>
              <w:rPr>
                <w:rFonts w:ascii="Arial" w:cs="Arial" w:eastAsia="Arial" w:hAnsi="Arial"/>
                <w:sz w:val="12"/>
                <w:szCs w:val="12"/>
                <w:b w:val="1"/>
                <w:bCs w:val="1"/>
                <w:color w:val="auto"/>
              </w:rPr>
              <w:t>Cash NOI</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19,859</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18,163</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9.3 %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19,399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39,257</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35,885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9.4 %</w:t>
            </w:r>
          </w:p>
        </w:tc>
      </w:tr>
      <w:tr>
        <w:trPr>
          <w:trHeight w:val="442"/>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Operating Margins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NOI to real estate revenue, net</w:t>
            </w:r>
          </w:p>
        </w:tc>
        <w:tc>
          <w:tcPr>
            <w:tcW w:w="10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71.5%</w:t>
            </w:r>
          </w:p>
        </w:tc>
        <w:tc>
          <w:tcPr>
            <w:tcW w:w="20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70.4%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70.6%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71.0%</w:t>
            </w:r>
          </w:p>
        </w:tc>
        <w:tc>
          <w:tcPr>
            <w:tcW w:w="18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Cash NOI to real estate revenue, net</w:t>
            </w: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65.0%</w:t>
            </w:r>
          </w:p>
        </w:tc>
        <w:tc>
          <w:tcPr>
            <w:tcW w:w="2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62.8%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62.8%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63.9%</w:t>
            </w:r>
          </w:p>
        </w:tc>
        <w:tc>
          <w:tcPr>
            <w:tcW w:w="1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NOI before ground rent/real estate revenue, net</w:t>
            </w:r>
          </w:p>
        </w:tc>
        <w:tc>
          <w:tcPr>
            <w:tcW w:w="10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71.5%</w:t>
            </w:r>
          </w:p>
        </w:tc>
        <w:tc>
          <w:tcPr>
            <w:tcW w:w="20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70.4%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70.6%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71.0%</w:t>
            </w: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69.6%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Cash NOI before ground rent/real estate revenue, net</w:t>
            </w: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65.0%</w:t>
            </w:r>
          </w:p>
        </w:tc>
        <w:tc>
          <w:tcPr>
            <w:tcW w:w="2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62.8%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62.8%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63.9%</w:t>
            </w:r>
          </w:p>
        </w:tc>
        <w:tc>
          <w:tcPr>
            <w:tcW w:w="1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5"/>
        </w:trPr>
        <w:tc>
          <w:tcPr>
            <w:tcW w:w="4120" w:type="dxa"/>
            <w:vAlign w:val="bottom"/>
            <w:gridSpan w:val="2"/>
          </w:tcPr>
          <w:p>
            <w:pPr>
              <w:ind w:left="20"/>
              <w:spacing w:after="0"/>
              <w:rPr>
                <w:sz w:val="20"/>
                <w:szCs w:val="20"/>
                <w:color w:val="auto"/>
              </w:rPr>
            </w:pPr>
            <w:r>
              <w:rPr>
                <w:rFonts w:ascii="Arial" w:cs="Arial" w:eastAsia="Arial" w:hAnsi="Arial"/>
                <w:sz w:val="10"/>
                <w:szCs w:val="10"/>
                <w:color w:val="auto"/>
              </w:rPr>
              <w:t>Supplemental Information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23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0"/>
                <w:szCs w:val="10"/>
                <w:color w:val="auto"/>
              </w:rPr>
              <w:t>Second Quarter 2016</w:t>
            </w:r>
          </w:p>
        </w:tc>
      </w:tr>
    </w:tbl>
    <w:p>
      <w:pPr>
        <w:sectPr>
          <w:pgSz w:w="11900" w:h="16838" w:orient="portrait"/>
          <w:cols w:equalWidth="0" w:num="1">
            <w:col w:w="10100"/>
          </w:cols>
          <w:pgMar w:left="900" w:top="338" w:right="89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Same Store - Combined</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6"/>
              </w:rPr>
              <w:t>Three Months Ended</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2"/>
                <w:szCs w:val="12"/>
                <w:b w:val="1"/>
                <w:bCs w:val="1"/>
                <w:color w:val="auto"/>
              </w:rPr>
              <w:t>Six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5"/>
              </w:rPr>
              <w:t>June 30,</w:t>
            </w:r>
          </w:p>
        </w:tc>
        <w:tc>
          <w:tcPr>
            <w:tcW w:w="20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5"/>
              </w:rPr>
              <w:t>June 30,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5"/>
          </w:tcPr>
          <w:p>
            <w:pPr>
              <w:jc w:val="center"/>
              <w:ind w:right="640"/>
              <w:spacing w:after="0"/>
              <w:rPr>
                <w:sz w:val="20"/>
                <w:szCs w:val="20"/>
                <w:color w:val="auto"/>
              </w:rPr>
            </w:pPr>
            <w:r>
              <w:rPr>
                <w:rFonts w:ascii="Arial" w:cs="Arial" w:eastAsia="Arial" w:hAnsi="Arial"/>
                <w:sz w:val="12"/>
                <w:szCs w:val="12"/>
                <w:b w:val="1"/>
                <w:bCs w:val="1"/>
                <w:color w:val="auto"/>
                <w:w w:val="97"/>
              </w:rPr>
              <w:t>March 31,</w:t>
            </w:r>
          </w:p>
        </w:tc>
        <w:tc>
          <w:tcPr>
            <w:tcW w:w="10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5"/>
              </w:rPr>
              <w:t>June 30,</w:t>
            </w:r>
          </w:p>
        </w:tc>
        <w:tc>
          <w:tcPr>
            <w:tcW w:w="1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5"/>
              </w:rPr>
              <w:t>June 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b w:val="1"/>
                <w:bCs w:val="1"/>
                <w:color w:val="auto"/>
                <w:w w:val="89"/>
              </w:rPr>
              <w:t>2016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2015</w:t>
            </w:r>
          </w:p>
        </w:tc>
        <w:tc>
          <w:tcPr>
            <w:tcW w:w="68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center"/>
              <w:ind w:left="82"/>
              <w:spacing w:after="0"/>
              <w:rPr>
                <w:sz w:val="20"/>
                <w:szCs w:val="20"/>
                <w:color w:val="auto"/>
              </w:rPr>
            </w:pPr>
            <w:r>
              <w:rPr>
                <w:rFonts w:ascii="Arial" w:cs="Arial" w:eastAsia="Arial" w:hAnsi="Arial"/>
                <w:sz w:val="12"/>
                <w:szCs w:val="12"/>
                <w:b w:val="1"/>
                <w:bCs w:val="1"/>
                <w:color w:val="auto"/>
                <w:w w:val="97"/>
              </w:rPr>
              <w:t>2016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2015</w:t>
            </w:r>
          </w:p>
        </w:tc>
        <w:tc>
          <w:tcPr>
            <w:tcW w:w="5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r>
      <w:tr>
        <w:trPr>
          <w:trHeight w:val="227"/>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Revenues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Rental revenue, net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291,365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280,940</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3.7 %</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286,960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578,325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551,553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4.9 %</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Escalation &amp; reimbursement revenues</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45,093</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41,699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8.1 %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42,877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87,969</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82,796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6.2 %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Other income</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1,792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13,793</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(87.0)%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2,252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4,044</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15,113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(73.2)%</w:t>
            </w: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Total Revenues</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338,250</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336,432</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0.5 %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332,089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670,338</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649,462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3.2 %</w:t>
            </w:r>
          </w:p>
        </w:tc>
      </w:tr>
      <w:tr>
        <w:trPr>
          <w:trHeight w:val="223"/>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Expenses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Operating expenses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67,459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68,043</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(0.9)%</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72,464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139,924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142,615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(1.9)%</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Ground rent</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8,328</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8,276</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0.6 %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8,328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16,655</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16,655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Real estate taxes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61,679</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57,879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6.6 %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61,651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123,330</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115,087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7.2 %</w:t>
            </w:r>
          </w:p>
        </w:tc>
      </w:tr>
      <w:tr>
        <w:trPr>
          <w:trHeight w:val="205"/>
        </w:trPr>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137,466</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134,198</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2.4 %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142,443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279,909</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274,357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2.0 %</w:t>
            </w: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Operating Income</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200,784</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202,234</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(0.7)%</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189,646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390,429</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375,105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4.1 %</w:t>
            </w: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Interest expense &amp; amortization of financing costs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54,651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49,173</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11.1 %</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53,397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108,047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98,432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9.8 %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Depreciation &amp; amortization</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88,844</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87,951</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1.0 %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88,310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177,155</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173,944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1.8 %</w:t>
            </w:r>
          </w:p>
        </w:tc>
      </w:tr>
      <w:tr>
        <w:trPr>
          <w:trHeight w:val="423"/>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Income before noncontrolling interest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57,289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65,110</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(12.0)%</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47,939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105,227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102,729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2.4 %</w:t>
            </w:r>
          </w:p>
        </w:tc>
      </w:tr>
      <w:tr>
        <w:trPr>
          <w:trHeight w:val="223"/>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Real estate depreciation &amp; amortization</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88,773</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87,882</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1.0 %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88,241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177,015</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173,787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1.9 %</w:t>
            </w: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b w:val="1"/>
                <w:bCs w:val="1"/>
                <w:color w:val="auto"/>
              </w:rPr>
              <w:t>FFO Contribution</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146,062</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152,992</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(4.5)%</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136,180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282,242</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276,516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2.1 %</w:t>
            </w:r>
          </w:p>
        </w:tc>
      </w:tr>
      <w:tr>
        <w:trPr>
          <w:trHeight w:val="437"/>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Less:  Non–building revenue</w:t>
            </w:r>
          </w:p>
        </w:tc>
        <w:tc>
          <w:tcPr>
            <w:tcW w:w="100" w:type="dxa"/>
            <w:vAlign w:val="bottom"/>
          </w:tcPr>
          <w:p>
            <w:pPr>
              <w:spacing w:after="0"/>
              <w:rPr>
                <w:sz w:val="24"/>
                <w:szCs w:val="2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806</w:t>
            </w:r>
          </w:p>
        </w:tc>
        <w:tc>
          <w:tcPr>
            <w:tcW w:w="20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339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137.8 %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447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1,251</w:t>
            </w:r>
          </w:p>
        </w:tc>
        <w:tc>
          <w:tcPr>
            <w:tcW w:w="18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873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43.3 %</w:t>
            </w:r>
          </w:p>
        </w:tc>
      </w:tr>
      <w:tr>
        <w:trPr>
          <w:trHeight w:val="437"/>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Interest expense &amp; amortization of financing costs</w:t>
            </w:r>
          </w:p>
        </w:tc>
        <w:tc>
          <w:tcPr>
            <w:tcW w:w="100" w:type="dxa"/>
            <w:vAlign w:val="bottom"/>
          </w:tcPr>
          <w:p>
            <w:pPr>
              <w:spacing w:after="0"/>
              <w:rPr>
                <w:sz w:val="24"/>
                <w:szCs w:val="2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54,651</w:t>
            </w:r>
          </w:p>
        </w:tc>
        <w:tc>
          <w:tcPr>
            <w:tcW w:w="20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49,173</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11.1 %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53,397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108,047</w:t>
            </w:r>
          </w:p>
        </w:tc>
        <w:tc>
          <w:tcPr>
            <w:tcW w:w="18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98,432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100.0 %</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Non-real estate depreciation</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71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69</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2.9 %</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140</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157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(10.8)%</w:t>
            </w:r>
          </w:p>
        </w:tc>
      </w:tr>
      <w:tr>
        <w:trPr>
          <w:trHeight w:val="205"/>
        </w:trPr>
        <w:tc>
          <w:tcPr>
            <w:tcW w:w="320" w:type="dxa"/>
            <w:vAlign w:val="bottom"/>
          </w:tcPr>
          <w:p>
            <w:pPr>
              <w:spacing w:after="0"/>
              <w:rPr>
                <w:sz w:val="17"/>
                <w:szCs w:val="17"/>
                <w:color w:val="auto"/>
              </w:rPr>
            </w:pPr>
          </w:p>
        </w:tc>
        <w:tc>
          <w:tcPr>
            <w:tcW w:w="3800" w:type="dxa"/>
            <w:vAlign w:val="bottom"/>
          </w:tcPr>
          <w:p>
            <w:pPr>
              <w:jc w:val="right"/>
              <w:ind w:right="162"/>
              <w:spacing w:after="0"/>
              <w:rPr>
                <w:sz w:val="20"/>
                <w:szCs w:val="20"/>
                <w:color w:val="auto"/>
              </w:rPr>
            </w:pPr>
            <w:r>
              <w:rPr>
                <w:rFonts w:ascii="Arial" w:cs="Arial" w:eastAsia="Arial" w:hAnsi="Arial"/>
                <w:sz w:val="12"/>
                <w:szCs w:val="12"/>
                <w:b w:val="1"/>
                <w:bCs w:val="1"/>
                <w:color w:val="auto"/>
              </w:rPr>
              <w:t>NOI</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199,978</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201,895</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(0.9)%</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189,199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389,178</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374,232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4.0 %</w:t>
            </w:r>
          </w:p>
        </w:tc>
      </w:tr>
      <w:tr>
        <w:trPr>
          <w:trHeight w:val="442"/>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Cash Adjustments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Less:  Free rent (net of amortization)</w:t>
            </w: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1,310</w:t>
            </w:r>
          </w:p>
        </w:tc>
        <w:tc>
          <w:tcPr>
            <w:tcW w:w="20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4,044</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(67.6)%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1,588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2,899</w:t>
            </w:r>
          </w:p>
        </w:tc>
        <w:tc>
          <w:tcPr>
            <w:tcW w:w="1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6,692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(56.7)%</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Straightline revenue adjustment</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9,070</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17,245</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(47.4)%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9,588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18,658</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23,775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(21.5)%</w:t>
            </w: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Rental income - FAS 141</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4,183</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5,435</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(23.0)%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4,132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8,314</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8,778</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(5.3)%</w:t>
            </w:r>
          </w:p>
        </w:tc>
      </w:tr>
      <w:tr>
        <w:trPr>
          <w:trHeight w:val="219"/>
        </w:trPr>
        <w:tc>
          <w:tcPr>
            <w:tcW w:w="320" w:type="dxa"/>
            <w:vAlign w:val="bottom"/>
          </w:tcPr>
          <w:p>
            <w:pPr>
              <w:ind w:left="20"/>
              <w:spacing w:after="0"/>
              <w:rPr>
                <w:sz w:val="20"/>
                <w:szCs w:val="20"/>
                <w:color w:val="auto"/>
              </w:rPr>
            </w:pPr>
            <w:r>
              <w:rPr>
                <w:rFonts w:ascii="Arial" w:cs="Arial" w:eastAsia="Arial" w:hAnsi="Arial"/>
                <w:sz w:val="12"/>
                <w:szCs w:val="12"/>
                <w:color w:val="auto"/>
              </w:rPr>
              <w:t>Plus:</w:t>
            </w:r>
          </w:p>
        </w:tc>
        <w:tc>
          <w:tcPr>
            <w:tcW w:w="3800" w:type="dxa"/>
            <w:vAlign w:val="bottom"/>
          </w:tcPr>
          <w:p>
            <w:pPr>
              <w:ind w:left="60"/>
              <w:spacing w:after="0"/>
              <w:rPr>
                <w:sz w:val="20"/>
                <w:szCs w:val="20"/>
                <w:color w:val="auto"/>
              </w:rPr>
            </w:pPr>
            <w:r>
              <w:rPr>
                <w:rFonts w:ascii="Arial" w:cs="Arial" w:eastAsia="Arial" w:hAnsi="Arial"/>
                <w:sz w:val="12"/>
                <w:szCs w:val="12"/>
                <w:color w:val="auto"/>
              </w:rPr>
              <w:t>Ground lease straight-line adjustment</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467</w:t>
            </w:r>
          </w:p>
        </w:tc>
        <w:tc>
          <w:tcPr>
            <w:tcW w:w="2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472</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467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935</w:t>
            </w: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944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w:t>
            </w:r>
          </w:p>
        </w:tc>
      </w:tr>
      <w:tr>
        <w:trPr>
          <w:trHeight w:val="223"/>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Allowance for S/L tenant credit loss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247</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(805)</w:t>
            </w: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(130.7)%</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1,665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1,912</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(1,725)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(210.8)%</w:t>
            </w:r>
          </w:p>
        </w:tc>
      </w:tr>
      <w:tr>
        <w:trPr>
          <w:trHeight w:val="205"/>
        </w:trPr>
        <w:tc>
          <w:tcPr>
            <w:tcW w:w="320" w:type="dxa"/>
            <w:vAlign w:val="bottom"/>
          </w:tcPr>
          <w:p>
            <w:pPr>
              <w:spacing w:after="0"/>
              <w:rPr>
                <w:sz w:val="17"/>
                <w:szCs w:val="17"/>
                <w:color w:val="auto"/>
              </w:rPr>
            </w:pPr>
          </w:p>
        </w:tc>
        <w:tc>
          <w:tcPr>
            <w:tcW w:w="3800" w:type="dxa"/>
            <w:vAlign w:val="bottom"/>
          </w:tcPr>
          <w:p>
            <w:pPr>
              <w:jc w:val="right"/>
              <w:ind w:right="162"/>
              <w:spacing w:after="0"/>
              <w:rPr>
                <w:sz w:val="20"/>
                <w:szCs w:val="20"/>
                <w:color w:val="auto"/>
              </w:rPr>
            </w:pPr>
            <w:r>
              <w:rPr>
                <w:rFonts w:ascii="Arial" w:cs="Arial" w:eastAsia="Arial" w:hAnsi="Arial"/>
                <w:sz w:val="12"/>
                <w:szCs w:val="12"/>
                <w:b w:val="1"/>
                <w:bCs w:val="1"/>
                <w:color w:val="auto"/>
              </w:rPr>
              <w:t>Cash NOI</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186,129</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174,838</w:t>
            </w:r>
          </w:p>
        </w:tc>
        <w:tc>
          <w:tcPr>
            <w:tcW w:w="6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6.5 %</w:t>
            </w: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176,023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362,154</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334,206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8.4 %</w:t>
            </w:r>
          </w:p>
        </w:tc>
      </w:tr>
      <w:tr>
        <w:trPr>
          <w:trHeight w:val="442"/>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Operating Margins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20" w:type="dxa"/>
            <w:vAlign w:val="bottom"/>
          </w:tcPr>
          <w:p>
            <w:pPr>
              <w:spacing w:after="0"/>
              <w:rPr>
                <w:sz w:val="17"/>
                <w:szCs w:val="17"/>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NOI to real estate revenue, net</w:t>
            </w:r>
          </w:p>
        </w:tc>
        <w:tc>
          <w:tcPr>
            <w:tcW w:w="10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59.2%</w:t>
            </w:r>
          </w:p>
        </w:tc>
        <w:tc>
          <w:tcPr>
            <w:tcW w:w="20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60.2%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56.8%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58.0%</w:t>
            </w:r>
          </w:p>
        </w:tc>
        <w:tc>
          <w:tcPr>
            <w:tcW w:w="18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57.9%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Cash NOI to real estate revenue, net</w:t>
            </w: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55.1%</w:t>
            </w:r>
          </w:p>
        </w:tc>
        <w:tc>
          <w:tcPr>
            <w:tcW w:w="2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54.0%</w:t>
            </w:r>
          </w:p>
        </w:tc>
        <w:tc>
          <w:tcPr>
            <w:tcW w:w="1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51.7%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7"/>
        </w:trPr>
        <w:tc>
          <w:tcPr>
            <w:tcW w:w="3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NOI before ground rent/real estate revenue, net</w:t>
            </w:r>
          </w:p>
        </w:tc>
        <w:tc>
          <w:tcPr>
            <w:tcW w:w="10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61.7%</w:t>
            </w:r>
          </w:p>
        </w:tc>
        <w:tc>
          <w:tcPr>
            <w:tcW w:w="20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62.7%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59.3%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60.5%</w:t>
            </w: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2"/>
                <w:szCs w:val="12"/>
                <w:color w:val="auto"/>
              </w:rPr>
              <w:t>Cash NOI before ground rent/real estate revenue, net</w:t>
            </w: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57.4%</w:t>
            </w:r>
          </w:p>
        </w:tc>
        <w:tc>
          <w:tcPr>
            <w:tcW w:w="2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54.5%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56.3%</w:t>
            </w:r>
          </w:p>
        </w:tc>
        <w:tc>
          <w:tcPr>
            <w:tcW w:w="1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54.1%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5"/>
        </w:trPr>
        <w:tc>
          <w:tcPr>
            <w:tcW w:w="4120" w:type="dxa"/>
            <w:vAlign w:val="bottom"/>
            <w:gridSpan w:val="2"/>
          </w:tcPr>
          <w:p>
            <w:pPr>
              <w:ind w:left="20"/>
              <w:spacing w:after="0"/>
              <w:rPr>
                <w:sz w:val="20"/>
                <w:szCs w:val="20"/>
                <w:color w:val="auto"/>
              </w:rPr>
            </w:pPr>
            <w:r>
              <w:rPr>
                <w:rFonts w:ascii="Arial" w:cs="Arial" w:eastAsia="Arial" w:hAnsi="Arial"/>
                <w:sz w:val="10"/>
                <w:szCs w:val="10"/>
                <w:color w:val="auto"/>
              </w:rPr>
              <w:t>Supplemental Information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0"/>
                <w:szCs w:val="10"/>
                <w:color w:val="auto"/>
              </w:rPr>
              <w:t>Second Quarter 2016</w:t>
            </w:r>
          </w:p>
        </w:tc>
      </w:tr>
    </w:tbl>
    <w:p>
      <w:pPr>
        <w:sectPr>
          <w:pgSz w:w="11900" w:h="16838" w:orient="portrait"/>
          <w:cols w:equalWidth="0" w:num="1">
            <w:col w:w="10100"/>
          </w:cols>
          <w:pgMar w:left="900" w:top="338" w:right="899" w:bottom="1440" w:gutter="0" w:footer="0" w:header="0"/>
        </w:sectPr>
      </w:pPr>
    </w:p>
    <w:bookmarkStart w:id="41" w:name="page42"/>
    <w:bookmarkEnd w:id="4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94"/>
        </w:trPr>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7"/>
                <w:szCs w:val="7"/>
                <w:b w:val="1"/>
                <w:bCs w:val="1"/>
                <w:color w:val="auto"/>
              </w:rPr>
              <w:t>Principal</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2016</w:t>
            </w:r>
          </w:p>
        </w:tc>
        <w:tc>
          <w:tcPr>
            <w:tcW w:w="940" w:type="dxa"/>
            <w:vAlign w:val="bottom"/>
          </w:tcPr>
          <w:p>
            <w:pPr>
              <w:jc w:val="right"/>
              <w:spacing w:after="0"/>
              <w:rPr>
                <w:sz w:val="20"/>
                <w:szCs w:val="20"/>
                <w:color w:val="auto"/>
              </w:rPr>
            </w:pPr>
            <w:r>
              <w:rPr>
                <w:rFonts w:ascii="Arial" w:cs="Arial" w:eastAsia="Arial" w:hAnsi="Arial"/>
                <w:sz w:val="7"/>
                <w:szCs w:val="7"/>
                <w:b w:val="1"/>
                <w:bCs w:val="1"/>
                <w:color w:val="auto"/>
              </w:rPr>
              <w:t>Initial</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Principal</w:t>
            </w:r>
          </w:p>
        </w:tc>
        <w:tc>
          <w:tcPr>
            <w:tcW w:w="1180" w:type="dxa"/>
            <w:vAlign w:val="bottom"/>
          </w:tcPr>
          <w:p>
            <w:pPr>
              <w:jc w:val="right"/>
              <w:ind w:right="184"/>
              <w:spacing w:after="0"/>
              <w:rPr>
                <w:sz w:val="20"/>
                <w:szCs w:val="20"/>
                <w:color w:val="auto"/>
              </w:rPr>
            </w:pPr>
            <w:r>
              <w:rPr>
                <w:rFonts w:ascii="Arial" w:cs="Arial" w:eastAsia="Arial" w:hAnsi="Arial"/>
                <w:sz w:val="7"/>
                <w:szCs w:val="7"/>
                <w:b w:val="1"/>
                <w:bCs w:val="1"/>
                <w:color w:val="auto"/>
              </w:rPr>
              <w:t>As-Of</w:t>
            </w:r>
          </w:p>
        </w:tc>
        <w:tc>
          <w:tcPr>
            <w:tcW w:w="660" w:type="dxa"/>
            <w:vAlign w:val="bottom"/>
          </w:tcPr>
          <w:p>
            <w:pPr>
              <w:spacing w:after="0"/>
              <w:rPr>
                <w:sz w:val="8"/>
                <w:szCs w:val="8"/>
                <w:color w:val="auto"/>
              </w:rPr>
            </w:pPr>
          </w:p>
        </w:tc>
      </w:tr>
      <w:tr>
        <w:trPr>
          <w:trHeight w:val="219"/>
        </w:trPr>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20" w:type="dxa"/>
            <w:vAlign w:val="bottom"/>
          </w:tcPr>
          <w:p>
            <w:pPr>
              <w:jc w:val="right"/>
              <w:ind w:right="284"/>
              <w:spacing w:after="0"/>
              <w:rPr>
                <w:sz w:val="20"/>
                <w:szCs w:val="20"/>
                <w:color w:val="auto"/>
              </w:rPr>
            </w:pPr>
            <w:r>
              <w:rPr>
                <w:rFonts w:ascii="Arial" w:cs="Arial" w:eastAsia="Arial" w:hAnsi="Arial"/>
                <w:sz w:val="7"/>
                <w:szCs w:val="7"/>
                <w:b w:val="1"/>
                <w:bCs w:val="1"/>
                <w:color w:val="auto"/>
              </w:rPr>
              <w:t>Ownership</w:t>
            </w:r>
          </w:p>
        </w:tc>
        <w:tc>
          <w:tcPr>
            <w:tcW w:w="14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7"/>
                <w:szCs w:val="7"/>
                <w:b w:val="1"/>
                <w:bCs w:val="1"/>
                <w:color w:val="auto"/>
              </w:rPr>
              <w:t>Outstanding</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Principal</w:t>
            </w:r>
          </w:p>
        </w:tc>
        <w:tc>
          <w:tcPr>
            <w:tcW w:w="940" w:type="dxa"/>
            <w:vAlign w:val="bottom"/>
          </w:tcPr>
          <w:p>
            <w:pPr>
              <w:jc w:val="right"/>
              <w:spacing w:after="0"/>
              <w:rPr>
                <w:sz w:val="20"/>
                <w:szCs w:val="20"/>
                <w:color w:val="auto"/>
              </w:rPr>
            </w:pPr>
            <w:r>
              <w:rPr>
                <w:rFonts w:ascii="Arial" w:cs="Arial" w:eastAsia="Arial" w:hAnsi="Arial"/>
                <w:sz w:val="7"/>
                <w:szCs w:val="7"/>
                <w:b w:val="1"/>
                <w:bCs w:val="1"/>
                <w:color w:val="auto"/>
              </w:rPr>
              <w:t>Maturity</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Due at</w:t>
            </w:r>
          </w:p>
        </w:tc>
        <w:tc>
          <w:tcPr>
            <w:tcW w:w="1180" w:type="dxa"/>
            <w:vAlign w:val="bottom"/>
          </w:tcPr>
          <w:p>
            <w:pPr>
              <w:jc w:val="right"/>
              <w:ind w:right="184"/>
              <w:spacing w:after="0"/>
              <w:rPr>
                <w:sz w:val="20"/>
                <w:szCs w:val="20"/>
                <w:color w:val="auto"/>
              </w:rPr>
            </w:pPr>
            <w:r>
              <w:rPr>
                <w:rFonts w:ascii="Arial" w:cs="Arial" w:eastAsia="Arial" w:hAnsi="Arial"/>
                <w:sz w:val="7"/>
                <w:szCs w:val="7"/>
                <w:b w:val="1"/>
                <w:bCs w:val="1"/>
                <w:color w:val="auto"/>
              </w:rPr>
              <w:t>Right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Earliest</w:t>
            </w:r>
          </w:p>
        </w:tc>
      </w:tr>
      <w:tr>
        <w:trPr>
          <w:trHeight w:val="225"/>
        </w:trPr>
        <w:tc>
          <w:tcPr>
            <w:tcW w:w="216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Fixed rate debt</w:t>
            </w:r>
          </w:p>
        </w:tc>
        <w:tc>
          <w:tcPr>
            <w:tcW w:w="1720" w:type="dxa"/>
            <w:vAlign w:val="bottom"/>
            <w:tcBorders>
              <w:bottom w:val="single" w:sz="8" w:color="auto"/>
            </w:tcBorders>
          </w:tcPr>
          <w:p>
            <w:pPr>
              <w:jc w:val="right"/>
              <w:ind w:right="264"/>
              <w:spacing w:after="0"/>
              <w:rPr>
                <w:sz w:val="20"/>
                <w:szCs w:val="20"/>
                <w:color w:val="auto"/>
              </w:rPr>
            </w:pPr>
            <w:r>
              <w:rPr>
                <w:rFonts w:ascii="Arial" w:cs="Arial" w:eastAsia="Arial" w:hAnsi="Arial"/>
                <w:sz w:val="7"/>
                <w:szCs w:val="7"/>
                <w:b w:val="1"/>
                <w:bCs w:val="1"/>
                <w:color w:val="auto"/>
              </w:rPr>
              <w:t>Interest (%)</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6/30/2016</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7"/>
                <w:szCs w:val="7"/>
                <w:b w:val="1"/>
                <w:bCs w:val="1"/>
                <w:color w:val="auto"/>
              </w:rPr>
              <w:t xml:space="preserve">Coupon </w:t>
            </w:r>
            <w:r>
              <w:rPr>
                <w:rFonts w:ascii="Arial" w:cs="Arial" w:eastAsia="Arial" w:hAnsi="Arial"/>
                <w:sz w:val="6"/>
                <w:szCs w:val="6"/>
                <w:b w:val="1"/>
                <w:bCs w:val="1"/>
                <w:color w:val="auto"/>
              </w:rPr>
              <w:t>(1)</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Amortization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Date</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Maturity</w:t>
            </w:r>
          </w:p>
        </w:tc>
        <w:tc>
          <w:tcPr>
            <w:tcW w:w="118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b w:val="1"/>
                <w:bCs w:val="1"/>
                <w:color w:val="auto"/>
              </w:rPr>
              <w:t>Extension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Prepayment</w:t>
            </w:r>
          </w:p>
        </w:tc>
      </w:tr>
      <w:tr>
        <w:trPr>
          <w:trHeight w:val="203"/>
        </w:trPr>
        <w:tc>
          <w:tcPr>
            <w:tcW w:w="2160" w:type="dxa"/>
            <w:vAlign w:val="bottom"/>
            <w:gridSpan w:val="3"/>
          </w:tcPr>
          <w:p>
            <w:pPr>
              <w:ind w:left="20"/>
              <w:spacing w:after="0"/>
              <w:rPr>
                <w:sz w:val="20"/>
                <w:szCs w:val="20"/>
                <w:color w:val="auto"/>
              </w:rPr>
            </w:pPr>
            <w:r>
              <w:rPr>
                <w:rFonts w:ascii="Arial" w:cs="Arial" w:eastAsia="Arial" w:hAnsi="Arial"/>
                <w:sz w:val="7"/>
                <w:szCs w:val="7"/>
                <w:b w:val="1"/>
                <w:bCs w:val="1"/>
                <w:color w:val="auto"/>
              </w:rPr>
              <w:t>Secured fixed rate debt</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1-6 Landmark Square</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78,681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4.00%</w:t>
            </w:r>
          </w:p>
        </w:tc>
        <w:tc>
          <w:tcPr>
            <w:tcW w:w="180" w:type="dxa"/>
            <w:vAlign w:val="bottom"/>
          </w:tcPr>
          <w:p>
            <w:pPr>
              <w:spacing w:after="0"/>
              <w:rPr>
                <w:sz w:val="19"/>
                <w:szCs w:val="19"/>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color w:val="auto"/>
              </w:rPr>
              <w:t>1,626</w:t>
            </w:r>
          </w:p>
        </w:tc>
        <w:tc>
          <w:tcPr>
            <w:tcW w:w="940" w:type="dxa"/>
            <w:vAlign w:val="bottom"/>
          </w:tcPr>
          <w:p>
            <w:pPr>
              <w:jc w:val="right"/>
              <w:spacing w:after="0"/>
              <w:rPr>
                <w:sz w:val="20"/>
                <w:szCs w:val="20"/>
                <w:color w:val="auto"/>
              </w:rPr>
            </w:pPr>
            <w:r>
              <w:rPr>
                <w:rFonts w:ascii="Arial" w:cs="Arial" w:eastAsia="Arial" w:hAnsi="Arial"/>
                <w:sz w:val="7"/>
                <w:szCs w:val="7"/>
                <w:color w:val="auto"/>
              </w:rPr>
              <w:t>Dec-16</w:t>
            </w:r>
          </w:p>
        </w:tc>
        <w:tc>
          <w:tcPr>
            <w:tcW w:w="4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60" w:type="dxa"/>
            <w:vAlign w:val="bottom"/>
          </w:tcPr>
          <w:p>
            <w:pPr>
              <w:jc w:val="right"/>
              <w:spacing w:after="0"/>
              <w:rPr>
                <w:sz w:val="20"/>
                <w:szCs w:val="20"/>
                <w:color w:val="auto"/>
              </w:rPr>
            </w:pPr>
            <w:r>
              <w:rPr>
                <w:rFonts w:ascii="Arial" w:cs="Arial" w:eastAsia="Arial" w:hAnsi="Arial"/>
                <w:sz w:val="7"/>
                <w:szCs w:val="7"/>
                <w:color w:val="auto"/>
              </w:rPr>
              <w:t>77,936</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20"/>
        </w:trPr>
        <w:tc>
          <w:tcPr>
            <w:tcW w:w="240" w:type="dxa"/>
            <w:vAlign w:val="bottom"/>
          </w:tcPr>
          <w:p>
            <w:pPr>
              <w:spacing w:after="0"/>
              <w:rPr>
                <w:sz w:val="10"/>
                <w:szCs w:val="10"/>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FHLB Facility</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0"/>
                <w:szCs w:val="10"/>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105,000</w:t>
            </w:r>
          </w:p>
        </w:tc>
        <w:tc>
          <w:tcPr>
            <w:tcW w:w="2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1.03%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Jan-17</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105,000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317"/>
        </w:trPr>
        <w:tc>
          <w:tcPr>
            <w:tcW w:w="2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FHLB Facility</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24"/>
                <w:szCs w:val="24"/>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100,000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0.80%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Jan-17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100,000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485</w:t>
            </w:r>
          </w:p>
        </w:tc>
        <w:tc>
          <w:tcPr>
            <w:tcW w:w="1780" w:type="dxa"/>
            <w:vAlign w:val="bottom"/>
          </w:tcPr>
          <w:p>
            <w:pPr>
              <w:spacing w:after="0"/>
              <w:rPr>
                <w:sz w:val="20"/>
                <w:szCs w:val="20"/>
                <w:color w:val="auto"/>
              </w:rPr>
            </w:pPr>
            <w:r>
              <w:rPr>
                <w:rFonts w:ascii="Arial" w:cs="Arial" w:eastAsia="Arial" w:hAnsi="Arial"/>
                <w:sz w:val="7"/>
                <w:szCs w:val="7"/>
                <w:color w:val="auto"/>
              </w:rPr>
              <w:t>Lexington Avenue</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450,000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5.61%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Feb-17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450,000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762</w:t>
            </w:r>
          </w:p>
        </w:tc>
        <w:tc>
          <w:tcPr>
            <w:tcW w:w="1780" w:type="dxa"/>
            <w:vAlign w:val="bottom"/>
          </w:tcPr>
          <w:p>
            <w:pPr>
              <w:spacing w:after="0"/>
              <w:rPr>
                <w:sz w:val="20"/>
                <w:szCs w:val="20"/>
                <w:color w:val="auto"/>
              </w:rPr>
            </w:pPr>
            <w:r>
              <w:rPr>
                <w:rFonts w:ascii="Arial" w:cs="Arial" w:eastAsia="Arial" w:hAnsi="Arial"/>
                <w:sz w:val="7"/>
                <w:szCs w:val="7"/>
                <w:color w:val="auto"/>
              </w:rPr>
              <w:t>Madison Avenue (swapped)</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90.0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7,784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178</w:t>
            </w:r>
          </w:p>
        </w:tc>
        <w:tc>
          <w:tcPr>
            <w:tcW w:w="940" w:type="dxa"/>
            <w:vAlign w:val="bottom"/>
          </w:tcPr>
          <w:p>
            <w:pPr>
              <w:jc w:val="right"/>
              <w:spacing w:after="0"/>
              <w:rPr>
                <w:sz w:val="20"/>
                <w:szCs w:val="20"/>
                <w:color w:val="auto"/>
              </w:rPr>
            </w:pPr>
            <w:r>
              <w:rPr>
                <w:rFonts w:ascii="Arial" w:cs="Arial" w:eastAsia="Arial" w:hAnsi="Arial"/>
                <w:sz w:val="7"/>
                <w:szCs w:val="7"/>
                <w:color w:val="auto"/>
              </w:rPr>
              <w:t>Feb-17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7,679</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1 Madison Avenue</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530,876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5.91%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25,010</w:t>
            </w:r>
          </w:p>
        </w:tc>
        <w:tc>
          <w:tcPr>
            <w:tcW w:w="940" w:type="dxa"/>
            <w:vAlign w:val="bottom"/>
          </w:tcPr>
          <w:p>
            <w:pPr>
              <w:jc w:val="right"/>
              <w:spacing w:after="0"/>
              <w:rPr>
                <w:sz w:val="20"/>
                <w:szCs w:val="20"/>
                <w:color w:val="auto"/>
              </w:rPr>
            </w:pPr>
            <w:r>
              <w:rPr>
                <w:rFonts w:ascii="Arial" w:cs="Arial" w:eastAsia="Arial" w:hAnsi="Arial"/>
                <w:sz w:val="7"/>
                <w:szCs w:val="7"/>
                <w:color w:val="auto"/>
              </w:rPr>
              <w:t>May-20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404,531</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100</w:t>
            </w:r>
          </w:p>
        </w:tc>
        <w:tc>
          <w:tcPr>
            <w:tcW w:w="1780" w:type="dxa"/>
            <w:vAlign w:val="bottom"/>
          </w:tcPr>
          <w:p>
            <w:pPr>
              <w:spacing w:after="0"/>
              <w:rPr>
                <w:sz w:val="20"/>
                <w:szCs w:val="20"/>
                <w:color w:val="auto"/>
              </w:rPr>
            </w:pPr>
            <w:r>
              <w:rPr>
                <w:rFonts w:ascii="Arial" w:cs="Arial" w:eastAsia="Arial" w:hAnsi="Arial"/>
                <w:sz w:val="7"/>
                <w:szCs w:val="7"/>
                <w:color w:val="auto"/>
              </w:rPr>
              <w:t>Church Street</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223,294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3,653</w:t>
            </w:r>
          </w:p>
        </w:tc>
        <w:tc>
          <w:tcPr>
            <w:tcW w:w="940" w:type="dxa"/>
            <w:vAlign w:val="bottom"/>
          </w:tcPr>
          <w:p>
            <w:pPr>
              <w:jc w:val="right"/>
              <w:spacing w:after="0"/>
              <w:rPr>
                <w:sz w:val="20"/>
                <w:szCs w:val="20"/>
                <w:color w:val="auto"/>
              </w:rPr>
            </w:pPr>
            <w:r>
              <w:rPr>
                <w:rFonts w:ascii="Arial" w:cs="Arial" w:eastAsia="Arial" w:hAnsi="Arial"/>
                <w:sz w:val="7"/>
                <w:szCs w:val="7"/>
                <w:color w:val="auto"/>
              </w:rPr>
              <w:t>Jul-22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197,784</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919</w:t>
            </w:r>
          </w:p>
        </w:tc>
        <w:tc>
          <w:tcPr>
            <w:tcW w:w="1780" w:type="dxa"/>
            <w:vAlign w:val="bottom"/>
          </w:tcPr>
          <w:p>
            <w:pPr>
              <w:spacing w:after="0"/>
              <w:rPr>
                <w:sz w:val="20"/>
                <w:szCs w:val="20"/>
                <w:color w:val="auto"/>
              </w:rPr>
            </w:pPr>
            <w:r>
              <w:rPr>
                <w:rFonts w:ascii="Arial" w:cs="Arial" w:eastAsia="Arial" w:hAnsi="Arial"/>
                <w:sz w:val="7"/>
                <w:szCs w:val="7"/>
                <w:color w:val="auto"/>
              </w:rPr>
              <w:t>Third Avenue</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51.0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500,000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5.12%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3,566</w:t>
            </w:r>
          </w:p>
        </w:tc>
        <w:tc>
          <w:tcPr>
            <w:tcW w:w="940" w:type="dxa"/>
            <w:vAlign w:val="bottom"/>
          </w:tcPr>
          <w:p>
            <w:pPr>
              <w:jc w:val="right"/>
              <w:spacing w:after="0"/>
              <w:rPr>
                <w:sz w:val="20"/>
                <w:szCs w:val="20"/>
                <w:color w:val="auto"/>
              </w:rPr>
            </w:pPr>
            <w:r>
              <w:rPr>
                <w:rFonts w:ascii="Arial" w:cs="Arial" w:eastAsia="Arial" w:hAnsi="Arial"/>
                <w:sz w:val="7"/>
                <w:szCs w:val="7"/>
                <w:color w:val="auto"/>
              </w:rPr>
              <w:t>Jun-23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441,594</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400</w:t>
            </w:r>
          </w:p>
        </w:tc>
        <w:tc>
          <w:tcPr>
            <w:tcW w:w="1780" w:type="dxa"/>
            <w:vAlign w:val="bottom"/>
          </w:tcPr>
          <w:p>
            <w:pPr>
              <w:spacing w:after="0"/>
              <w:rPr>
                <w:sz w:val="20"/>
                <w:szCs w:val="20"/>
                <w:color w:val="auto"/>
              </w:rPr>
            </w:pPr>
            <w:r>
              <w:rPr>
                <w:rFonts w:ascii="Arial" w:cs="Arial" w:eastAsia="Arial" w:hAnsi="Arial"/>
                <w:sz w:val="7"/>
                <w:szCs w:val="7"/>
                <w:color w:val="auto"/>
              </w:rPr>
              <w:t>East 57th Street</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90.0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66,998</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1,194</w:t>
            </w:r>
          </w:p>
        </w:tc>
        <w:tc>
          <w:tcPr>
            <w:tcW w:w="940" w:type="dxa"/>
            <w:vAlign w:val="bottom"/>
          </w:tcPr>
          <w:p>
            <w:pPr>
              <w:jc w:val="right"/>
              <w:spacing w:after="0"/>
              <w:rPr>
                <w:sz w:val="20"/>
                <w:szCs w:val="20"/>
                <w:color w:val="auto"/>
              </w:rPr>
            </w:pPr>
            <w:r>
              <w:rPr>
                <w:rFonts w:ascii="Arial" w:cs="Arial" w:eastAsia="Arial" w:hAnsi="Arial"/>
                <w:sz w:val="7"/>
                <w:szCs w:val="7"/>
                <w:color w:val="auto"/>
              </w:rPr>
              <w:t>Feb-24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48,588</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400</w:t>
            </w:r>
          </w:p>
        </w:tc>
        <w:tc>
          <w:tcPr>
            <w:tcW w:w="1780" w:type="dxa"/>
            <w:vAlign w:val="bottom"/>
          </w:tcPr>
          <w:p>
            <w:pPr>
              <w:spacing w:after="0"/>
              <w:rPr>
                <w:sz w:val="20"/>
                <w:szCs w:val="20"/>
                <w:color w:val="auto"/>
              </w:rPr>
            </w:pPr>
            <w:r>
              <w:rPr>
                <w:rFonts w:ascii="Arial" w:cs="Arial" w:eastAsia="Arial" w:hAnsi="Arial"/>
                <w:sz w:val="7"/>
                <w:szCs w:val="7"/>
                <w:color w:val="auto"/>
              </w:rPr>
              <w:t>East 58th Street</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90.0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28,713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512</w:t>
            </w:r>
          </w:p>
        </w:tc>
        <w:tc>
          <w:tcPr>
            <w:tcW w:w="940" w:type="dxa"/>
            <w:vAlign w:val="bottom"/>
          </w:tcPr>
          <w:p>
            <w:pPr>
              <w:jc w:val="right"/>
              <w:spacing w:after="0"/>
              <w:rPr>
                <w:sz w:val="20"/>
                <w:szCs w:val="20"/>
                <w:color w:val="auto"/>
              </w:rPr>
            </w:pPr>
            <w:r>
              <w:rPr>
                <w:rFonts w:ascii="Arial" w:cs="Arial" w:eastAsia="Arial" w:hAnsi="Arial"/>
                <w:sz w:val="7"/>
                <w:szCs w:val="7"/>
                <w:color w:val="auto"/>
              </w:rPr>
              <w:t>Feb-24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20,823</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420</w:t>
            </w:r>
          </w:p>
        </w:tc>
        <w:tc>
          <w:tcPr>
            <w:tcW w:w="1780" w:type="dxa"/>
            <w:vAlign w:val="bottom"/>
          </w:tcPr>
          <w:p>
            <w:pPr>
              <w:spacing w:after="0"/>
              <w:rPr>
                <w:sz w:val="20"/>
                <w:szCs w:val="20"/>
                <w:color w:val="auto"/>
              </w:rPr>
            </w:pPr>
            <w:r>
              <w:rPr>
                <w:rFonts w:ascii="Arial" w:cs="Arial" w:eastAsia="Arial" w:hAnsi="Arial"/>
                <w:sz w:val="7"/>
                <w:szCs w:val="7"/>
                <w:color w:val="auto"/>
              </w:rPr>
              <w:t>Lexington Avenue</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300,000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Oct-24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272,749</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Jul-24</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1515 Broadway</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896,248</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11,469</w:t>
            </w:r>
          </w:p>
        </w:tc>
        <w:tc>
          <w:tcPr>
            <w:tcW w:w="940" w:type="dxa"/>
            <w:vAlign w:val="bottom"/>
          </w:tcPr>
          <w:p>
            <w:pPr>
              <w:jc w:val="right"/>
              <w:spacing w:after="0"/>
              <w:rPr>
                <w:sz w:val="20"/>
                <w:szCs w:val="20"/>
                <w:color w:val="auto"/>
              </w:rPr>
            </w:pPr>
            <w:r>
              <w:rPr>
                <w:rFonts w:ascii="Arial" w:cs="Arial" w:eastAsia="Arial" w:hAnsi="Arial"/>
                <w:sz w:val="7"/>
                <w:szCs w:val="7"/>
                <w:color w:val="auto"/>
              </w:rPr>
              <w:t>Mar-25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737,436</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25"/>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11 Madison Avenue</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1,400,000</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3.84%</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Sep-25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1,400,000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Mar-25</w:t>
            </w:r>
          </w:p>
        </w:tc>
      </w:tr>
      <w:tr>
        <w:trPr>
          <w:trHeight w:val="192"/>
        </w:trPr>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4,687,594</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4.33%</w:t>
            </w:r>
          </w:p>
        </w:tc>
        <w:tc>
          <w:tcPr>
            <w:tcW w:w="180" w:type="dxa"/>
            <w:vAlign w:val="bottom"/>
          </w:tcPr>
          <w:p>
            <w:pPr>
              <w:spacing w:after="0"/>
              <w:rPr>
                <w:sz w:val="16"/>
                <w:szCs w:val="16"/>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47,208</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4,264,120</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2160" w:type="dxa"/>
            <w:vAlign w:val="bottom"/>
            <w:gridSpan w:val="3"/>
          </w:tcPr>
          <w:p>
            <w:pPr>
              <w:ind w:left="20"/>
              <w:spacing w:after="0"/>
              <w:rPr>
                <w:sz w:val="20"/>
                <w:szCs w:val="20"/>
                <w:color w:val="auto"/>
              </w:rPr>
            </w:pPr>
            <w:r>
              <w:rPr>
                <w:rFonts w:ascii="Arial" w:cs="Arial" w:eastAsia="Arial" w:hAnsi="Arial"/>
                <w:sz w:val="7"/>
                <w:szCs w:val="7"/>
                <w:b w:val="1"/>
                <w:bCs w:val="1"/>
                <w:color w:val="auto"/>
              </w:rPr>
              <w:t>Unsecured fixed rate debt</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Convertible notes</w:t>
            </w:r>
          </w:p>
        </w:tc>
        <w:tc>
          <w:tcPr>
            <w:tcW w:w="1720" w:type="dxa"/>
            <w:vAlign w:val="bottom"/>
          </w:tcPr>
          <w:p>
            <w:pPr>
              <w:spacing w:after="0"/>
              <w:rPr>
                <w:sz w:val="19"/>
                <w:szCs w:val="19"/>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327,489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3.00%</w:t>
            </w:r>
          </w:p>
        </w:tc>
        <w:tc>
          <w:tcPr>
            <w:tcW w:w="180" w:type="dxa"/>
            <w:vAlign w:val="bottom"/>
          </w:tcPr>
          <w:p>
            <w:pPr>
              <w:spacing w:after="0"/>
              <w:rPr>
                <w:sz w:val="19"/>
                <w:szCs w:val="19"/>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Oct-17</w:t>
            </w:r>
          </w:p>
        </w:tc>
        <w:tc>
          <w:tcPr>
            <w:tcW w:w="4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60" w:type="dxa"/>
            <w:vAlign w:val="bottom"/>
          </w:tcPr>
          <w:p>
            <w:pPr>
              <w:jc w:val="right"/>
              <w:spacing w:after="0"/>
              <w:rPr>
                <w:sz w:val="20"/>
                <w:szCs w:val="20"/>
                <w:color w:val="auto"/>
              </w:rPr>
            </w:pPr>
            <w:r>
              <w:rPr>
                <w:rFonts w:ascii="Arial" w:cs="Arial" w:eastAsia="Arial" w:hAnsi="Arial"/>
                <w:sz w:val="7"/>
                <w:szCs w:val="7"/>
                <w:color w:val="auto"/>
              </w:rPr>
              <w:t>345,000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Unsecured loan</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16,000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16,000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Unsecured notes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249,845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Aug-18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250,000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Term loan (swapped)</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500,000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2.34%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Jun-19</w:t>
            </w:r>
          </w:p>
        </w:tc>
        <w:tc>
          <w:tcPr>
            <w:tcW w:w="200" w:type="dxa"/>
            <w:vAlign w:val="bottom"/>
          </w:tcPr>
          <w:p>
            <w:pPr>
              <w:jc w:val="right"/>
              <w:ind w:right="44"/>
              <w:spacing w:after="0"/>
              <w:rPr>
                <w:sz w:val="20"/>
                <w:szCs w:val="20"/>
                <w:color w:val="auto"/>
              </w:rPr>
            </w:pPr>
            <w:r>
              <w:rPr>
                <w:rFonts w:ascii="Arial" w:cs="Arial" w:eastAsia="Arial" w:hAnsi="Arial"/>
                <w:sz w:val="7"/>
                <w:szCs w:val="7"/>
                <w:color w:val="auto"/>
              </w:rPr>
              <w:t>(2)</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500,000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Unsecured notes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250,000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7.75%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Mar-20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250,000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Unsecured notes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200,000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Dec-22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200,000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Unsecured notes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100,000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Dec-25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100,000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Convertible notes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10,008</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Mar-27</w:t>
            </w:r>
          </w:p>
        </w:tc>
        <w:tc>
          <w:tcPr>
            <w:tcW w:w="200" w:type="dxa"/>
            <w:vAlign w:val="bottom"/>
          </w:tcPr>
          <w:p>
            <w:pPr>
              <w:jc w:val="right"/>
              <w:ind w:right="44"/>
              <w:spacing w:after="0"/>
              <w:rPr>
                <w:sz w:val="20"/>
                <w:szCs w:val="20"/>
                <w:color w:val="auto"/>
              </w:rPr>
            </w:pPr>
            <w:r>
              <w:rPr>
                <w:rFonts w:ascii="Arial" w:cs="Arial" w:eastAsia="Arial" w:hAnsi="Arial"/>
                <w:sz w:val="7"/>
                <w:szCs w:val="7"/>
                <w:color w:val="auto"/>
              </w:rPr>
              <w:t>(3)</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10,008</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Mar-17</w:t>
            </w:r>
          </w:p>
        </w:tc>
      </w:tr>
      <w:tr>
        <w:trPr>
          <w:trHeight w:val="225"/>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Series J Preferred Units</w:t>
            </w:r>
          </w:p>
        </w:tc>
        <w:tc>
          <w:tcPr>
            <w:tcW w:w="1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4,000</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3.75%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Apr-51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92"/>
        </w:trPr>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1,657,342</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4.10%</w:t>
            </w:r>
          </w:p>
        </w:tc>
        <w:tc>
          <w:tcPr>
            <w:tcW w:w="180" w:type="dxa"/>
            <w:vAlign w:val="bottom"/>
          </w:tcPr>
          <w:p>
            <w:pPr>
              <w:spacing w:after="0"/>
              <w:rPr>
                <w:sz w:val="16"/>
                <w:szCs w:val="16"/>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1,675,008</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11"/>
        </w:trPr>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86"/>
        </w:trPr>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jc w:val="right"/>
              <w:ind w:right="124"/>
              <w:spacing w:after="0"/>
              <w:rPr>
                <w:sz w:val="20"/>
                <w:szCs w:val="20"/>
                <w:color w:val="auto"/>
              </w:rPr>
            </w:pPr>
            <w:r>
              <w:rPr>
                <w:rFonts w:ascii="Arial" w:cs="Arial" w:eastAsia="Arial" w:hAnsi="Arial"/>
                <w:sz w:val="7"/>
                <w:szCs w:val="7"/>
                <w:b w:val="1"/>
                <w:bCs w:val="1"/>
                <w:color w:val="auto"/>
              </w:rPr>
              <w:t>Total Fixed Rate Debt/Wtd Avg</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6,344,936</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4.27%</w:t>
            </w:r>
          </w:p>
        </w:tc>
        <w:tc>
          <w:tcPr>
            <w:tcW w:w="180" w:type="dxa"/>
            <w:vAlign w:val="bottom"/>
          </w:tcPr>
          <w:p>
            <w:pPr>
              <w:spacing w:after="0"/>
              <w:rPr>
                <w:sz w:val="16"/>
                <w:szCs w:val="16"/>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47,208</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5,939,128</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5"/>
        </w:trPr>
        <w:tc>
          <w:tcPr>
            <w:tcW w:w="216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Floating rate debt</w:t>
            </w:r>
          </w:p>
        </w:tc>
        <w:tc>
          <w:tcPr>
            <w:tcW w:w="1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03"/>
        </w:trPr>
        <w:tc>
          <w:tcPr>
            <w:tcW w:w="2160" w:type="dxa"/>
            <w:vAlign w:val="bottom"/>
            <w:gridSpan w:val="3"/>
          </w:tcPr>
          <w:p>
            <w:pPr>
              <w:ind w:left="20"/>
              <w:spacing w:after="0"/>
              <w:rPr>
                <w:sz w:val="20"/>
                <w:szCs w:val="20"/>
                <w:color w:val="auto"/>
              </w:rPr>
            </w:pPr>
            <w:r>
              <w:rPr>
                <w:rFonts w:ascii="Arial" w:cs="Arial" w:eastAsia="Arial" w:hAnsi="Arial"/>
                <w:sz w:val="7"/>
                <w:szCs w:val="7"/>
                <w:b w:val="1"/>
                <w:bCs w:val="1"/>
                <w:color w:val="auto"/>
              </w:rPr>
              <w:t>Secured floating rate debt</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Debt &amp; preferred equity facility (LIBOR + 310 bps)</w:t>
            </w:r>
          </w:p>
        </w:tc>
        <w:tc>
          <w:tcPr>
            <w:tcW w:w="1720" w:type="dxa"/>
            <w:vAlign w:val="bottom"/>
          </w:tcPr>
          <w:p>
            <w:pPr>
              <w:spacing w:after="0"/>
              <w:rPr>
                <w:sz w:val="19"/>
                <w:szCs w:val="19"/>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134,259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3.57%</w:t>
            </w:r>
          </w:p>
        </w:tc>
        <w:tc>
          <w:tcPr>
            <w:tcW w:w="180" w:type="dxa"/>
            <w:vAlign w:val="bottom"/>
          </w:tcPr>
          <w:p>
            <w:pPr>
              <w:spacing w:after="0"/>
              <w:rPr>
                <w:sz w:val="19"/>
                <w:szCs w:val="19"/>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Jul-16</w:t>
            </w:r>
          </w:p>
        </w:tc>
        <w:tc>
          <w:tcPr>
            <w:tcW w:w="4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60" w:type="dxa"/>
            <w:vAlign w:val="bottom"/>
          </w:tcPr>
          <w:p>
            <w:pPr>
              <w:jc w:val="right"/>
              <w:spacing w:after="0"/>
              <w:rPr>
                <w:sz w:val="20"/>
                <w:szCs w:val="20"/>
                <w:color w:val="auto"/>
              </w:rPr>
            </w:pPr>
            <w:r>
              <w:rPr>
                <w:rFonts w:ascii="Arial" w:cs="Arial" w:eastAsia="Arial" w:hAnsi="Arial"/>
                <w:sz w:val="7"/>
                <w:szCs w:val="7"/>
                <w:color w:val="auto"/>
              </w:rPr>
              <w:t>134,259</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FHLB Facility (LIBOR + 28 bps)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24,000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0.75%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Dec-16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24,000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600</w:t>
            </w:r>
          </w:p>
        </w:tc>
        <w:tc>
          <w:tcPr>
            <w:tcW w:w="1780" w:type="dxa"/>
            <w:vAlign w:val="bottom"/>
          </w:tcPr>
          <w:p>
            <w:pPr>
              <w:spacing w:after="0"/>
              <w:rPr>
                <w:sz w:val="20"/>
                <w:szCs w:val="20"/>
                <w:color w:val="auto"/>
              </w:rPr>
            </w:pPr>
            <w:r>
              <w:rPr>
                <w:rFonts w:ascii="Arial" w:cs="Arial" w:eastAsia="Arial" w:hAnsi="Arial"/>
                <w:sz w:val="7"/>
                <w:szCs w:val="7"/>
                <w:color w:val="auto"/>
              </w:rPr>
              <w:t>Lexington (LIBOR + 200 bps)</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110,857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2.65%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3,810</w:t>
            </w:r>
          </w:p>
        </w:tc>
        <w:tc>
          <w:tcPr>
            <w:tcW w:w="940" w:type="dxa"/>
            <w:vAlign w:val="bottom"/>
          </w:tcPr>
          <w:p>
            <w:pPr>
              <w:jc w:val="right"/>
              <w:spacing w:after="0"/>
              <w:rPr>
                <w:sz w:val="20"/>
                <w:szCs w:val="20"/>
                <w:color w:val="auto"/>
              </w:rPr>
            </w:pPr>
            <w:r>
              <w:rPr>
                <w:rFonts w:ascii="Arial" w:cs="Arial" w:eastAsia="Arial" w:hAnsi="Arial"/>
                <w:sz w:val="7"/>
                <w:szCs w:val="7"/>
                <w:color w:val="auto"/>
              </w:rPr>
              <w:t>Oct-17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106,219</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719</w:t>
            </w:r>
          </w:p>
        </w:tc>
        <w:tc>
          <w:tcPr>
            <w:tcW w:w="1780" w:type="dxa"/>
            <w:vAlign w:val="bottom"/>
          </w:tcPr>
          <w:p>
            <w:pPr>
              <w:spacing w:after="0"/>
              <w:rPr>
                <w:sz w:val="20"/>
                <w:szCs w:val="20"/>
                <w:color w:val="auto"/>
              </w:rPr>
            </w:pPr>
            <w:r>
              <w:rPr>
                <w:rFonts w:ascii="Arial" w:cs="Arial" w:eastAsia="Arial" w:hAnsi="Arial"/>
                <w:sz w:val="7"/>
                <w:szCs w:val="7"/>
                <w:color w:val="auto"/>
              </w:rPr>
              <w:t>Seventh Avenue (LIBOR + 305 bps)</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75.0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27,514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Feb-18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27,514</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187</w:t>
            </w:r>
          </w:p>
        </w:tc>
        <w:tc>
          <w:tcPr>
            <w:tcW w:w="1780" w:type="dxa"/>
            <w:vAlign w:val="bottom"/>
          </w:tcPr>
          <w:p>
            <w:pPr>
              <w:spacing w:after="0"/>
              <w:rPr>
                <w:sz w:val="20"/>
                <w:szCs w:val="20"/>
                <w:color w:val="auto"/>
              </w:rPr>
            </w:pPr>
            <w:r>
              <w:rPr>
                <w:rFonts w:ascii="Arial" w:cs="Arial" w:eastAsia="Arial" w:hAnsi="Arial"/>
                <w:sz w:val="7"/>
                <w:szCs w:val="7"/>
                <w:color w:val="auto"/>
              </w:rPr>
              <w:t>Broadway &amp; 5-7 Dey Street (LIBOR + 269.5 bps)</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58,000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May-18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58,000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1080 Amsterdam (LIBOR + 375 bps)</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92.5</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3,525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Nov-18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3,525</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25"/>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220</w:t>
            </w:r>
          </w:p>
        </w:tc>
        <w:tc>
          <w:tcPr>
            <w:tcW w:w="1780" w:type="dxa"/>
            <w:vAlign w:val="bottom"/>
          </w:tcPr>
          <w:p>
            <w:pPr>
              <w:spacing w:after="0"/>
              <w:rPr>
                <w:sz w:val="20"/>
                <w:szCs w:val="20"/>
                <w:color w:val="auto"/>
              </w:rPr>
            </w:pPr>
            <w:r>
              <w:rPr>
                <w:rFonts w:ascii="Arial" w:cs="Arial" w:eastAsia="Arial" w:hAnsi="Arial"/>
                <w:sz w:val="7"/>
                <w:szCs w:val="7"/>
                <w:color w:val="auto"/>
              </w:rPr>
              <w:t>East 42nd St. (LIBOR + 160 bps)</w:t>
            </w:r>
          </w:p>
        </w:tc>
        <w:tc>
          <w:tcPr>
            <w:tcW w:w="172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275,000</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2.07%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Oct-20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275,000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92"/>
        </w:trPr>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633,155</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2.61%</w:t>
            </w:r>
          </w:p>
        </w:tc>
        <w:tc>
          <w:tcPr>
            <w:tcW w:w="180" w:type="dxa"/>
            <w:vAlign w:val="bottom"/>
          </w:tcPr>
          <w:p>
            <w:pPr>
              <w:spacing w:after="0"/>
              <w:rPr>
                <w:sz w:val="16"/>
                <w:szCs w:val="16"/>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3,810</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628,517</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2160" w:type="dxa"/>
            <w:vAlign w:val="bottom"/>
            <w:gridSpan w:val="3"/>
          </w:tcPr>
          <w:p>
            <w:pPr>
              <w:ind w:left="20"/>
              <w:spacing w:after="0"/>
              <w:rPr>
                <w:sz w:val="20"/>
                <w:szCs w:val="20"/>
                <w:color w:val="auto"/>
              </w:rPr>
            </w:pPr>
            <w:r>
              <w:rPr>
                <w:rFonts w:ascii="Arial" w:cs="Arial" w:eastAsia="Arial" w:hAnsi="Arial"/>
                <w:sz w:val="7"/>
                <w:szCs w:val="7"/>
                <w:b w:val="1"/>
                <w:bCs w:val="1"/>
                <w:color w:val="auto"/>
              </w:rPr>
              <w:t>Unsecured floating rate debt</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Revolving credit facility (LIBOR + 125 bps)</w:t>
            </w:r>
          </w:p>
        </w:tc>
        <w:tc>
          <w:tcPr>
            <w:tcW w:w="1720" w:type="dxa"/>
            <w:vAlign w:val="bottom"/>
          </w:tcPr>
          <w:p>
            <w:pPr>
              <w:spacing w:after="0"/>
              <w:rPr>
                <w:sz w:val="19"/>
                <w:szCs w:val="19"/>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285,000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1.72%</w:t>
            </w:r>
          </w:p>
        </w:tc>
        <w:tc>
          <w:tcPr>
            <w:tcW w:w="180" w:type="dxa"/>
            <w:vAlign w:val="bottom"/>
          </w:tcPr>
          <w:p>
            <w:pPr>
              <w:spacing w:after="0"/>
              <w:rPr>
                <w:sz w:val="19"/>
                <w:szCs w:val="19"/>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Mar-19</w:t>
            </w:r>
          </w:p>
        </w:tc>
        <w:tc>
          <w:tcPr>
            <w:tcW w:w="4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60" w:type="dxa"/>
            <w:vAlign w:val="bottom"/>
          </w:tcPr>
          <w:p>
            <w:pPr>
              <w:jc w:val="right"/>
              <w:spacing w:after="0"/>
              <w:rPr>
                <w:sz w:val="20"/>
                <w:szCs w:val="20"/>
                <w:color w:val="auto"/>
              </w:rPr>
            </w:pPr>
            <w:r>
              <w:rPr>
                <w:rFonts w:ascii="Arial" w:cs="Arial" w:eastAsia="Arial" w:hAnsi="Arial"/>
                <w:sz w:val="7"/>
                <w:szCs w:val="7"/>
                <w:color w:val="auto"/>
              </w:rPr>
              <w:t>285,000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Mar-20</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7"/>
                <w:szCs w:val="7"/>
                <w:color w:val="auto"/>
              </w:rPr>
              <w:t>Term loan (LIBOR + 140 bps)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433,000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Jun-19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433,000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25"/>
        </w:trPr>
        <w:tc>
          <w:tcPr>
            <w:tcW w:w="24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7"/>
                <w:szCs w:val="7"/>
                <w:color w:val="auto"/>
              </w:rPr>
              <w:t>Junior subordinated deferrable interest debentures (LIBOR + 125 bps)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100,000</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Jul-35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100,000</w:t>
            </w:r>
          </w:p>
        </w:tc>
        <w:tc>
          <w:tcPr>
            <w:tcW w:w="118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92"/>
        </w:trPr>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818,000</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1.82%</w:t>
            </w:r>
          </w:p>
        </w:tc>
        <w:tc>
          <w:tcPr>
            <w:tcW w:w="180" w:type="dxa"/>
            <w:vAlign w:val="bottom"/>
          </w:tcPr>
          <w:p>
            <w:pPr>
              <w:spacing w:after="0"/>
              <w:rPr>
                <w:sz w:val="16"/>
                <w:szCs w:val="16"/>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818,000</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11"/>
        </w:trPr>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86"/>
        </w:trPr>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jc w:val="right"/>
              <w:ind w:right="124"/>
              <w:spacing w:after="0"/>
              <w:rPr>
                <w:sz w:val="20"/>
                <w:szCs w:val="20"/>
                <w:color w:val="auto"/>
              </w:rPr>
            </w:pPr>
            <w:r>
              <w:rPr>
                <w:rFonts w:ascii="Arial" w:cs="Arial" w:eastAsia="Arial" w:hAnsi="Arial"/>
                <w:sz w:val="7"/>
                <w:szCs w:val="7"/>
                <w:b w:val="1"/>
                <w:bCs w:val="1"/>
                <w:color w:val="auto"/>
              </w:rPr>
              <w:t>Total Floating Rate Debt/Wtd Avg</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1,451,155</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2.16%</w:t>
            </w:r>
          </w:p>
        </w:tc>
        <w:tc>
          <w:tcPr>
            <w:tcW w:w="180" w:type="dxa"/>
            <w:vAlign w:val="bottom"/>
          </w:tcPr>
          <w:p>
            <w:pPr>
              <w:spacing w:after="0"/>
              <w:rPr>
                <w:sz w:val="16"/>
                <w:szCs w:val="16"/>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3,810</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1,446,517</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11"/>
        </w:trPr>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86"/>
        </w:trPr>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jc w:val="right"/>
              <w:ind w:right="124"/>
              <w:spacing w:after="0"/>
              <w:rPr>
                <w:sz w:val="20"/>
                <w:szCs w:val="20"/>
                <w:color w:val="auto"/>
              </w:rPr>
            </w:pPr>
            <w:r>
              <w:rPr>
                <w:rFonts w:ascii="Arial" w:cs="Arial" w:eastAsia="Arial" w:hAnsi="Arial"/>
                <w:sz w:val="7"/>
                <w:szCs w:val="7"/>
                <w:b w:val="1"/>
                <w:bCs w:val="1"/>
                <w:color w:val="auto"/>
              </w:rPr>
              <w:t>Total Debt/Wtd Avg - Consolidated</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7,796,091</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3.88%</w:t>
            </w:r>
          </w:p>
        </w:tc>
        <w:tc>
          <w:tcPr>
            <w:tcW w:w="180" w:type="dxa"/>
            <w:vAlign w:val="bottom"/>
          </w:tcPr>
          <w:p>
            <w:pPr>
              <w:spacing w:after="0"/>
              <w:rPr>
                <w:sz w:val="16"/>
                <w:szCs w:val="16"/>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51,018</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7,385,645</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20" w:type="dxa"/>
            <w:vAlign w:val="bottom"/>
          </w:tcPr>
          <w:p>
            <w:pPr>
              <w:jc w:val="right"/>
              <w:ind w:right="124"/>
              <w:spacing w:after="0"/>
              <w:rPr>
                <w:sz w:val="20"/>
                <w:szCs w:val="20"/>
                <w:color w:val="auto"/>
              </w:rPr>
            </w:pPr>
            <w:r>
              <w:rPr>
                <w:rFonts w:ascii="Arial" w:cs="Arial" w:eastAsia="Arial" w:hAnsi="Arial"/>
                <w:sz w:val="7"/>
                <w:szCs w:val="7"/>
                <w:color w:val="auto"/>
              </w:rPr>
              <w:t>885 Third Avenue (4)</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267,650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6.26%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20" w:type="dxa"/>
            <w:vAlign w:val="bottom"/>
          </w:tcPr>
          <w:p>
            <w:pPr>
              <w:jc w:val="right"/>
              <w:ind w:right="124"/>
              <w:spacing w:after="0"/>
              <w:rPr>
                <w:sz w:val="20"/>
                <w:szCs w:val="20"/>
                <w:color w:val="auto"/>
              </w:rPr>
            </w:pPr>
            <w:r>
              <w:rPr>
                <w:rFonts w:ascii="Arial" w:cs="Arial" w:eastAsia="Arial" w:hAnsi="Arial"/>
                <w:sz w:val="7"/>
                <w:szCs w:val="7"/>
                <w:color w:val="auto"/>
              </w:rPr>
              <w:t>Deferred financing costs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(101,521)</w:t>
            </w: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92"/>
        </w:trPr>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jc w:val="right"/>
              <w:ind w:right="124"/>
              <w:spacing w:after="0"/>
              <w:rPr>
                <w:sz w:val="20"/>
                <w:szCs w:val="20"/>
                <w:color w:val="auto"/>
              </w:rPr>
            </w:pPr>
            <w:r>
              <w:rPr>
                <w:rFonts w:ascii="Arial" w:cs="Arial" w:eastAsia="Arial" w:hAnsi="Arial"/>
                <w:sz w:val="7"/>
                <w:szCs w:val="7"/>
                <w:b w:val="1"/>
                <w:bCs w:val="1"/>
                <w:color w:val="auto"/>
              </w:rPr>
              <w:t>Total Debt/Wtd Avg - Consolidated, net</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7,962,220</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3.95%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17"/>
        </w:trPr>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jc w:val="right"/>
              <w:ind w:right="124"/>
              <w:spacing w:after="0"/>
              <w:rPr>
                <w:sz w:val="20"/>
                <w:szCs w:val="20"/>
                <w:color w:val="auto"/>
              </w:rPr>
            </w:pPr>
            <w:r>
              <w:rPr>
                <w:rFonts w:ascii="Arial" w:cs="Arial" w:eastAsia="Arial" w:hAnsi="Arial"/>
                <w:sz w:val="7"/>
                <w:szCs w:val="7"/>
                <w:b w:val="1"/>
                <w:bCs w:val="1"/>
                <w:color w:val="auto"/>
              </w:rPr>
              <w:t>Total Debt/Wtd Avg - Joint Venture, net</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1,819,430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3.41%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1"/>
        </w:trPr>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97"/>
        </w:trPr>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Total Debt including SLG's share of JV Debt/Wtd Avg</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9,917,873</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3.67%</w:t>
            </w: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5"/>
        </w:trPr>
        <w:tc>
          <w:tcPr>
            <w:tcW w:w="24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7"/>
                <w:szCs w:val="7"/>
                <w:b w:val="1"/>
                <w:bCs w:val="1"/>
                <w:color w:val="auto"/>
              </w:rPr>
              <w:t>Weighted Average Balance &amp; Interest Rate for the quarter, including SLG's share of JV Debt</w:t>
            </w:r>
          </w:p>
        </w:tc>
        <w:tc>
          <w:tcPr>
            <w:tcW w:w="1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14,700,671</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3.81%</w:t>
            </w:r>
          </w:p>
        </w:tc>
        <w:tc>
          <w:tcPr>
            <w:tcW w:w="18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164" w:lineRule="exact"/>
        <w:rPr>
          <w:sz w:val="20"/>
          <w:szCs w:val="20"/>
          <w:color w:val="auto"/>
        </w:rPr>
      </w:pPr>
    </w:p>
    <w:p>
      <w:pPr>
        <w:sectPr>
          <w:pgSz w:w="11900" w:h="16838" w:orient="portrait"/>
          <w:cols w:equalWidth="0" w:num="1">
            <w:col w:w="10100"/>
          </w:cols>
          <w:pgMar w:left="900" w:top="338" w:right="899" w:bottom="1440" w:gutter="0" w:footer="0" w:header="0"/>
        </w:sectPr>
      </w:pPr>
    </w:p>
    <w:p>
      <w:pPr>
        <w:ind w:left="140" w:hanging="102"/>
        <w:spacing w:after="0"/>
        <w:tabs>
          <w:tab w:leader="none" w:pos="140" w:val="left"/>
        </w:tabs>
        <w:numPr>
          <w:ilvl w:val="0"/>
          <w:numId w:val="16"/>
        </w:numPr>
        <w:rPr>
          <w:rFonts w:ascii="Arial" w:cs="Arial" w:eastAsia="Arial" w:hAnsi="Arial"/>
          <w:sz w:val="7"/>
          <w:szCs w:val="7"/>
          <w:color w:val="auto"/>
        </w:rPr>
      </w:pPr>
      <w:r>
        <w:rPr>
          <w:rFonts w:ascii="Arial" w:cs="Arial" w:eastAsia="Arial" w:hAnsi="Arial"/>
          <w:sz w:val="7"/>
          <w:szCs w:val="7"/>
          <w:color w:val="auto"/>
        </w:rPr>
        <w:t>Coupon for floating rate debt determined using the effective LIBOR rate at the end of the quarter. Coupon for loans that are subject to LIBOR floors were determined using the LIBOR floors.</w:t>
      </w:r>
    </w:p>
    <w:p>
      <w:pPr>
        <w:spacing w:after="0" w:line="39" w:lineRule="exact"/>
        <w:rPr>
          <w:rFonts w:ascii="Arial" w:cs="Arial" w:eastAsia="Arial" w:hAnsi="Arial"/>
          <w:sz w:val="7"/>
          <w:szCs w:val="7"/>
          <w:color w:val="auto"/>
        </w:rPr>
      </w:pPr>
    </w:p>
    <w:p>
      <w:pPr>
        <w:ind w:left="140" w:hanging="102"/>
        <w:spacing w:after="0"/>
        <w:tabs>
          <w:tab w:leader="none" w:pos="140" w:val="left"/>
        </w:tabs>
        <w:numPr>
          <w:ilvl w:val="0"/>
          <w:numId w:val="16"/>
        </w:numPr>
        <w:rPr>
          <w:rFonts w:ascii="Arial" w:cs="Arial" w:eastAsia="Arial" w:hAnsi="Arial"/>
          <w:sz w:val="7"/>
          <w:szCs w:val="7"/>
          <w:color w:val="auto"/>
        </w:rPr>
      </w:pPr>
      <w:r>
        <w:rPr>
          <w:rFonts w:ascii="Arial" w:cs="Arial" w:eastAsia="Arial" w:hAnsi="Arial"/>
          <w:sz w:val="7"/>
          <w:szCs w:val="7"/>
          <w:color w:val="auto"/>
        </w:rPr>
        <w:t>The interest rate swap matures in December 2017.</w:t>
      </w:r>
    </w:p>
    <w:p>
      <w:pPr>
        <w:spacing w:after="0" w:line="20" w:lineRule="exact"/>
        <w:rPr>
          <w:sz w:val="20"/>
          <w:szCs w:val="20"/>
          <w:color w:val="auto"/>
        </w:rPr>
      </w:pPr>
      <w:r>
        <w:rPr>
          <w:sz w:val="20"/>
          <w:szCs w:val="20"/>
          <w:color w:val="auto"/>
        </w:rPr>
        <w:br w:type="column"/>
      </w:r>
    </w:p>
    <w:p>
      <w:pPr>
        <w:ind w:left="100" w:hanging="100"/>
        <w:spacing w:after="0"/>
        <w:tabs>
          <w:tab w:leader="none" w:pos="100" w:val="left"/>
        </w:tabs>
        <w:numPr>
          <w:ilvl w:val="0"/>
          <w:numId w:val="17"/>
        </w:numPr>
        <w:rPr>
          <w:rFonts w:ascii="Arial" w:cs="Arial" w:eastAsia="Arial" w:hAnsi="Arial"/>
          <w:sz w:val="7"/>
          <w:szCs w:val="7"/>
          <w:color w:val="auto"/>
        </w:rPr>
      </w:pPr>
      <w:r>
        <w:rPr>
          <w:rFonts w:ascii="Arial" w:cs="Arial" w:eastAsia="Arial" w:hAnsi="Arial"/>
          <w:sz w:val="7"/>
          <w:szCs w:val="7"/>
          <w:color w:val="auto"/>
        </w:rPr>
        <w:t>Notes can be put to the Company, at the option of the holder, on March 30, 2017.</w:t>
      </w:r>
    </w:p>
    <w:p>
      <w:pPr>
        <w:spacing w:after="0" w:line="138" w:lineRule="exact"/>
        <w:rPr>
          <w:rFonts w:ascii="Arial" w:cs="Arial" w:eastAsia="Arial" w:hAnsi="Arial"/>
          <w:sz w:val="7"/>
          <w:szCs w:val="7"/>
          <w:color w:val="auto"/>
        </w:rPr>
      </w:pPr>
    </w:p>
    <w:p>
      <w:pPr>
        <w:ind w:left="100" w:hanging="100"/>
        <w:spacing w:after="0"/>
        <w:tabs>
          <w:tab w:leader="none" w:pos="100" w:val="left"/>
        </w:tabs>
        <w:numPr>
          <w:ilvl w:val="0"/>
          <w:numId w:val="17"/>
        </w:numPr>
        <w:rPr>
          <w:rFonts w:ascii="Arial" w:cs="Arial" w:eastAsia="Arial" w:hAnsi="Arial"/>
          <w:sz w:val="7"/>
          <w:szCs w:val="7"/>
          <w:color w:val="auto"/>
        </w:rPr>
      </w:pPr>
      <w:r>
        <w:rPr>
          <w:rFonts w:ascii="Arial" w:cs="Arial" w:eastAsia="Arial" w:hAnsi="Arial"/>
          <w:sz w:val="7"/>
          <w:szCs w:val="7"/>
          <w:color w:val="auto"/>
        </w:rPr>
        <w:t>885 Third Avenue was sold but did not meet the criteria for sale accounting and, therefore, remains consolidated.</w:t>
      </w:r>
    </w:p>
    <w:p>
      <w:pPr>
        <w:spacing w:after="0" w:line="200" w:lineRule="exact"/>
        <w:rPr>
          <w:sz w:val="20"/>
          <w:szCs w:val="20"/>
          <w:color w:val="auto"/>
        </w:rPr>
      </w:pPr>
    </w:p>
    <w:p>
      <w:pPr>
        <w:sectPr>
          <w:pgSz w:w="11900" w:h="16838" w:orient="portrait"/>
          <w:cols w:equalWidth="0" w:num="2">
            <w:col w:w="6200" w:space="100"/>
            <w:col w:w="3800"/>
          </w:cols>
          <w:pgMar w:left="900" w:top="338" w:right="899" w:bottom="1440" w:gutter="0" w:footer="0" w:header="0"/>
          <w:type w:val="continuous"/>
        </w:sectPr>
      </w:pPr>
    </w:p>
    <w:p>
      <w:pPr>
        <w:spacing w:after="0" w:line="141"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25</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Unconsolidated Joint Ventures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94"/>
        </w:trPr>
        <w:tc>
          <w:tcPr>
            <w:tcW w:w="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gridSpan w:val="5"/>
          </w:tcPr>
          <w:p>
            <w:pPr>
              <w:ind w:left="380"/>
              <w:spacing w:after="0"/>
              <w:rPr>
                <w:sz w:val="20"/>
                <w:szCs w:val="20"/>
                <w:color w:val="auto"/>
              </w:rPr>
            </w:pPr>
            <w:r>
              <w:rPr>
                <w:rFonts w:ascii="Arial" w:cs="Arial" w:eastAsia="Arial" w:hAnsi="Arial"/>
                <w:sz w:val="7"/>
                <w:szCs w:val="7"/>
                <w:b w:val="1"/>
                <w:bCs w:val="1"/>
                <w:color w:val="auto"/>
              </w:rPr>
              <w:t>Principal Outstanding</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2016</w:t>
            </w:r>
          </w:p>
        </w:tc>
        <w:tc>
          <w:tcPr>
            <w:tcW w:w="940" w:type="dxa"/>
            <w:vAlign w:val="bottom"/>
          </w:tcPr>
          <w:p>
            <w:pPr>
              <w:jc w:val="right"/>
              <w:spacing w:after="0"/>
              <w:rPr>
                <w:sz w:val="20"/>
                <w:szCs w:val="20"/>
                <w:color w:val="auto"/>
              </w:rPr>
            </w:pPr>
            <w:r>
              <w:rPr>
                <w:rFonts w:ascii="Arial" w:cs="Arial" w:eastAsia="Arial" w:hAnsi="Arial"/>
                <w:sz w:val="7"/>
                <w:szCs w:val="7"/>
                <w:b w:val="1"/>
                <w:bCs w:val="1"/>
                <w:color w:val="auto"/>
              </w:rPr>
              <w:t>Initial</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b w:val="1"/>
                <w:bCs w:val="1"/>
                <w:color w:val="auto"/>
              </w:rPr>
              <w:t>Principal</w:t>
            </w:r>
          </w:p>
        </w:tc>
        <w:tc>
          <w:tcPr>
            <w:tcW w:w="700" w:type="dxa"/>
            <w:vAlign w:val="bottom"/>
          </w:tcPr>
          <w:p>
            <w:pPr>
              <w:jc w:val="right"/>
              <w:ind w:right="44"/>
              <w:spacing w:after="0"/>
              <w:rPr>
                <w:sz w:val="20"/>
                <w:szCs w:val="20"/>
                <w:color w:val="auto"/>
              </w:rPr>
            </w:pPr>
            <w:r>
              <w:rPr>
                <w:rFonts w:ascii="Arial" w:cs="Arial" w:eastAsia="Arial" w:hAnsi="Arial"/>
                <w:sz w:val="7"/>
                <w:szCs w:val="7"/>
                <w:b w:val="1"/>
                <w:bCs w:val="1"/>
                <w:color w:val="auto"/>
              </w:rPr>
              <w:t>As-Of</w:t>
            </w:r>
          </w:p>
        </w:tc>
        <w:tc>
          <w:tcPr>
            <w:tcW w:w="520" w:type="dxa"/>
            <w:vAlign w:val="bottom"/>
          </w:tcPr>
          <w:p>
            <w:pPr>
              <w:spacing w:after="0"/>
              <w:rPr>
                <w:sz w:val="8"/>
                <w:szCs w:val="8"/>
                <w:color w:val="auto"/>
              </w:rPr>
            </w:pPr>
          </w:p>
        </w:tc>
      </w:tr>
      <w:tr>
        <w:trPr>
          <w:trHeight w:val="225"/>
        </w:trPr>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tcPr>
          <w:p>
            <w:pPr>
              <w:jc w:val="right"/>
              <w:ind w:right="264"/>
              <w:spacing w:after="0"/>
              <w:rPr>
                <w:sz w:val="20"/>
                <w:szCs w:val="20"/>
                <w:color w:val="auto"/>
              </w:rPr>
            </w:pPr>
            <w:r>
              <w:rPr>
                <w:rFonts w:ascii="Arial" w:cs="Arial" w:eastAsia="Arial" w:hAnsi="Arial"/>
                <w:sz w:val="7"/>
                <w:szCs w:val="7"/>
                <w:b w:val="1"/>
                <w:bCs w:val="1"/>
                <w:color w:val="auto"/>
              </w:rPr>
              <w:t>Ownership</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b w:val="1"/>
                <w:bCs w:val="1"/>
                <w:color w:val="auto"/>
              </w:rPr>
              <w:t>6/30/2016</w:t>
            </w: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Principal</w:t>
            </w:r>
          </w:p>
        </w:tc>
        <w:tc>
          <w:tcPr>
            <w:tcW w:w="940" w:type="dxa"/>
            <w:vAlign w:val="bottom"/>
          </w:tcPr>
          <w:p>
            <w:pPr>
              <w:jc w:val="right"/>
              <w:spacing w:after="0"/>
              <w:rPr>
                <w:sz w:val="20"/>
                <w:szCs w:val="20"/>
                <w:color w:val="auto"/>
              </w:rPr>
            </w:pPr>
            <w:r>
              <w:rPr>
                <w:rFonts w:ascii="Arial" w:cs="Arial" w:eastAsia="Arial" w:hAnsi="Arial"/>
                <w:sz w:val="7"/>
                <w:szCs w:val="7"/>
                <w:b w:val="1"/>
                <w:bCs w:val="1"/>
                <w:color w:val="auto"/>
              </w:rPr>
              <w:t>Maturity</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b w:val="1"/>
                <w:bCs w:val="1"/>
                <w:color w:val="auto"/>
              </w:rPr>
              <w:t>Due at</w:t>
            </w:r>
          </w:p>
        </w:tc>
        <w:tc>
          <w:tcPr>
            <w:tcW w:w="700" w:type="dxa"/>
            <w:vAlign w:val="bottom"/>
          </w:tcPr>
          <w:p>
            <w:pPr>
              <w:jc w:val="right"/>
              <w:ind w:right="44"/>
              <w:spacing w:after="0"/>
              <w:rPr>
                <w:sz w:val="20"/>
                <w:szCs w:val="20"/>
                <w:color w:val="auto"/>
              </w:rPr>
            </w:pPr>
            <w:r>
              <w:rPr>
                <w:rFonts w:ascii="Arial" w:cs="Arial" w:eastAsia="Arial" w:hAnsi="Arial"/>
                <w:sz w:val="7"/>
                <w:szCs w:val="7"/>
                <w:b w:val="1"/>
                <w:bCs w:val="1"/>
                <w:color w:val="auto"/>
              </w:rPr>
              <w:t>Right</w:t>
            </w: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Earliest</w:t>
            </w:r>
          </w:p>
        </w:tc>
      </w:tr>
      <w:tr>
        <w:trPr>
          <w:trHeight w:val="209"/>
        </w:trPr>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Fixed rate debt</w:t>
            </w:r>
          </w:p>
        </w:tc>
        <w:tc>
          <w:tcPr>
            <w:tcW w:w="1040" w:type="dxa"/>
            <w:vAlign w:val="bottom"/>
            <w:tcBorders>
              <w:bottom w:val="single" w:sz="8" w:color="auto"/>
            </w:tcBorders>
          </w:tcPr>
          <w:p>
            <w:pPr>
              <w:jc w:val="right"/>
              <w:ind w:right="264"/>
              <w:spacing w:after="0"/>
              <w:rPr>
                <w:sz w:val="20"/>
                <w:szCs w:val="20"/>
                <w:color w:val="auto"/>
              </w:rPr>
            </w:pPr>
            <w:r>
              <w:rPr>
                <w:rFonts w:ascii="Arial" w:cs="Arial" w:eastAsia="Arial" w:hAnsi="Arial"/>
                <w:sz w:val="7"/>
                <w:szCs w:val="7"/>
                <w:b w:val="1"/>
                <w:bCs w:val="1"/>
                <w:color w:val="auto"/>
              </w:rPr>
              <w:t>Interest (%)</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Gross Principal</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7"/>
                <w:szCs w:val="7"/>
                <w:b w:val="1"/>
                <w:bCs w:val="1"/>
                <w:color w:val="auto"/>
              </w:rPr>
              <w:t>SLG Share</w:t>
            </w: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 xml:space="preserve">Coupon </w:t>
            </w:r>
            <w:r>
              <w:rPr>
                <w:rFonts w:ascii="Arial" w:cs="Arial" w:eastAsia="Arial" w:hAnsi="Arial"/>
                <w:sz w:val="6"/>
                <w:szCs w:val="6"/>
                <w:b w:val="1"/>
                <w:bCs w:val="1"/>
                <w:color w:val="auto"/>
              </w:rPr>
              <w:t>(1)</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Amortization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Date</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Maturity</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Extension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Prepayment</w:t>
            </w:r>
          </w:p>
        </w:tc>
      </w:tr>
      <w:tr>
        <w:trPr>
          <w:trHeight w:val="203"/>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1745 Broadway</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56.9</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340,000</w:t>
            </w:r>
          </w:p>
        </w:tc>
        <w:tc>
          <w:tcPr>
            <w:tcW w:w="30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193,358</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5.68%</w:t>
            </w:r>
          </w:p>
        </w:tc>
        <w:tc>
          <w:tcPr>
            <w:tcW w:w="180" w:type="dxa"/>
            <w:vAlign w:val="bottom"/>
          </w:tcPr>
          <w:p>
            <w:pPr>
              <w:spacing w:after="0"/>
              <w:rPr>
                <w:sz w:val="17"/>
                <w:szCs w:val="17"/>
                <w:color w:val="auto"/>
              </w:rPr>
            </w:pPr>
          </w:p>
        </w:tc>
        <w:tc>
          <w:tcPr>
            <w:tcW w:w="1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Jan-17</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193,358</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521</w:t>
            </w:r>
          </w:p>
        </w:tc>
        <w:tc>
          <w:tcPr>
            <w:tcW w:w="1320" w:type="dxa"/>
            <w:vAlign w:val="bottom"/>
          </w:tcPr>
          <w:p>
            <w:pPr>
              <w:spacing w:after="0"/>
              <w:rPr>
                <w:sz w:val="20"/>
                <w:szCs w:val="20"/>
                <w:color w:val="auto"/>
              </w:rPr>
            </w:pPr>
            <w:r>
              <w:rPr>
                <w:rFonts w:ascii="Arial" w:cs="Arial" w:eastAsia="Arial" w:hAnsi="Arial"/>
                <w:sz w:val="7"/>
                <w:szCs w:val="7"/>
                <w:color w:val="auto"/>
              </w:rPr>
              <w:t>Fifth Avenue (swapped)</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50.5</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170,000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85,850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3.73%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Nov-19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85,850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717</w:t>
            </w:r>
          </w:p>
        </w:tc>
        <w:tc>
          <w:tcPr>
            <w:tcW w:w="1320" w:type="dxa"/>
            <w:vAlign w:val="bottom"/>
          </w:tcPr>
          <w:p>
            <w:pPr>
              <w:spacing w:after="0"/>
              <w:rPr>
                <w:sz w:val="20"/>
                <w:szCs w:val="20"/>
                <w:color w:val="auto"/>
              </w:rPr>
            </w:pPr>
            <w:r>
              <w:rPr>
                <w:rFonts w:ascii="Arial" w:cs="Arial" w:eastAsia="Arial" w:hAnsi="Arial"/>
                <w:sz w:val="7"/>
                <w:szCs w:val="7"/>
                <w:color w:val="auto"/>
              </w:rPr>
              <w:t>Fifth Avenue (mortgage)</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10.9</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300,000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32,748</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4.45%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Jul-22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32,748</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717</w:t>
            </w:r>
          </w:p>
        </w:tc>
        <w:tc>
          <w:tcPr>
            <w:tcW w:w="1320" w:type="dxa"/>
            <w:vAlign w:val="bottom"/>
          </w:tcPr>
          <w:p>
            <w:pPr>
              <w:spacing w:after="0"/>
              <w:rPr>
                <w:sz w:val="20"/>
                <w:szCs w:val="20"/>
                <w:color w:val="auto"/>
              </w:rPr>
            </w:pPr>
            <w:r>
              <w:rPr>
                <w:rFonts w:ascii="Arial" w:cs="Arial" w:eastAsia="Arial" w:hAnsi="Arial"/>
                <w:sz w:val="7"/>
                <w:szCs w:val="7"/>
                <w:color w:val="auto"/>
              </w:rPr>
              <w:t>Fifth Avenue (mezzanine)</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10.9</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355,328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38,788</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5.50%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Jul-22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38,788</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21 East 66th Street</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32.3</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12,000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3,874</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3.60%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Apr-23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3,874</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3 Columbus Circle</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48.9</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350,000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171,150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3.61%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Mar-25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171,150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800</w:t>
            </w:r>
          </w:p>
        </w:tc>
        <w:tc>
          <w:tcPr>
            <w:tcW w:w="1320" w:type="dxa"/>
            <w:vAlign w:val="bottom"/>
          </w:tcPr>
          <w:p>
            <w:pPr>
              <w:spacing w:after="0"/>
              <w:rPr>
                <w:sz w:val="20"/>
                <w:szCs w:val="20"/>
                <w:color w:val="auto"/>
              </w:rPr>
            </w:pPr>
            <w:r>
              <w:rPr>
                <w:rFonts w:ascii="Arial" w:cs="Arial" w:eastAsia="Arial" w:hAnsi="Arial"/>
                <w:sz w:val="7"/>
                <w:szCs w:val="7"/>
                <w:color w:val="auto"/>
              </w:rPr>
              <w:t>Third Avenue (swapped)</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60.5</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177,000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107,120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3.17%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Feb-26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107,120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Stonehenge Portfolio</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Various</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364,249</w:t>
            </w:r>
          </w:p>
        </w:tc>
        <w:tc>
          <w:tcPr>
            <w:tcW w:w="180" w:type="dxa"/>
            <w:vAlign w:val="bottom"/>
          </w:tcPr>
          <w:p>
            <w:pPr>
              <w:jc w:val="right"/>
              <w:ind w:right="44"/>
              <w:spacing w:after="0"/>
              <w:rPr>
                <w:sz w:val="20"/>
                <w:szCs w:val="20"/>
                <w:color w:val="auto"/>
              </w:rPr>
            </w:pPr>
            <w:r>
              <w:rPr>
                <w:rFonts w:ascii="Arial" w:cs="Arial" w:eastAsia="Arial" w:hAnsi="Arial"/>
                <w:sz w:val="7"/>
                <w:szCs w:val="7"/>
                <w:color w:val="auto"/>
                <w:w w:val="92"/>
              </w:rPr>
              <w:t>(2)</w:t>
            </w: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20,676</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454</w:t>
            </w:r>
          </w:p>
        </w:tc>
        <w:tc>
          <w:tcPr>
            <w:tcW w:w="940" w:type="dxa"/>
            <w:vAlign w:val="bottom"/>
          </w:tcPr>
          <w:p>
            <w:pPr>
              <w:jc w:val="right"/>
              <w:spacing w:after="0"/>
              <w:rPr>
                <w:sz w:val="20"/>
                <w:szCs w:val="20"/>
                <w:color w:val="auto"/>
              </w:rPr>
            </w:pPr>
            <w:r>
              <w:rPr>
                <w:rFonts w:ascii="Arial" w:cs="Arial" w:eastAsia="Arial" w:hAnsi="Arial"/>
                <w:sz w:val="7"/>
                <w:szCs w:val="7"/>
                <w:color w:val="auto"/>
              </w:rPr>
              <w:t>Various</w:t>
            </w:r>
          </w:p>
        </w:tc>
        <w:tc>
          <w:tcPr>
            <w:tcW w:w="220" w:type="dxa"/>
            <w:vAlign w:val="bottom"/>
          </w:tcPr>
          <w:p>
            <w:pPr>
              <w:jc w:val="right"/>
              <w:ind w:right="84"/>
              <w:spacing w:after="0"/>
              <w:rPr>
                <w:sz w:val="20"/>
                <w:szCs w:val="20"/>
                <w:color w:val="auto"/>
              </w:rPr>
            </w:pPr>
            <w:r>
              <w:rPr>
                <w:rFonts w:ascii="Arial" w:cs="Arial" w:eastAsia="Arial" w:hAnsi="Arial"/>
                <w:sz w:val="7"/>
                <w:szCs w:val="7"/>
                <w:color w:val="auto"/>
                <w:w w:val="92"/>
              </w:rPr>
              <w:t>(2)</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18,716</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11"/>
        </w:trPr>
        <w:tc>
          <w:tcPr>
            <w:tcW w:w="360" w:type="dxa"/>
            <w:vAlign w:val="bottom"/>
          </w:tcPr>
          <w:p>
            <w:pPr>
              <w:spacing w:after="0"/>
              <w:rPr>
                <w:sz w:val="9"/>
                <w:szCs w:val="9"/>
                <w:color w:val="auto"/>
              </w:rPr>
            </w:pPr>
          </w:p>
        </w:tc>
        <w:tc>
          <w:tcPr>
            <w:tcW w:w="236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86"/>
        </w:trPr>
        <w:tc>
          <w:tcPr>
            <w:tcW w:w="360" w:type="dxa"/>
            <w:vAlign w:val="bottom"/>
          </w:tcPr>
          <w:p>
            <w:pPr>
              <w:spacing w:after="0"/>
              <w:rPr>
                <w:sz w:val="16"/>
                <w:szCs w:val="16"/>
                <w:color w:val="auto"/>
              </w:rPr>
            </w:pPr>
          </w:p>
        </w:tc>
        <w:tc>
          <w:tcPr>
            <w:tcW w:w="236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Total Fixed Rate Debt/Wtd Avg</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ind w:right="24"/>
              <w:spacing w:after="0"/>
              <w:rPr>
                <w:sz w:val="20"/>
                <w:szCs w:val="20"/>
                <w:color w:val="auto"/>
              </w:rPr>
            </w:pPr>
            <w:r>
              <w:rPr>
                <w:rFonts w:ascii="Arial" w:cs="Arial" w:eastAsia="Arial" w:hAnsi="Arial"/>
                <w:sz w:val="7"/>
                <w:szCs w:val="7"/>
                <w:b w:val="1"/>
                <w:bCs w:val="1"/>
                <w:color w:val="auto"/>
              </w:rPr>
              <w:t>2,068,577</w:t>
            </w:r>
          </w:p>
        </w:tc>
        <w:tc>
          <w:tcPr>
            <w:tcW w:w="300" w:type="dxa"/>
            <w:vAlign w:val="bottom"/>
            <w:gridSpan w:val="2"/>
          </w:tcPr>
          <w:p>
            <w:pPr>
              <w:jc w:val="right"/>
              <w:ind w:right="60"/>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ind w:right="24"/>
              <w:spacing w:after="0"/>
              <w:rPr>
                <w:sz w:val="20"/>
                <w:szCs w:val="20"/>
                <w:color w:val="auto"/>
              </w:rPr>
            </w:pPr>
            <w:r>
              <w:rPr>
                <w:rFonts w:ascii="Arial" w:cs="Arial" w:eastAsia="Arial" w:hAnsi="Arial"/>
                <w:sz w:val="7"/>
                <w:szCs w:val="7"/>
                <w:b w:val="1"/>
                <w:bCs w:val="1"/>
                <w:color w:val="auto"/>
              </w:rPr>
              <w:t>653,564</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4.34%</w:t>
            </w:r>
          </w:p>
        </w:tc>
        <w:tc>
          <w:tcPr>
            <w:tcW w:w="180" w:type="dxa"/>
            <w:vAlign w:val="bottom"/>
          </w:tcPr>
          <w:p>
            <w:pPr>
              <w:jc w:val="right"/>
              <w:ind w:right="24"/>
              <w:spacing w:after="0"/>
              <w:rPr>
                <w:sz w:val="20"/>
                <w:szCs w:val="20"/>
                <w:color w:val="auto"/>
              </w:rPr>
            </w:pPr>
            <w:r>
              <w:rPr>
                <w:rFonts w:ascii="Arial" w:cs="Arial" w:eastAsia="Arial" w:hAnsi="Arial"/>
                <w:sz w:val="7"/>
                <w:szCs w:val="7"/>
                <w:b w:val="1"/>
                <w:bCs w:val="1"/>
                <w:color w:val="auto"/>
              </w:rPr>
              <w:t>(3)</w:t>
            </w:r>
          </w:p>
        </w:tc>
        <w:tc>
          <w:tcPr>
            <w:tcW w:w="16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454</w:t>
            </w:r>
          </w:p>
        </w:tc>
        <w:tc>
          <w:tcPr>
            <w:tcW w:w="94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b w:val="1"/>
                <w:bCs w:val="1"/>
                <w:color w:val="auto"/>
              </w:rPr>
              <w:t>651,604</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25"/>
        </w:trPr>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Floating rate debt</w:t>
            </w: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r>
      <w:tr>
        <w:trPr>
          <w:trHeight w:val="203"/>
        </w:trPr>
        <w:tc>
          <w:tcPr>
            <w:tcW w:w="360" w:type="dxa"/>
            <w:vAlign w:val="bottom"/>
          </w:tcPr>
          <w:p>
            <w:pPr>
              <w:ind w:left="220"/>
              <w:spacing w:after="0"/>
              <w:rPr>
                <w:sz w:val="20"/>
                <w:szCs w:val="20"/>
                <w:color w:val="auto"/>
              </w:rPr>
            </w:pPr>
            <w:r>
              <w:rPr>
                <w:rFonts w:ascii="Arial" w:cs="Arial" w:eastAsia="Arial" w:hAnsi="Arial"/>
                <w:sz w:val="7"/>
                <w:szCs w:val="7"/>
                <w:color w:val="auto"/>
              </w:rPr>
              <w:t>650</w:t>
            </w:r>
          </w:p>
        </w:tc>
        <w:tc>
          <w:tcPr>
            <w:tcW w:w="1320" w:type="dxa"/>
            <w:vAlign w:val="bottom"/>
          </w:tcPr>
          <w:p>
            <w:pPr>
              <w:spacing w:after="0"/>
              <w:rPr>
                <w:sz w:val="20"/>
                <w:szCs w:val="20"/>
                <w:color w:val="auto"/>
              </w:rPr>
            </w:pPr>
            <w:r>
              <w:rPr>
                <w:rFonts w:ascii="Arial" w:cs="Arial" w:eastAsia="Arial" w:hAnsi="Arial"/>
                <w:sz w:val="7"/>
                <w:szCs w:val="7"/>
                <w:color w:val="auto"/>
              </w:rPr>
              <w:t>Fifth Avenue (LIBOR + 350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50.0</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65,000</w:t>
            </w:r>
          </w:p>
        </w:tc>
        <w:tc>
          <w:tcPr>
            <w:tcW w:w="30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32,500</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3.97%</w:t>
            </w:r>
          </w:p>
        </w:tc>
        <w:tc>
          <w:tcPr>
            <w:tcW w:w="180" w:type="dxa"/>
            <w:vAlign w:val="bottom"/>
          </w:tcPr>
          <w:p>
            <w:pPr>
              <w:spacing w:after="0"/>
              <w:rPr>
                <w:sz w:val="17"/>
                <w:szCs w:val="17"/>
                <w:color w:val="auto"/>
              </w:rPr>
            </w:pPr>
          </w:p>
        </w:tc>
        <w:tc>
          <w:tcPr>
            <w:tcW w:w="1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Oct-16</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32,500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175-225 3rd Street (Prime + 100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95.0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40,000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38,000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Dec-16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38,000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10 East 53rd Street (LIBOR + 250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55.0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125,000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68,750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2.97%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Feb-17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68,750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724</w:t>
            </w:r>
          </w:p>
        </w:tc>
        <w:tc>
          <w:tcPr>
            <w:tcW w:w="1320" w:type="dxa"/>
            <w:vAlign w:val="bottom"/>
          </w:tcPr>
          <w:p>
            <w:pPr>
              <w:spacing w:after="0"/>
              <w:rPr>
                <w:sz w:val="20"/>
                <w:szCs w:val="20"/>
                <w:color w:val="auto"/>
              </w:rPr>
            </w:pPr>
            <w:r>
              <w:rPr>
                <w:rFonts w:ascii="Arial" w:cs="Arial" w:eastAsia="Arial" w:hAnsi="Arial"/>
                <w:sz w:val="7"/>
                <w:szCs w:val="7"/>
                <w:color w:val="auto"/>
              </w:rPr>
              <w:t>Fifth Avenue (LIBOR + 240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50.0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275,000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137,500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Apr-17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137,500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1552 Broadway (LIBOR + 420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50.0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185,410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92,705</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Apr-17</w:t>
            </w:r>
          </w:p>
        </w:tc>
        <w:tc>
          <w:tcPr>
            <w:tcW w:w="220" w:type="dxa"/>
            <w:vAlign w:val="bottom"/>
          </w:tcPr>
          <w:p>
            <w:pPr>
              <w:jc w:val="right"/>
              <w:ind w:right="84"/>
              <w:spacing w:after="0"/>
              <w:rPr>
                <w:sz w:val="20"/>
                <w:szCs w:val="20"/>
                <w:color w:val="auto"/>
              </w:rPr>
            </w:pPr>
            <w:r>
              <w:rPr>
                <w:rFonts w:ascii="Arial" w:cs="Arial" w:eastAsia="Arial" w:hAnsi="Arial"/>
                <w:sz w:val="7"/>
                <w:szCs w:val="7"/>
                <w:color w:val="auto"/>
                <w:w w:val="92"/>
              </w:rPr>
              <w:t>(4)</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92,705</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55 West 46th Street (LIBOR + 227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25.0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151,536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37,884</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2.77%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Oct-17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37,884</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Jericho Plaza (LIBOR + 415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11.7</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75,799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8,846</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Mar-18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8,846</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280</w:t>
            </w:r>
          </w:p>
        </w:tc>
        <w:tc>
          <w:tcPr>
            <w:tcW w:w="1320" w:type="dxa"/>
            <w:vAlign w:val="bottom"/>
          </w:tcPr>
          <w:p>
            <w:pPr>
              <w:spacing w:after="0"/>
              <w:rPr>
                <w:sz w:val="20"/>
                <w:szCs w:val="20"/>
                <w:color w:val="auto"/>
              </w:rPr>
            </w:pPr>
            <w:r>
              <w:rPr>
                <w:rFonts w:ascii="Arial" w:cs="Arial" w:eastAsia="Arial" w:hAnsi="Arial"/>
                <w:sz w:val="7"/>
                <w:szCs w:val="7"/>
                <w:color w:val="auto"/>
              </w:rPr>
              <w:t>Park Avenue (LIBOR + 200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50.0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900,000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450,000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450,000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121</w:t>
            </w:r>
          </w:p>
        </w:tc>
        <w:tc>
          <w:tcPr>
            <w:tcW w:w="1320" w:type="dxa"/>
            <w:vAlign w:val="bottom"/>
          </w:tcPr>
          <w:p>
            <w:pPr>
              <w:spacing w:after="0"/>
              <w:rPr>
                <w:sz w:val="20"/>
                <w:szCs w:val="20"/>
                <w:color w:val="auto"/>
              </w:rPr>
            </w:pPr>
            <w:r>
              <w:rPr>
                <w:rFonts w:ascii="Arial" w:cs="Arial" w:eastAsia="Arial" w:hAnsi="Arial"/>
                <w:sz w:val="7"/>
                <w:szCs w:val="7"/>
                <w:color w:val="auto"/>
              </w:rPr>
              <w:t>Greene Street (LIBOR + 150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50.0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7,500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1.97%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Nov-19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7,500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131-137 Spring Street (LIBOR + 155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20.0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141,000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28,200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Aug-20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28,200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Aug-16</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11 West 34th Street (LIBOR + 145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30.0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23,000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6,900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1.92%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Jan-21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6,900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100</w:t>
            </w:r>
          </w:p>
        </w:tc>
        <w:tc>
          <w:tcPr>
            <w:tcW w:w="1320" w:type="dxa"/>
            <w:vAlign w:val="bottom"/>
          </w:tcPr>
          <w:p>
            <w:pPr>
              <w:spacing w:after="0"/>
              <w:rPr>
                <w:sz w:val="20"/>
                <w:szCs w:val="20"/>
                <w:color w:val="auto"/>
              </w:rPr>
            </w:pPr>
            <w:r>
              <w:rPr>
                <w:rFonts w:ascii="Arial" w:cs="Arial" w:eastAsia="Arial" w:hAnsi="Arial"/>
                <w:sz w:val="7"/>
                <w:szCs w:val="7"/>
                <w:color w:val="auto"/>
              </w:rPr>
              <w:t>Park Avenue (LIBOR + 175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49.9</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360,000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179,640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Feb-21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175,859</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21 East 66th Street (T 12 mos + 275 bps)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32.3</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1,765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570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3.20%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26</w:t>
            </w:r>
          </w:p>
        </w:tc>
        <w:tc>
          <w:tcPr>
            <w:tcW w:w="940" w:type="dxa"/>
            <w:vAlign w:val="bottom"/>
          </w:tcPr>
          <w:p>
            <w:pPr>
              <w:jc w:val="right"/>
              <w:spacing w:after="0"/>
              <w:rPr>
                <w:sz w:val="20"/>
                <w:szCs w:val="20"/>
                <w:color w:val="auto"/>
              </w:rPr>
            </w:pPr>
            <w:r>
              <w:rPr>
                <w:rFonts w:ascii="Arial" w:cs="Arial" w:eastAsia="Arial" w:hAnsi="Arial"/>
                <w:sz w:val="7"/>
                <w:szCs w:val="7"/>
                <w:color w:val="auto"/>
              </w:rPr>
              <w:t>Jun-33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4</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20"/>
              <w:spacing w:after="0"/>
              <w:rPr>
                <w:sz w:val="20"/>
                <w:szCs w:val="20"/>
                <w:color w:val="auto"/>
              </w:rPr>
            </w:pPr>
            <w:r>
              <w:rPr>
                <w:rFonts w:ascii="Arial" w:cs="Arial" w:eastAsia="Arial" w:hAnsi="Arial"/>
                <w:sz w:val="7"/>
                <w:szCs w:val="7"/>
                <w:color w:val="auto"/>
              </w:rPr>
              <w:t>605</w:t>
            </w:r>
          </w:p>
        </w:tc>
        <w:tc>
          <w:tcPr>
            <w:tcW w:w="1320" w:type="dxa"/>
            <w:vAlign w:val="bottom"/>
          </w:tcPr>
          <w:p>
            <w:pPr>
              <w:spacing w:after="0"/>
              <w:rPr>
                <w:sz w:val="20"/>
                <w:szCs w:val="20"/>
                <w:color w:val="auto"/>
              </w:rPr>
            </w:pPr>
            <w:r>
              <w:rPr>
                <w:rFonts w:ascii="Arial" w:cs="Arial" w:eastAsia="Arial" w:hAnsi="Arial"/>
                <w:sz w:val="7"/>
                <w:szCs w:val="7"/>
                <w:color w:val="auto"/>
              </w:rPr>
              <w:t>West 42nd Street (Various)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20.0</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539,000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107,800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2.56%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Jul-18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107,800</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80" w:type="dxa"/>
            <w:vAlign w:val="bottom"/>
            <w:gridSpan w:val="2"/>
          </w:tcPr>
          <w:p>
            <w:pPr>
              <w:ind w:left="220"/>
              <w:spacing w:after="0"/>
              <w:rPr>
                <w:sz w:val="20"/>
                <w:szCs w:val="20"/>
                <w:color w:val="auto"/>
              </w:rPr>
            </w:pPr>
            <w:r>
              <w:rPr>
                <w:rFonts w:ascii="Arial" w:cs="Arial" w:eastAsia="Arial" w:hAnsi="Arial"/>
                <w:sz w:val="7"/>
                <w:szCs w:val="7"/>
                <w:color w:val="auto"/>
              </w:rPr>
              <w:t>Stonehenge Portfolio (Various)</w:t>
            </w:r>
          </w:p>
        </w:tc>
        <w:tc>
          <w:tcPr>
            <w:tcW w:w="1040" w:type="dxa"/>
            <w:vAlign w:val="bottom"/>
          </w:tcPr>
          <w:p>
            <w:pPr>
              <w:jc w:val="right"/>
              <w:ind w:right="484"/>
              <w:spacing w:after="0"/>
              <w:rPr>
                <w:sz w:val="20"/>
                <w:szCs w:val="20"/>
                <w:color w:val="auto"/>
              </w:rPr>
            </w:pPr>
            <w:r>
              <w:rPr>
                <w:rFonts w:ascii="Arial" w:cs="Arial" w:eastAsia="Arial" w:hAnsi="Arial"/>
                <w:sz w:val="7"/>
                <w:szCs w:val="7"/>
                <w:color w:val="auto"/>
              </w:rPr>
              <w:t>Various</w:t>
            </w:r>
          </w:p>
        </w:tc>
        <w:tc>
          <w:tcPr>
            <w:tcW w:w="8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7"/>
                <w:szCs w:val="7"/>
                <w:color w:val="auto"/>
              </w:rPr>
              <w:t>65,489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3,773</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5.82%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19</w:t>
            </w:r>
          </w:p>
        </w:tc>
        <w:tc>
          <w:tcPr>
            <w:tcW w:w="940" w:type="dxa"/>
            <w:vAlign w:val="bottom"/>
          </w:tcPr>
          <w:p>
            <w:pPr>
              <w:jc w:val="right"/>
              <w:spacing w:after="0"/>
              <w:rPr>
                <w:sz w:val="20"/>
                <w:szCs w:val="20"/>
                <w:color w:val="auto"/>
              </w:rPr>
            </w:pPr>
            <w:r>
              <w:rPr>
                <w:rFonts w:ascii="Arial" w:cs="Arial" w:eastAsia="Arial" w:hAnsi="Arial"/>
                <w:sz w:val="7"/>
                <w:szCs w:val="7"/>
                <w:color w:val="auto"/>
              </w:rPr>
              <w:t>Various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3,719</w:t>
            </w:r>
          </w:p>
        </w:tc>
        <w:tc>
          <w:tcPr>
            <w:tcW w:w="7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11"/>
        </w:trPr>
        <w:tc>
          <w:tcPr>
            <w:tcW w:w="360" w:type="dxa"/>
            <w:vAlign w:val="bottom"/>
          </w:tcPr>
          <w:p>
            <w:pPr>
              <w:spacing w:after="0"/>
              <w:rPr>
                <w:sz w:val="9"/>
                <w:szCs w:val="9"/>
                <w:color w:val="auto"/>
              </w:rPr>
            </w:pPr>
          </w:p>
        </w:tc>
        <w:tc>
          <w:tcPr>
            <w:tcW w:w="236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86"/>
        </w:trPr>
        <w:tc>
          <w:tcPr>
            <w:tcW w:w="360" w:type="dxa"/>
            <w:vAlign w:val="bottom"/>
          </w:tcPr>
          <w:p>
            <w:pPr>
              <w:spacing w:after="0"/>
              <w:rPr>
                <w:sz w:val="16"/>
                <w:szCs w:val="16"/>
                <w:color w:val="auto"/>
              </w:rPr>
            </w:pPr>
          </w:p>
        </w:tc>
        <w:tc>
          <w:tcPr>
            <w:tcW w:w="236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Total Floating Rate Debt/Wtd Avg</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ind w:right="24"/>
              <w:spacing w:after="0"/>
              <w:rPr>
                <w:sz w:val="20"/>
                <w:szCs w:val="20"/>
                <w:color w:val="auto"/>
              </w:rPr>
            </w:pPr>
            <w:r>
              <w:rPr>
                <w:rFonts w:ascii="Arial" w:cs="Arial" w:eastAsia="Arial" w:hAnsi="Arial"/>
                <w:sz w:val="7"/>
                <w:szCs w:val="7"/>
                <w:b w:val="1"/>
                <w:bCs w:val="1"/>
                <w:color w:val="auto"/>
              </w:rPr>
              <w:t>2,962,999</w:t>
            </w:r>
          </w:p>
        </w:tc>
        <w:tc>
          <w:tcPr>
            <w:tcW w:w="300" w:type="dxa"/>
            <w:vAlign w:val="bottom"/>
            <w:gridSpan w:val="2"/>
          </w:tcPr>
          <w:p>
            <w:pPr>
              <w:jc w:val="right"/>
              <w:ind w:right="60"/>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ind w:right="24"/>
              <w:spacing w:after="0"/>
              <w:rPr>
                <w:sz w:val="20"/>
                <w:szCs w:val="20"/>
                <w:color w:val="auto"/>
              </w:rPr>
            </w:pPr>
            <w:r>
              <w:rPr>
                <w:rFonts w:ascii="Arial" w:cs="Arial" w:eastAsia="Arial" w:hAnsi="Arial"/>
                <w:sz w:val="7"/>
                <w:szCs w:val="7"/>
                <w:b w:val="1"/>
                <w:bCs w:val="1"/>
                <w:color w:val="auto"/>
              </w:rPr>
              <w:t>1,200,568</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2.81%</w:t>
            </w:r>
          </w:p>
        </w:tc>
        <w:tc>
          <w:tcPr>
            <w:tcW w:w="180" w:type="dxa"/>
            <w:vAlign w:val="bottom"/>
          </w:tcPr>
          <w:p>
            <w:pPr>
              <w:jc w:val="right"/>
              <w:ind w:right="24"/>
              <w:spacing w:after="0"/>
              <w:rPr>
                <w:sz w:val="20"/>
                <w:szCs w:val="20"/>
                <w:color w:val="auto"/>
              </w:rPr>
            </w:pPr>
            <w:r>
              <w:rPr>
                <w:rFonts w:ascii="Arial" w:cs="Arial" w:eastAsia="Arial" w:hAnsi="Arial"/>
                <w:sz w:val="7"/>
                <w:szCs w:val="7"/>
                <w:b w:val="1"/>
                <w:bCs w:val="1"/>
                <w:color w:val="auto"/>
              </w:rPr>
              <w:t>(3)</w:t>
            </w:r>
          </w:p>
        </w:tc>
        <w:tc>
          <w:tcPr>
            <w:tcW w:w="16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45</w:t>
            </w:r>
          </w:p>
        </w:tc>
        <w:tc>
          <w:tcPr>
            <w:tcW w:w="94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b w:val="1"/>
                <w:bCs w:val="1"/>
                <w:color w:val="auto"/>
              </w:rPr>
              <w:t>1,196,167</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11"/>
        </w:trPr>
        <w:tc>
          <w:tcPr>
            <w:tcW w:w="360" w:type="dxa"/>
            <w:vAlign w:val="bottom"/>
          </w:tcPr>
          <w:p>
            <w:pPr>
              <w:spacing w:after="0"/>
              <w:rPr>
                <w:sz w:val="9"/>
                <w:szCs w:val="9"/>
                <w:color w:val="auto"/>
              </w:rPr>
            </w:pPr>
          </w:p>
        </w:tc>
        <w:tc>
          <w:tcPr>
            <w:tcW w:w="236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86"/>
        </w:trPr>
        <w:tc>
          <w:tcPr>
            <w:tcW w:w="360" w:type="dxa"/>
            <w:vAlign w:val="bottom"/>
          </w:tcPr>
          <w:p>
            <w:pPr>
              <w:spacing w:after="0"/>
              <w:rPr>
                <w:sz w:val="16"/>
                <w:szCs w:val="16"/>
                <w:color w:val="auto"/>
              </w:rPr>
            </w:pPr>
          </w:p>
        </w:tc>
        <w:tc>
          <w:tcPr>
            <w:tcW w:w="236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Total Joint Venture Debt/Wtd Avg</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ind w:right="24"/>
              <w:spacing w:after="0"/>
              <w:rPr>
                <w:sz w:val="20"/>
                <w:szCs w:val="20"/>
                <w:color w:val="auto"/>
              </w:rPr>
            </w:pPr>
            <w:r>
              <w:rPr>
                <w:rFonts w:ascii="Arial" w:cs="Arial" w:eastAsia="Arial" w:hAnsi="Arial"/>
                <w:sz w:val="7"/>
                <w:szCs w:val="7"/>
                <w:b w:val="1"/>
                <w:bCs w:val="1"/>
                <w:color w:val="auto"/>
              </w:rPr>
              <w:t>5,031,576</w:t>
            </w:r>
          </w:p>
        </w:tc>
        <w:tc>
          <w:tcPr>
            <w:tcW w:w="300" w:type="dxa"/>
            <w:vAlign w:val="bottom"/>
            <w:gridSpan w:val="2"/>
          </w:tcPr>
          <w:p>
            <w:pPr>
              <w:jc w:val="right"/>
              <w:ind w:right="60"/>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ind w:right="24"/>
              <w:spacing w:after="0"/>
              <w:rPr>
                <w:sz w:val="20"/>
                <w:szCs w:val="20"/>
                <w:color w:val="auto"/>
              </w:rPr>
            </w:pPr>
            <w:r>
              <w:rPr>
                <w:rFonts w:ascii="Arial" w:cs="Arial" w:eastAsia="Arial" w:hAnsi="Arial"/>
                <w:sz w:val="7"/>
                <w:szCs w:val="7"/>
                <w:b w:val="1"/>
                <w:bCs w:val="1"/>
                <w:color w:val="auto"/>
              </w:rPr>
              <w:t>1,854,132</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3.35%</w:t>
            </w:r>
          </w:p>
        </w:tc>
        <w:tc>
          <w:tcPr>
            <w:tcW w:w="180" w:type="dxa"/>
            <w:vAlign w:val="bottom"/>
          </w:tcPr>
          <w:p>
            <w:pPr>
              <w:jc w:val="right"/>
              <w:ind w:right="24"/>
              <w:spacing w:after="0"/>
              <w:rPr>
                <w:sz w:val="20"/>
                <w:szCs w:val="20"/>
                <w:color w:val="auto"/>
              </w:rPr>
            </w:pPr>
            <w:r>
              <w:rPr>
                <w:rFonts w:ascii="Arial" w:cs="Arial" w:eastAsia="Arial" w:hAnsi="Arial"/>
                <w:sz w:val="7"/>
                <w:szCs w:val="7"/>
                <w:b w:val="1"/>
                <w:bCs w:val="1"/>
                <w:color w:val="auto"/>
              </w:rPr>
              <w:t>(3)</w:t>
            </w:r>
          </w:p>
        </w:tc>
        <w:tc>
          <w:tcPr>
            <w:tcW w:w="16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499</w:t>
            </w:r>
          </w:p>
        </w:tc>
        <w:tc>
          <w:tcPr>
            <w:tcW w:w="94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b w:val="1"/>
                <w:bCs w:val="1"/>
                <w:color w:val="auto"/>
              </w:rPr>
              <w:t>1,847,771</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25"/>
        </w:trPr>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tcPr>
          <w:p>
            <w:pPr>
              <w:jc w:val="right"/>
              <w:ind w:right="124"/>
              <w:spacing w:after="0"/>
              <w:rPr>
                <w:sz w:val="20"/>
                <w:szCs w:val="20"/>
                <w:color w:val="auto"/>
              </w:rPr>
            </w:pPr>
            <w:r>
              <w:rPr>
                <w:rFonts w:ascii="Arial" w:cs="Arial" w:eastAsia="Arial" w:hAnsi="Arial"/>
                <w:sz w:val="7"/>
                <w:szCs w:val="7"/>
                <w:color w:val="auto"/>
              </w:rPr>
              <w:t>Deferred financing cost</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(109,083)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(34,702)</w:t>
            </w: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92"/>
        </w:trPr>
        <w:tc>
          <w:tcPr>
            <w:tcW w:w="360" w:type="dxa"/>
            <w:vAlign w:val="bottom"/>
          </w:tcPr>
          <w:p>
            <w:pPr>
              <w:spacing w:after="0"/>
              <w:rPr>
                <w:sz w:val="16"/>
                <w:szCs w:val="16"/>
                <w:color w:val="auto"/>
              </w:rPr>
            </w:pPr>
          </w:p>
        </w:tc>
        <w:tc>
          <w:tcPr>
            <w:tcW w:w="236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Total Joint Venture Debt/Wtd Avg, net</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ind w:right="24"/>
              <w:spacing w:after="0"/>
              <w:rPr>
                <w:sz w:val="20"/>
                <w:szCs w:val="20"/>
                <w:color w:val="auto"/>
              </w:rPr>
            </w:pPr>
            <w:r>
              <w:rPr>
                <w:rFonts w:ascii="Arial" w:cs="Arial" w:eastAsia="Arial" w:hAnsi="Arial"/>
                <w:sz w:val="7"/>
                <w:szCs w:val="7"/>
                <w:b w:val="1"/>
                <w:bCs w:val="1"/>
                <w:color w:val="auto"/>
              </w:rPr>
              <w:t>4,922,493</w:t>
            </w:r>
          </w:p>
        </w:tc>
        <w:tc>
          <w:tcPr>
            <w:tcW w:w="300" w:type="dxa"/>
            <w:vAlign w:val="bottom"/>
            <w:gridSpan w:val="2"/>
          </w:tcPr>
          <w:p>
            <w:pPr>
              <w:jc w:val="right"/>
              <w:ind w:right="60"/>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ind w:right="24"/>
              <w:spacing w:after="0"/>
              <w:rPr>
                <w:sz w:val="20"/>
                <w:szCs w:val="20"/>
                <w:color w:val="auto"/>
              </w:rPr>
            </w:pPr>
            <w:r>
              <w:rPr>
                <w:rFonts w:ascii="Arial" w:cs="Arial" w:eastAsia="Arial" w:hAnsi="Arial"/>
                <w:sz w:val="7"/>
                <w:szCs w:val="7"/>
                <w:b w:val="1"/>
                <w:bCs w:val="1"/>
                <w:color w:val="auto"/>
              </w:rPr>
              <w:t>1,819,430</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3.41%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133" w:lineRule="exact"/>
        <w:rPr>
          <w:sz w:val="20"/>
          <w:szCs w:val="20"/>
          <w:color w:val="auto"/>
        </w:rPr>
      </w:pPr>
    </w:p>
    <w:p>
      <w:pPr>
        <w:ind w:left="640" w:hanging="100"/>
        <w:spacing w:after="0"/>
        <w:tabs>
          <w:tab w:leader="none" w:pos="640" w:val="left"/>
        </w:tabs>
        <w:numPr>
          <w:ilvl w:val="0"/>
          <w:numId w:val="18"/>
        </w:numPr>
        <w:rPr>
          <w:rFonts w:ascii="Arial" w:cs="Arial" w:eastAsia="Arial" w:hAnsi="Arial"/>
          <w:sz w:val="7"/>
          <w:szCs w:val="7"/>
          <w:color w:val="auto"/>
        </w:rPr>
      </w:pPr>
      <w:r>
        <w:rPr>
          <w:rFonts w:ascii="Arial" w:cs="Arial" w:eastAsia="Arial" w:hAnsi="Arial"/>
          <w:sz w:val="7"/>
          <w:szCs w:val="7"/>
          <w:color w:val="auto"/>
        </w:rPr>
        <w:t>Coupon for floating rate debt determined using the effective LIBOR rate at the end of the quarter. Coupon for loans that are subject to LIBOR floors were determined using the LIBOR floors.</w:t>
      </w:r>
    </w:p>
    <w:p>
      <w:pPr>
        <w:spacing w:after="0" w:line="39" w:lineRule="exact"/>
        <w:rPr>
          <w:rFonts w:ascii="Arial" w:cs="Arial" w:eastAsia="Arial" w:hAnsi="Arial"/>
          <w:sz w:val="7"/>
          <w:szCs w:val="7"/>
          <w:color w:val="auto"/>
        </w:rPr>
      </w:pPr>
    </w:p>
    <w:p>
      <w:pPr>
        <w:ind w:left="640" w:hanging="100"/>
        <w:spacing w:after="0"/>
        <w:tabs>
          <w:tab w:leader="none" w:pos="640" w:val="left"/>
        </w:tabs>
        <w:numPr>
          <w:ilvl w:val="0"/>
          <w:numId w:val="18"/>
        </w:numPr>
        <w:rPr>
          <w:rFonts w:ascii="Arial" w:cs="Arial" w:eastAsia="Arial" w:hAnsi="Arial"/>
          <w:sz w:val="7"/>
          <w:szCs w:val="7"/>
          <w:color w:val="auto"/>
        </w:rPr>
      </w:pPr>
      <w:r>
        <w:rPr>
          <w:rFonts w:ascii="Arial" w:cs="Arial" w:eastAsia="Arial" w:hAnsi="Arial"/>
          <w:sz w:val="7"/>
          <w:szCs w:val="7"/>
          <w:color w:val="auto"/>
        </w:rPr>
        <w:t>Amount is comprised of $13.2 million, $34.6 million, $176.2 million, and $140.3 million in fixed-rate mortgages that mature in October 2016, November 2017, June 2019, and August 2019, respectively.</w:t>
      </w:r>
    </w:p>
    <w:p>
      <w:pPr>
        <w:spacing w:after="0" w:line="39" w:lineRule="exact"/>
        <w:rPr>
          <w:rFonts w:ascii="Arial" w:cs="Arial" w:eastAsia="Arial" w:hAnsi="Arial"/>
          <w:sz w:val="7"/>
          <w:szCs w:val="7"/>
          <w:color w:val="auto"/>
        </w:rPr>
      </w:pPr>
    </w:p>
    <w:p>
      <w:pPr>
        <w:ind w:left="640" w:hanging="100"/>
        <w:spacing w:after="0"/>
        <w:tabs>
          <w:tab w:leader="none" w:pos="640" w:val="left"/>
        </w:tabs>
        <w:numPr>
          <w:ilvl w:val="0"/>
          <w:numId w:val="18"/>
        </w:numPr>
        <w:rPr>
          <w:rFonts w:ascii="Arial" w:cs="Arial" w:eastAsia="Arial" w:hAnsi="Arial"/>
          <w:sz w:val="7"/>
          <w:szCs w:val="7"/>
          <w:color w:val="auto"/>
        </w:rPr>
      </w:pPr>
      <w:r>
        <w:rPr>
          <w:rFonts w:ascii="Arial" w:cs="Arial" w:eastAsia="Arial" w:hAnsi="Arial"/>
          <w:sz w:val="7"/>
          <w:szCs w:val="7"/>
          <w:color w:val="auto"/>
        </w:rPr>
        <w:t>The weighted average coupon is calculated based on SL Green's share of the outstanding debt.</w:t>
      </w:r>
    </w:p>
    <w:p>
      <w:pPr>
        <w:spacing w:after="0" w:line="138" w:lineRule="exact"/>
        <w:rPr>
          <w:rFonts w:ascii="Arial" w:cs="Arial" w:eastAsia="Arial" w:hAnsi="Arial"/>
          <w:sz w:val="7"/>
          <w:szCs w:val="7"/>
          <w:color w:val="auto"/>
        </w:rPr>
      </w:pPr>
    </w:p>
    <w:p>
      <w:pPr>
        <w:ind w:left="640" w:hanging="100"/>
        <w:spacing w:after="0"/>
        <w:tabs>
          <w:tab w:leader="none" w:pos="640" w:val="left"/>
        </w:tabs>
        <w:numPr>
          <w:ilvl w:val="0"/>
          <w:numId w:val="18"/>
        </w:numPr>
        <w:rPr>
          <w:rFonts w:ascii="Arial" w:cs="Arial" w:eastAsia="Arial" w:hAnsi="Arial"/>
          <w:sz w:val="7"/>
          <w:szCs w:val="7"/>
          <w:color w:val="auto"/>
        </w:rPr>
      </w:pPr>
      <w:r>
        <w:rPr>
          <w:rFonts w:ascii="Arial" w:cs="Arial" w:eastAsia="Arial" w:hAnsi="Arial"/>
          <w:sz w:val="7"/>
          <w:szCs w:val="7"/>
          <w:color w:val="auto"/>
        </w:rPr>
        <w:t>The loan was modified in April 2016 including extension of the maturity date to April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171450</wp:posOffset>
            </wp:positionV>
            <wp:extent cx="2144395" cy="2185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4395" cy="2185670"/>
                    </a:xfrm>
                    <a:prstGeom prst="rect">
                      <a:avLst/>
                    </a:prstGeom>
                    <a:noFill/>
                  </pic:spPr>
                </pic:pic>
              </a:graphicData>
            </a:graphic>
          </wp:anchor>
        </w:drawing>
      </w:r>
    </w:p>
    <w:p>
      <w:pPr>
        <w:sectPr>
          <w:pgSz w:w="11900" w:h="16838" w:orient="portrait"/>
          <w:cols w:equalWidth="0" w:num="1">
            <w:col w:w="10080"/>
          </w:cols>
          <w:pgMar w:left="900" w:top="338" w:right="919" w:bottom="1440" w:gutter="0" w:footer="0" w:header="0"/>
        </w:sectPr>
      </w:pPr>
    </w:p>
    <w:p>
      <w:pPr>
        <w:spacing w:after="0" w:line="381" w:lineRule="exact"/>
        <w:rPr>
          <w:sz w:val="20"/>
          <w:szCs w:val="20"/>
          <w:color w:val="auto"/>
        </w:rPr>
      </w:pPr>
    </w:p>
    <w:p>
      <w:pPr>
        <w:ind w:left="740"/>
        <w:spacing w:after="0"/>
        <w:rPr>
          <w:sz w:val="20"/>
          <w:szCs w:val="20"/>
          <w:color w:val="auto"/>
        </w:rPr>
      </w:pPr>
      <w:r>
        <w:rPr>
          <w:rFonts w:ascii="Arial" w:cs="Arial" w:eastAsia="Arial" w:hAnsi="Arial"/>
          <w:sz w:val="7"/>
          <w:szCs w:val="7"/>
          <w:b w:val="1"/>
          <w:bCs w:val="1"/>
          <w:u w:val="single" w:color="auto"/>
          <w:color w:val="auto"/>
        </w:rPr>
        <w:t>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16510</wp:posOffset>
            </wp:positionV>
            <wp:extent cx="2186305" cy="8394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86305" cy="839470"/>
                    </a:xfrm>
                    <a:prstGeom prst="rect">
                      <a:avLst/>
                    </a:prstGeom>
                    <a:noFill/>
                  </pic:spPr>
                </pic:pic>
              </a:graphicData>
            </a:graphic>
          </wp:anchor>
        </w:drawing>
      </w:r>
    </w:p>
    <w:p>
      <w:pPr>
        <w:spacing w:after="0" w:line="74" w:lineRule="exact"/>
        <w:rPr>
          <w:sz w:val="20"/>
          <w:szCs w:val="20"/>
          <w:color w:val="auto"/>
        </w:rPr>
      </w:pPr>
    </w:p>
    <w:p>
      <w:pPr>
        <w:ind w:left="2000"/>
        <w:spacing w:after="0"/>
        <w:rPr>
          <w:sz w:val="20"/>
          <w:szCs w:val="20"/>
          <w:color w:val="auto"/>
        </w:rPr>
      </w:pPr>
      <w:r>
        <w:rPr>
          <w:rFonts w:ascii="Arial" w:cs="Arial" w:eastAsia="Arial" w:hAnsi="Arial"/>
          <w:sz w:val="7"/>
          <w:szCs w:val="7"/>
          <w:b w:val="1"/>
          <w:bCs w:val="1"/>
          <w:color w:val="auto"/>
        </w:rPr>
        <w:t>SL GREEN REALTY CORP.</w:t>
      </w:r>
    </w:p>
    <w:p>
      <w:pPr>
        <w:spacing w:after="0" w:line="291" w:lineRule="exact"/>
        <w:rPr>
          <w:sz w:val="20"/>
          <w:szCs w:val="20"/>
          <w:color w:val="auto"/>
        </w:rPr>
      </w:pPr>
    </w:p>
    <w:p>
      <w:pPr>
        <w:ind w:left="1820"/>
        <w:spacing w:after="0"/>
        <w:rPr>
          <w:sz w:val="20"/>
          <w:szCs w:val="20"/>
          <w:color w:val="auto"/>
        </w:rPr>
      </w:pPr>
      <w:r>
        <w:rPr>
          <w:rFonts w:ascii="Arial" w:cs="Arial" w:eastAsia="Arial" w:hAnsi="Arial"/>
          <w:sz w:val="7"/>
          <w:szCs w:val="7"/>
          <w:b w:val="1"/>
          <w:bCs w:val="1"/>
          <w:color w:val="auto"/>
        </w:rPr>
        <w:t>Revolving Credit Facility Covenants</w:t>
      </w:r>
    </w:p>
    <w:p>
      <w:pPr>
        <w:spacing w:after="0" w:line="149" w:lineRule="exact"/>
        <w:rPr>
          <w:sz w:val="20"/>
          <w:szCs w:val="20"/>
          <w:color w:val="auto"/>
        </w:rPr>
      </w:pPr>
    </w:p>
    <w:tbl>
      <w:tblPr>
        <w:tblLayout w:type="fixed"/>
        <w:tblInd w:w="730" w:type="dxa"/>
        <w:tblCellMar>
          <w:top w:w="0" w:type="dxa"/>
          <w:left w:w="0" w:type="dxa"/>
          <w:bottom w:w="0" w:type="dxa"/>
          <w:right w:w="0" w:type="dxa"/>
        </w:tblCellMar>
      </w:tblPr>
      <w:tr>
        <w:trPr>
          <w:trHeight w:val="85"/>
        </w:trPr>
        <w:tc>
          <w:tcPr>
            <w:tcW w:w="1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gridSpan w:val="2"/>
          </w:tcPr>
          <w:p>
            <w:pPr>
              <w:spacing w:after="0"/>
              <w:rPr>
                <w:sz w:val="20"/>
                <w:szCs w:val="20"/>
                <w:color w:val="auto"/>
              </w:rPr>
            </w:pPr>
            <w:r>
              <w:rPr>
                <w:rFonts w:ascii="Arial" w:cs="Arial" w:eastAsia="Arial" w:hAnsi="Arial"/>
                <w:sz w:val="7"/>
                <w:szCs w:val="7"/>
                <w:b w:val="1"/>
                <w:bCs w:val="1"/>
                <w:color w:val="auto"/>
              </w:rPr>
              <w:t>Actual</w:t>
            </w:r>
          </w:p>
        </w:tc>
        <w:tc>
          <w:tcPr>
            <w:tcW w:w="380" w:type="dxa"/>
            <w:vAlign w:val="bottom"/>
          </w:tcPr>
          <w:p>
            <w:pPr>
              <w:spacing w:after="0"/>
              <w:rPr>
                <w:sz w:val="7"/>
                <w:szCs w:val="7"/>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7"/>
                <w:szCs w:val="7"/>
                <w:b w:val="1"/>
                <w:bCs w:val="1"/>
                <w:color w:val="auto"/>
                <w:w w:val="98"/>
              </w:rPr>
              <w:t>Required</w:t>
            </w:r>
          </w:p>
        </w:tc>
        <w:tc>
          <w:tcPr>
            <w:tcW w:w="0" w:type="dxa"/>
            <w:vAlign w:val="bottom"/>
          </w:tcPr>
          <w:p>
            <w:pPr>
              <w:spacing w:after="0"/>
              <w:rPr>
                <w:sz w:val="1"/>
                <w:szCs w:val="1"/>
                <w:color w:val="auto"/>
              </w:rPr>
            </w:pPr>
          </w:p>
        </w:tc>
      </w:tr>
      <w:tr>
        <w:trPr>
          <w:trHeight w:val="20"/>
        </w:trPr>
        <w:tc>
          <w:tcPr>
            <w:tcW w:w="1800" w:type="dxa"/>
            <w:vAlign w:val="bottom"/>
            <w:vMerge w:val="restart"/>
          </w:tcPr>
          <w:p>
            <w:pPr>
              <w:jc w:val="right"/>
              <w:ind w:right="144"/>
              <w:spacing w:after="0"/>
              <w:rPr>
                <w:sz w:val="20"/>
                <w:szCs w:val="20"/>
                <w:color w:val="auto"/>
              </w:rPr>
            </w:pPr>
            <w:r>
              <w:rPr>
                <w:rFonts w:ascii="Arial" w:cs="Arial" w:eastAsia="Arial" w:hAnsi="Arial"/>
                <w:sz w:val="7"/>
                <w:szCs w:val="7"/>
                <w:b w:val="1"/>
                <w:bCs w:val="1"/>
                <w:color w:val="auto"/>
              </w:rPr>
              <w:t>Total Debt / Total Assets</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7"/>
                <w:szCs w:val="7"/>
                <w:color w:val="auto"/>
              </w:rPr>
              <w:t>44.6%</w:t>
            </w:r>
          </w:p>
        </w:tc>
        <w:tc>
          <w:tcPr>
            <w:tcW w:w="260" w:type="dxa"/>
            <w:vAlign w:val="bottom"/>
          </w:tcPr>
          <w:p>
            <w:pPr>
              <w:spacing w:after="0"/>
              <w:rPr>
                <w:sz w:val="18"/>
                <w:szCs w:val="18"/>
                <w:color w:val="auto"/>
              </w:rPr>
            </w:pPr>
          </w:p>
        </w:tc>
        <w:tc>
          <w:tcPr>
            <w:tcW w:w="1000" w:type="dxa"/>
            <w:vAlign w:val="bottom"/>
            <w:gridSpan w:val="3"/>
          </w:tcPr>
          <w:p>
            <w:pPr>
              <w:jc w:val="center"/>
              <w:ind w:left="24"/>
              <w:spacing w:after="0"/>
              <w:rPr>
                <w:sz w:val="20"/>
                <w:szCs w:val="20"/>
                <w:color w:val="auto"/>
              </w:rPr>
            </w:pPr>
            <w:r>
              <w:rPr>
                <w:rFonts w:ascii="Arial" w:cs="Arial" w:eastAsia="Arial" w:hAnsi="Arial"/>
                <w:sz w:val="7"/>
                <w:szCs w:val="7"/>
                <w:color w:val="auto"/>
              </w:rPr>
              <w:t>Less than 60%</w:t>
            </w:r>
          </w:p>
        </w:tc>
        <w:tc>
          <w:tcPr>
            <w:tcW w:w="0" w:type="dxa"/>
            <w:vAlign w:val="bottom"/>
          </w:tcPr>
          <w:p>
            <w:pPr>
              <w:spacing w:after="0"/>
              <w:rPr>
                <w:sz w:val="1"/>
                <w:szCs w:val="1"/>
                <w:color w:val="auto"/>
              </w:rPr>
            </w:pPr>
          </w:p>
        </w:tc>
      </w:tr>
      <w:tr>
        <w:trPr>
          <w:trHeight w:val="219"/>
        </w:trPr>
        <w:tc>
          <w:tcPr>
            <w:tcW w:w="1800" w:type="dxa"/>
            <w:vAlign w:val="bottom"/>
          </w:tcPr>
          <w:p>
            <w:pPr>
              <w:jc w:val="right"/>
              <w:ind w:right="144"/>
              <w:spacing w:after="0"/>
              <w:rPr>
                <w:sz w:val="20"/>
                <w:szCs w:val="20"/>
                <w:color w:val="auto"/>
              </w:rPr>
            </w:pPr>
            <w:r>
              <w:rPr>
                <w:rFonts w:ascii="Arial" w:cs="Arial" w:eastAsia="Arial" w:hAnsi="Arial"/>
                <w:sz w:val="7"/>
                <w:szCs w:val="7"/>
                <w:b w:val="1"/>
                <w:bCs w:val="1"/>
                <w:color w:val="auto"/>
              </w:rPr>
              <w:t>Fixed Charge Coverage</w:t>
            </w:r>
          </w:p>
        </w:tc>
        <w:tc>
          <w:tcPr>
            <w:tcW w:w="400" w:type="dxa"/>
            <w:vAlign w:val="bottom"/>
            <w:gridSpan w:val="2"/>
          </w:tcPr>
          <w:p>
            <w:pPr>
              <w:jc w:val="center"/>
              <w:ind w:left="144"/>
              <w:spacing w:after="0"/>
              <w:rPr>
                <w:sz w:val="20"/>
                <w:szCs w:val="20"/>
                <w:color w:val="auto"/>
              </w:rPr>
            </w:pPr>
            <w:r>
              <w:rPr>
                <w:rFonts w:ascii="Arial" w:cs="Arial" w:eastAsia="Arial" w:hAnsi="Arial"/>
                <w:sz w:val="7"/>
                <w:szCs w:val="7"/>
                <w:color w:val="auto"/>
              </w:rPr>
              <w:t>2.98</w:t>
            </w:r>
          </w:p>
        </w:tc>
        <w:tc>
          <w:tcPr>
            <w:tcW w:w="260" w:type="dxa"/>
            <w:vAlign w:val="bottom"/>
          </w:tcPr>
          <w:p>
            <w:pPr>
              <w:spacing w:after="0"/>
              <w:rPr>
                <w:sz w:val="19"/>
                <w:szCs w:val="19"/>
                <w:color w:val="auto"/>
              </w:rPr>
            </w:pPr>
          </w:p>
        </w:tc>
        <w:tc>
          <w:tcPr>
            <w:tcW w:w="1000" w:type="dxa"/>
            <w:vAlign w:val="bottom"/>
            <w:gridSpan w:val="3"/>
          </w:tcPr>
          <w:p>
            <w:pPr>
              <w:jc w:val="center"/>
              <w:ind w:left="24"/>
              <w:spacing w:after="0"/>
              <w:rPr>
                <w:sz w:val="20"/>
                <w:szCs w:val="20"/>
                <w:color w:val="auto"/>
              </w:rPr>
            </w:pPr>
            <w:r>
              <w:rPr>
                <w:rFonts w:ascii="Arial" w:cs="Arial" w:eastAsia="Arial" w:hAnsi="Arial"/>
                <w:sz w:val="7"/>
                <w:szCs w:val="7"/>
                <w:color w:val="auto"/>
              </w:rPr>
              <w:t>Greater than 1.5x</w:t>
            </w:r>
          </w:p>
        </w:tc>
        <w:tc>
          <w:tcPr>
            <w:tcW w:w="0" w:type="dxa"/>
            <w:vAlign w:val="bottom"/>
          </w:tcPr>
          <w:p>
            <w:pPr>
              <w:spacing w:after="0"/>
              <w:rPr>
                <w:sz w:val="1"/>
                <w:szCs w:val="1"/>
                <w:color w:val="auto"/>
              </w:rPr>
            </w:pPr>
          </w:p>
        </w:tc>
      </w:tr>
      <w:tr>
        <w:trPr>
          <w:trHeight w:val="111"/>
        </w:trPr>
        <w:tc>
          <w:tcPr>
            <w:tcW w:w="19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460" w:type="dxa"/>
            <w:vAlign w:val="bottom"/>
            <w:tcBorders>
              <w:left w:val="single" w:sz="8" w:color="auto"/>
            </w:tcBorders>
            <w:gridSpan w:val="4"/>
          </w:tcPr>
          <w:p>
            <w:pPr>
              <w:ind w:left="1240"/>
              <w:spacing w:after="0"/>
              <w:rPr>
                <w:sz w:val="20"/>
                <w:szCs w:val="20"/>
                <w:color w:val="auto"/>
              </w:rPr>
            </w:pPr>
            <w:r>
              <w:rPr>
                <w:rFonts w:ascii="Arial" w:cs="Arial" w:eastAsia="Arial" w:hAnsi="Arial"/>
                <w:sz w:val="7"/>
                <w:szCs w:val="7"/>
                <w:b w:val="1"/>
                <w:bCs w:val="1"/>
                <w:color w:val="auto"/>
              </w:rPr>
              <w:t>Unsecured Notes Covenants</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800" w:type="dxa"/>
            <w:vAlign w:val="bottom"/>
            <w:tcBorders>
              <w:left w:val="single" w:sz="8" w:color="auto"/>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800" w:type="dxa"/>
            <w:vAlign w:val="bottom"/>
            <w:tcBorders>
              <w:lef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Arial" w:cs="Arial" w:eastAsia="Arial" w:hAnsi="Arial"/>
                <w:sz w:val="7"/>
                <w:szCs w:val="7"/>
                <w:b w:val="1"/>
                <w:bCs w:val="1"/>
                <w:color w:val="auto"/>
              </w:rPr>
              <w:t>Actual</w:t>
            </w:r>
          </w:p>
        </w:tc>
        <w:tc>
          <w:tcPr>
            <w:tcW w:w="380" w:type="dxa"/>
            <w:vAlign w:val="bottom"/>
          </w:tcPr>
          <w:p>
            <w:pPr>
              <w:spacing w:after="0"/>
              <w:rPr>
                <w:sz w:val="16"/>
                <w:szCs w:val="16"/>
                <w:color w:val="auto"/>
              </w:rPr>
            </w:pPr>
          </w:p>
        </w:tc>
        <w:tc>
          <w:tcPr>
            <w:tcW w:w="6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7"/>
                <w:szCs w:val="7"/>
                <w:b w:val="1"/>
                <w:bCs w:val="1"/>
                <w:color w:val="auto"/>
                <w:w w:val="98"/>
              </w:rPr>
              <w:t>Required</w:t>
            </w:r>
          </w:p>
        </w:tc>
        <w:tc>
          <w:tcPr>
            <w:tcW w:w="0" w:type="dxa"/>
            <w:vAlign w:val="bottom"/>
          </w:tcPr>
          <w:p>
            <w:pPr>
              <w:spacing w:after="0"/>
              <w:rPr>
                <w:sz w:val="1"/>
                <w:szCs w:val="1"/>
                <w:color w:val="auto"/>
              </w:rPr>
            </w:pPr>
          </w:p>
        </w:tc>
      </w:tr>
      <w:tr>
        <w:trPr>
          <w:trHeight w:val="20"/>
        </w:trPr>
        <w:tc>
          <w:tcPr>
            <w:tcW w:w="1800" w:type="dxa"/>
            <w:vAlign w:val="bottom"/>
            <w:tcBorders>
              <w:left w:val="single" w:sz="8" w:color="auto"/>
            </w:tcBorders>
            <w:vMerge w:val="restart"/>
          </w:tcPr>
          <w:p>
            <w:pPr>
              <w:jc w:val="right"/>
              <w:ind w:right="144"/>
              <w:spacing w:after="0"/>
              <w:rPr>
                <w:sz w:val="20"/>
                <w:szCs w:val="20"/>
                <w:color w:val="auto"/>
              </w:rPr>
            </w:pPr>
            <w:r>
              <w:rPr>
                <w:rFonts w:ascii="Arial" w:cs="Arial" w:eastAsia="Arial" w:hAnsi="Arial"/>
                <w:sz w:val="7"/>
                <w:szCs w:val="7"/>
                <w:b w:val="1"/>
                <w:bCs w:val="1"/>
                <w:color w:val="auto"/>
              </w:rPr>
              <w:t>Total Debt / Total Assets</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0" w:type="dxa"/>
            <w:vAlign w:val="bottom"/>
            <w:tcBorders>
              <w:lef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7"/>
                <w:szCs w:val="7"/>
                <w:color w:val="auto"/>
              </w:rPr>
              <w:t>27.2%</w:t>
            </w:r>
          </w:p>
        </w:tc>
        <w:tc>
          <w:tcPr>
            <w:tcW w:w="260" w:type="dxa"/>
            <w:vAlign w:val="bottom"/>
          </w:tcPr>
          <w:p>
            <w:pPr>
              <w:spacing w:after="0"/>
              <w:rPr>
                <w:sz w:val="18"/>
                <w:szCs w:val="18"/>
                <w:color w:val="auto"/>
              </w:rPr>
            </w:pPr>
          </w:p>
        </w:tc>
        <w:tc>
          <w:tcPr>
            <w:tcW w:w="1000" w:type="dxa"/>
            <w:vAlign w:val="bottom"/>
            <w:tcBorders>
              <w:right w:val="single" w:sz="8" w:color="auto"/>
            </w:tcBorders>
            <w:gridSpan w:val="3"/>
          </w:tcPr>
          <w:p>
            <w:pPr>
              <w:jc w:val="center"/>
              <w:ind w:left="24"/>
              <w:spacing w:after="0"/>
              <w:rPr>
                <w:sz w:val="20"/>
                <w:szCs w:val="20"/>
                <w:color w:val="auto"/>
              </w:rPr>
            </w:pPr>
            <w:r>
              <w:rPr>
                <w:rFonts w:ascii="Arial" w:cs="Arial" w:eastAsia="Arial" w:hAnsi="Arial"/>
                <w:sz w:val="7"/>
                <w:szCs w:val="7"/>
                <w:color w:val="auto"/>
              </w:rPr>
              <w:t>Less than 60%</w:t>
            </w:r>
          </w:p>
        </w:tc>
        <w:tc>
          <w:tcPr>
            <w:tcW w:w="0" w:type="dxa"/>
            <w:vAlign w:val="bottom"/>
          </w:tcPr>
          <w:p>
            <w:pPr>
              <w:spacing w:after="0"/>
              <w:rPr>
                <w:sz w:val="1"/>
                <w:szCs w:val="1"/>
                <w:color w:val="auto"/>
              </w:rPr>
            </w:pPr>
          </w:p>
        </w:tc>
      </w:tr>
      <w:tr>
        <w:trPr>
          <w:trHeight w:val="219"/>
        </w:trPr>
        <w:tc>
          <w:tcPr>
            <w:tcW w:w="1800" w:type="dxa"/>
            <w:vAlign w:val="bottom"/>
            <w:tcBorders>
              <w:left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Secured Debt / Total Assets</w:t>
            </w:r>
          </w:p>
        </w:tc>
        <w:tc>
          <w:tcPr>
            <w:tcW w:w="400" w:type="dxa"/>
            <w:vAlign w:val="bottom"/>
            <w:gridSpan w:val="2"/>
          </w:tcPr>
          <w:p>
            <w:pPr>
              <w:jc w:val="center"/>
              <w:ind w:left="164"/>
              <w:spacing w:after="0"/>
              <w:rPr>
                <w:sz w:val="20"/>
                <w:szCs w:val="20"/>
                <w:color w:val="auto"/>
              </w:rPr>
            </w:pPr>
            <w:r>
              <w:rPr>
                <w:rFonts w:ascii="Arial" w:cs="Arial" w:eastAsia="Arial" w:hAnsi="Arial"/>
                <w:sz w:val="7"/>
                <w:szCs w:val="7"/>
                <w:color w:val="auto"/>
              </w:rPr>
              <w:t>16.1%</w:t>
            </w:r>
          </w:p>
        </w:tc>
        <w:tc>
          <w:tcPr>
            <w:tcW w:w="26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left="24"/>
              <w:spacing w:after="0"/>
              <w:rPr>
                <w:sz w:val="20"/>
                <w:szCs w:val="20"/>
                <w:color w:val="auto"/>
              </w:rPr>
            </w:pPr>
            <w:r>
              <w:rPr>
                <w:rFonts w:ascii="Arial" w:cs="Arial" w:eastAsia="Arial" w:hAnsi="Arial"/>
                <w:sz w:val="7"/>
                <w:szCs w:val="7"/>
                <w:color w:val="auto"/>
              </w:rPr>
              <w:t>Less than 40%</w:t>
            </w:r>
          </w:p>
        </w:tc>
        <w:tc>
          <w:tcPr>
            <w:tcW w:w="0" w:type="dxa"/>
            <w:vAlign w:val="bottom"/>
          </w:tcPr>
          <w:p>
            <w:pPr>
              <w:spacing w:after="0"/>
              <w:rPr>
                <w:sz w:val="1"/>
                <w:szCs w:val="1"/>
                <w:color w:val="auto"/>
              </w:rPr>
            </w:pPr>
          </w:p>
        </w:tc>
      </w:tr>
      <w:tr>
        <w:trPr>
          <w:trHeight w:val="219"/>
        </w:trPr>
        <w:tc>
          <w:tcPr>
            <w:tcW w:w="1800" w:type="dxa"/>
            <w:vAlign w:val="bottom"/>
            <w:tcBorders>
              <w:left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Debt Service Coverage</w:t>
            </w:r>
          </w:p>
        </w:tc>
        <w:tc>
          <w:tcPr>
            <w:tcW w:w="180" w:type="dxa"/>
            <w:vAlign w:val="bottom"/>
          </w:tcPr>
          <w:p>
            <w:pPr>
              <w:spacing w:after="0"/>
              <w:rPr>
                <w:sz w:val="19"/>
                <w:szCs w:val="19"/>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7"/>
                <w:szCs w:val="7"/>
                <w:color w:val="auto"/>
              </w:rPr>
              <w:t>6.72x</w:t>
            </w:r>
          </w:p>
        </w:tc>
        <w:tc>
          <w:tcPr>
            <w:tcW w:w="1000" w:type="dxa"/>
            <w:vAlign w:val="bottom"/>
            <w:tcBorders>
              <w:right w:val="single" w:sz="8" w:color="auto"/>
            </w:tcBorders>
            <w:gridSpan w:val="3"/>
          </w:tcPr>
          <w:p>
            <w:pPr>
              <w:jc w:val="center"/>
              <w:ind w:left="24"/>
              <w:spacing w:after="0"/>
              <w:rPr>
                <w:sz w:val="20"/>
                <w:szCs w:val="20"/>
                <w:color w:val="auto"/>
              </w:rPr>
            </w:pPr>
            <w:r>
              <w:rPr>
                <w:rFonts w:ascii="Arial" w:cs="Arial" w:eastAsia="Arial" w:hAnsi="Arial"/>
                <w:sz w:val="7"/>
                <w:szCs w:val="7"/>
                <w:color w:val="auto"/>
              </w:rPr>
              <w:t>Greater than 1.5x</w:t>
            </w:r>
          </w:p>
        </w:tc>
        <w:tc>
          <w:tcPr>
            <w:tcW w:w="0" w:type="dxa"/>
            <w:vAlign w:val="bottom"/>
          </w:tcPr>
          <w:p>
            <w:pPr>
              <w:spacing w:after="0"/>
              <w:rPr>
                <w:sz w:val="1"/>
                <w:szCs w:val="1"/>
                <w:color w:val="auto"/>
              </w:rPr>
            </w:pPr>
          </w:p>
        </w:tc>
      </w:tr>
      <w:tr>
        <w:trPr>
          <w:trHeight w:val="219"/>
        </w:trPr>
        <w:tc>
          <w:tcPr>
            <w:tcW w:w="1800" w:type="dxa"/>
            <w:vAlign w:val="bottom"/>
            <w:tcBorders>
              <w:left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Unencumbered Assets / Unsecured Debt</w:t>
            </w:r>
          </w:p>
        </w:tc>
        <w:tc>
          <w:tcPr>
            <w:tcW w:w="660" w:type="dxa"/>
            <w:vAlign w:val="bottom"/>
            <w:gridSpan w:val="3"/>
          </w:tcPr>
          <w:p>
            <w:pPr>
              <w:jc w:val="center"/>
              <w:ind w:right="60"/>
              <w:spacing w:after="0"/>
              <w:rPr>
                <w:sz w:val="20"/>
                <w:szCs w:val="20"/>
                <w:color w:val="auto"/>
              </w:rPr>
            </w:pPr>
            <w:r>
              <w:rPr>
                <w:rFonts w:ascii="Arial" w:cs="Arial" w:eastAsia="Arial" w:hAnsi="Arial"/>
                <w:sz w:val="7"/>
                <w:szCs w:val="7"/>
                <w:color w:val="auto"/>
              </w:rPr>
              <w:t>719.3%</w:t>
            </w:r>
          </w:p>
        </w:tc>
        <w:tc>
          <w:tcPr>
            <w:tcW w:w="1000" w:type="dxa"/>
            <w:vAlign w:val="bottom"/>
            <w:tcBorders>
              <w:right w:val="single" w:sz="8" w:color="auto"/>
            </w:tcBorders>
            <w:gridSpan w:val="3"/>
          </w:tcPr>
          <w:p>
            <w:pPr>
              <w:jc w:val="center"/>
              <w:ind w:left="24"/>
              <w:spacing w:after="0"/>
              <w:rPr>
                <w:sz w:val="20"/>
                <w:szCs w:val="20"/>
                <w:color w:val="auto"/>
              </w:rPr>
            </w:pPr>
            <w:r>
              <w:rPr>
                <w:rFonts w:ascii="Arial" w:cs="Arial" w:eastAsia="Arial" w:hAnsi="Arial"/>
                <w:sz w:val="7"/>
                <w:szCs w:val="7"/>
                <w:color w:val="auto"/>
              </w:rPr>
              <w:t>Greater than 150%</w:t>
            </w:r>
          </w:p>
        </w:tc>
        <w:tc>
          <w:tcPr>
            <w:tcW w:w="0" w:type="dxa"/>
            <w:vAlign w:val="bottom"/>
          </w:tcPr>
          <w:p>
            <w:pPr>
              <w:spacing w:after="0"/>
              <w:rPr>
                <w:sz w:val="1"/>
                <w:szCs w:val="1"/>
                <w:color w:val="auto"/>
              </w:rPr>
            </w:pPr>
          </w:p>
        </w:tc>
      </w:tr>
      <w:tr>
        <w:trPr>
          <w:trHeight w:val="133"/>
        </w:trPr>
        <w:tc>
          <w:tcPr>
            <w:tcW w:w="1800" w:type="dxa"/>
            <w:vAlign w:val="bottom"/>
            <w:tcBorders>
              <w:left w:val="single" w:sz="8" w:color="auto"/>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1120"/>
        <w:spacing w:after="0"/>
        <w:rPr>
          <w:sz w:val="20"/>
          <w:szCs w:val="20"/>
          <w:color w:val="auto"/>
        </w:rPr>
      </w:pPr>
      <w:r>
        <w:rPr>
          <w:rFonts w:ascii="Arial" w:cs="Arial" w:eastAsia="Arial" w:hAnsi="Arial"/>
          <w:sz w:val="7"/>
          <w:szCs w:val="7"/>
          <w:b w:val="1"/>
          <w:bCs w:val="1"/>
          <w:color w:val="auto"/>
        </w:rPr>
        <w:t>Composition of Debt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1820" w:type="dxa"/>
            <w:vAlign w:val="bottom"/>
          </w:tcPr>
          <w:p>
            <w:pPr>
              <w:spacing w:after="0"/>
              <w:rPr>
                <w:sz w:val="20"/>
                <w:szCs w:val="20"/>
                <w:color w:val="auto"/>
              </w:rPr>
            </w:pPr>
            <w:r>
              <w:rPr>
                <w:rFonts w:ascii="Arial" w:cs="Arial" w:eastAsia="Arial" w:hAnsi="Arial"/>
                <w:sz w:val="7"/>
                <w:szCs w:val="7"/>
                <w:b w:val="1"/>
                <w:bCs w:val="1"/>
                <w:color w:val="auto"/>
              </w:rPr>
              <w:t>Fixed Rate Debt</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30"/>
        </w:trPr>
        <w:tc>
          <w:tcPr>
            <w:tcW w:w="1820" w:type="dxa"/>
            <w:vAlign w:val="bottom"/>
          </w:tcPr>
          <w:p>
            <w:pPr>
              <w:jc w:val="right"/>
              <w:ind w:right="204"/>
              <w:spacing w:after="0"/>
              <w:rPr>
                <w:sz w:val="20"/>
                <w:szCs w:val="20"/>
                <w:color w:val="auto"/>
              </w:rPr>
            </w:pPr>
            <w:r>
              <w:rPr>
                <w:rFonts w:ascii="Arial" w:cs="Arial" w:eastAsia="Arial" w:hAnsi="Arial"/>
                <w:sz w:val="7"/>
                <w:szCs w:val="7"/>
                <w:color w:val="auto"/>
              </w:rPr>
              <w:t>Consolidated</w:t>
            </w:r>
          </w:p>
        </w:tc>
        <w:tc>
          <w:tcPr>
            <w:tcW w:w="1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6,344,936</w:t>
            </w:r>
          </w:p>
        </w:tc>
        <w:tc>
          <w:tcPr>
            <w:tcW w:w="520" w:type="dxa"/>
            <w:vAlign w:val="bottom"/>
          </w:tcPr>
          <w:p>
            <w:pPr>
              <w:spacing w:after="0"/>
              <w:rPr>
                <w:sz w:val="19"/>
                <w:szCs w:val="19"/>
                <w:color w:val="auto"/>
              </w:rPr>
            </w:pPr>
          </w:p>
        </w:tc>
      </w:tr>
      <w:tr>
        <w:trPr>
          <w:trHeight w:val="225"/>
        </w:trPr>
        <w:tc>
          <w:tcPr>
            <w:tcW w:w="1820" w:type="dxa"/>
            <w:vAlign w:val="bottom"/>
          </w:tcPr>
          <w:p>
            <w:pPr>
              <w:jc w:val="right"/>
              <w:ind w:right="204"/>
              <w:spacing w:after="0"/>
              <w:rPr>
                <w:sz w:val="20"/>
                <w:szCs w:val="20"/>
                <w:color w:val="auto"/>
              </w:rPr>
            </w:pPr>
            <w:r>
              <w:rPr>
                <w:rFonts w:ascii="Arial" w:cs="Arial" w:eastAsia="Arial" w:hAnsi="Arial"/>
                <w:sz w:val="7"/>
                <w:szCs w:val="7"/>
                <w:color w:val="auto"/>
              </w:rPr>
              <w:t>SLG Share of JV</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653,564</w:t>
            </w:r>
          </w:p>
        </w:tc>
        <w:tc>
          <w:tcPr>
            <w:tcW w:w="520" w:type="dxa"/>
            <w:vAlign w:val="bottom"/>
          </w:tcPr>
          <w:p>
            <w:pPr>
              <w:spacing w:after="0"/>
              <w:rPr>
                <w:sz w:val="19"/>
                <w:szCs w:val="19"/>
                <w:color w:val="auto"/>
              </w:rPr>
            </w:pPr>
          </w:p>
        </w:tc>
      </w:tr>
      <w:tr>
        <w:trPr>
          <w:trHeight w:val="192"/>
        </w:trPr>
        <w:tc>
          <w:tcPr>
            <w:tcW w:w="1820" w:type="dxa"/>
            <w:vAlign w:val="bottom"/>
          </w:tcPr>
          <w:p>
            <w:pPr>
              <w:jc w:val="right"/>
              <w:ind w:right="204"/>
              <w:spacing w:after="0"/>
              <w:rPr>
                <w:sz w:val="20"/>
                <w:szCs w:val="20"/>
                <w:color w:val="auto"/>
              </w:rPr>
            </w:pPr>
            <w:r>
              <w:rPr>
                <w:rFonts w:ascii="Arial" w:cs="Arial" w:eastAsia="Arial" w:hAnsi="Arial"/>
                <w:sz w:val="7"/>
                <w:szCs w:val="7"/>
                <w:b w:val="1"/>
                <w:bCs w:val="1"/>
                <w:color w:val="auto"/>
              </w:rPr>
              <w:t>Total Fixed Rate Debt</w:t>
            </w: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b w:val="1"/>
                <w:bCs w:val="1"/>
                <w:color w:val="auto"/>
              </w:rPr>
              <w:t>6,998,500</w:t>
            </w: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72.5%</w:t>
            </w:r>
          </w:p>
        </w:tc>
      </w:tr>
      <w:tr>
        <w:trPr>
          <w:trHeight w:val="328"/>
        </w:trPr>
        <w:tc>
          <w:tcPr>
            <w:tcW w:w="1820" w:type="dxa"/>
            <w:vAlign w:val="bottom"/>
          </w:tcPr>
          <w:p>
            <w:pPr>
              <w:spacing w:after="0"/>
              <w:rPr>
                <w:sz w:val="20"/>
                <w:szCs w:val="20"/>
                <w:color w:val="auto"/>
              </w:rPr>
            </w:pPr>
            <w:r>
              <w:rPr>
                <w:rFonts w:ascii="Arial" w:cs="Arial" w:eastAsia="Arial" w:hAnsi="Arial"/>
                <w:sz w:val="7"/>
                <w:szCs w:val="7"/>
                <w:b w:val="1"/>
                <w:bCs w:val="1"/>
                <w:color w:val="auto"/>
              </w:rPr>
              <w:t>Floating Rate Debt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9"/>
        </w:trPr>
        <w:tc>
          <w:tcPr>
            <w:tcW w:w="1820" w:type="dxa"/>
            <w:vAlign w:val="bottom"/>
          </w:tcPr>
          <w:p>
            <w:pPr>
              <w:jc w:val="right"/>
              <w:ind w:right="204"/>
              <w:spacing w:after="0"/>
              <w:rPr>
                <w:sz w:val="20"/>
                <w:szCs w:val="20"/>
                <w:color w:val="auto"/>
              </w:rPr>
            </w:pPr>
            <w:r>
              <w:rPr>
                <w:rFonts w:ascii="Arial" w:cs="Arial" w:eastAsia="Arial" w:hAnsi="Arial"/>
                <w:sz w:val="7"/>
                <w:szCs w:val="7"/>
                <w:color w:val="auto"/>
              </w:rPr>
              <w:t>Consolidated</w:t>
            </w:r>
          </w:p>
        </w:tc>
        <w:tc>
          <w:tcPr>
            <w:tcW w:w="1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1,451,155</w:t>
            </w:r>
          </w:p>
        </w:tc>
        <w:tc>
          <w:tcPr>
            <w:tcW w:w="520" w:type="dxa"/>
            <w:vAlign w:val="bottom"/>
          </w:tcPr>
          <w:p>
            <w:pPr>
              <w:spacing w:after="0"/>
              <w:rPr>
                <w:sz w:val="19"/>
                <w:szCs w:val="19"/>
                <w:color w:val="auto"/>
              </w:rPr>
            </w:pPr>
          </w:p>
        </w:tc>
      </w:tr>
      <w:tr>
        <w:trPr>
          <w:trHeight w:val="225"/>
        </w:trPr>
        <w:tc>
          <w:tcPr>
            <w:tcW w:w="1820" w:type="dxa"/>
            <w:vAlign w:val="bottom"/>
          </w:tcPr>
          <w:p>
            <w:pPr>
              <w:jc w:val="right"/>
              <w:ind w:right="204"/>
              <w:spacing w:after="0"/>
              <w:rPr>
                <w:sz w:val="20"/>
                <w:szCs w:val="20"/>
                <w:color w:val="auto"/>
              </w:rPr>
            </w:pPr>
            <w:r>
              <w:rPr>
                <w:rFonts w:ascii="Arial" w:cs="Arial" w:eastAsia="Arial" w:hAnsi="Arial"/>
                <w:sz w:val="7"/>
                <w:szCs w:val="7"/>
                <w:color w:val="auto"/>
              </w:rPr>
              <w:t>SLG Share of JV</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1,200,568</w:t>
            </w:r>
          </w:p>
        </w:tc>
        <w:tc>
          <w:tcPr>
            <w:tcW w:w="520" w:type="dxa"/>
            <w:vAlign w:val="bottom"/>
          </w:tcPr>
          <w:p>
            <w:pPr>
              <w:spacing w:after="0"/>
              <w:rPr>
                <w:sz w:val="19"/>
                <w:szCs w:val="19"/>
                <w:color w:val="auto"/>
              </w:rPr>
            </w:pPr>
          </w:p>
        </w:tc>
      </w:tr>
      <w:tr>
        <w:trPr>
          <w:trHeight w:val="203"/>
        </w:trPr>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2,651,723</w:t>
            </w:r>
          </w:p>
        </w:tc>
        <w:tc>
          <w:tcPr>
            <w:tcW w:w="520" w:type="dxa"/>
            <w:vAlign w:val="bottom"/>
          </w:tcPr>
          <w:p>
            <w:pPr>
              <w:spacing w:after="0"/>
              <w:rPr>
                <w:sz w:val="17"/>
                <w:szCs w:val="17"/>
                <w:color w:val="auto"/>
              </w:rPr>
            </w:pPr>
          </w:p>
        </w:tc>
      </w:tr>
      <w:tr>
        <w:trPr>
          <w:trHeight w:val="225"/>
        </w:trPr>
        <w:tc>
          <w:tcPr>
            <w:tcW w:w="1820" w:type="dxa"/>
            <w:vAlign w:val="bottom"/>
          </w:tcPr>
          <w:p>
            <w:pPr>
              <w:jc w:val="right"/>
              <w:ind w:right="204"/>
              <w:spacing w:after="0"/>
              <w:rPr>
                <w:sz w:val="20"/>
                <w:szCs w:val="20"/>
                <w:color w:val="auto"/>
              </w:rPr>
            </w:pPr>
            <w:r>
              <w:rPr>
                <w:rFonts w:ascii="Arial" w:cs="Arial" w:eastAsia="Arial" w:hAnsi="Arial"/>
                <w:sz w:val="7"/>
                <w:szCs w:val="7"/>
                <w:color w:val="auto"/>
              </w:rPr>
              <w:t>Debt &amp; Preferred Equity and Other Investments</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(1,121,250)</w:t>
            </w:r>
          </w:p>
        </w:tc>
        <w:tc>
          <w:tcPr>
            <w:tcW w:w="520" w:type="dxa"/>
            <w:vAlign w:val="bottom"/>
          </w:tcPr>
          <w:p>
            <w:pPr>
              <w:spacing w:after="0"/>
              <w:rPr>
                <w:sz w:val="19"/>
                <w:szCs w:val="19"/>
                <w:color w:val="auto"/>
              </w:rPr>
            </w:pPr>
          </w:p>
        </w:tc>
      </w:tr>
      <w:tr>
        <w:trPr>
          <w:trHeight w:val="192"/>
        </w:trPr>
        <w:tc>
          <w:tcPr>
            <w:tcW w:w="1820" w:type="dxa"/>
            <w:vAlign w:val="bottom"/>
          </w:tcPr>
          <w:p>
            <w:pPr>
              <w:jc w:val="right"/>
              <w:ind w:right="184"/>
              <w:spacing w:after="0"/>
              <w:rPr>
                <w:sz w:val="20"/>
                <w:szCs w:val="20"/>
                <w:color w:val="auto"/>
              </w:rPr>
            </w:pPr>
            <w:r>
              <w:rPr>
                <w:rFonts w:ascii="Arial" w:cs="Arial" w:eastAsia="Arial" w:hAnsi="Arial"/>
                <w:sz w:val="7"/>
                <w:szCs w:val="7"/>
                <w:b w:val="1"/>
                <w:bCs w:val="1"/>
                <w:color w:val="auto"/>
              </w:rPr>
              <w:t>Total Floating Rate Debt</w:t>
            </w: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b w:val="1"/>
                <w:bCs w:val="1"/>
                <w:color w:val="auto"/>
              </w:rPr>
              <w:t>1,530,473</w:t>
            </w: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15.9%</w:t>
            </w:r>
          </w:p>
        </w:tc>
      </w:tr>
      <w:tr>
        <w:trPr>
          <w:trHeight w:val="438"/>
        </w:trPr>
        <w:tc>
          <w:tcPr>
            <w:tcW w:w="1820" w:type="dxa"/>
            <w:vAlign w:val="bottom"/>
          </w:tcPr>
          <w:p>
            <w:pPr>
              <w:jc w:val="right"/>
              <w:ind w:right="204"/>
              <w:spacing w:after="0"/>
              <w:rPr>
                <w:sz w:val="20"/>
                <w:szCs w:val="20"/>
                <w:color w:val="auto"/>
              </w:rPr>
            </w:pPr>
            <w:r>
              <w:rPr>
                <w:rFonts w:ascii="Arial" w:cs="Arial" w:eastAsia="Arial" w:hAnsi="Arial"/>
                <w:sz w:val="7"/>
                <w:szCs w:val="7"/>
                <w:b w:val="1"/>
                <w:bCs w:val="1"/>
                <w:color w:val="auto"/>
              </w:rPr>
              <w:t>Total Debt</w:t>
            </w:r>
          </w:p>
        </w:tc>
        <w:tc>
          <w:tcPr>
            <w:tcW w:w="1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w:t>
            </w: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9,650,223</w:t>
            </w:r>
          </w:p>
        </w:tc>
        <w:tc>
          <w:tcPr>
            <w:tcW w:w="520" w:type="dxa"/>
            <w:vAlign w:val="bottom"/>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09" w:lineRule="exact"/>
        <w:rPr>
          <w:sz w:val="20"/>
          <w:szCs w:val="20"/>
          <w:color w:val="auto"/>
        </w:rPr>
      </w:pPr>
    </w:p>
    <w:p>
      <w:pPr>
        <w:sectPr>
          <w:pgSz w:w="11900" w:h="16838" w:orient="portrait"/>
          <w:cols w:equalWidth="0" w:num="2">
            <w:col w:w="5140" w:space="720"/>
            <w:col w:w="4220"/>
          </w:cols>
          <w:pgMar w:left="900" w:top="338" w:right="919" w:bottom="1440" w:gutter="0" w:footer="0" w:header="0"/>
          <w:type w:val="continuous"/>
        </w:sectPr>
      </w:pPr>
    </w:p>
    <w:p>
      <w:pPr>
        <w:spacing w:after="0" w:line="298"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26</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8" w:right="9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5207635</wp:posOffset>
            </wp:positionH>
            <wp:positionV relativeFrom="paragraph">
              <wp:posOffset>-48895</wp:posOffset>
            </wp:positionV>
            <wp:extent cx="1207770" cy="360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7770"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Reckson Operating Partnership</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94"/>
        </w:trPr>
        <w:tc>
          <w:tcPr>
            <w:tcW w:w="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7"/>
                <w:szCs w:val="7"/>
                <w:b w:val="1"/>
                <w:bCs w:val="1"/>
                <w:color w:val="auto"/>
              </w:rPr>
              <w:t>Principal</w:t>
            </w: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2016</w:t>
            </w:r>
          </w:p>
        </w:tc>
        <w:tc>
          <w:tcPr>
            <w:tcW w:w="1020" w:type="dxa"/>
            <w:vAlign w:val="bottom"/>
          </w:tcPr>
          <w:p>
            <w:pPr>
              <w:jc w:val="right"/>
              <w:spacing w:after="0"/>
              <w:rPr>
                <w:sz w:val="20"/>
                <w:szCs w:val="20"/>
                <w:color w:val="auto"/>
              </w:rPr>
            </w:pPr>
            <w:r>
              <w:rPr>
                <w:rFonts w:ascii="Arial" w:cs="Arial" w:eastAsia="Arial" w:hAnsi="Arial"/>
                <w:sz w:val="7"/>
                <w:szCs w:val="7"/>
                <w:b w:val="1"/>
                <w:bCs w:val="1"/>
                <w:color w:val="auto"/>
              </w:rPr>
              <w:t>Initial</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Principal</w:t>
            </w:r>
          </w:p>
        </w:tc>
        <w:tc>
          <w:tcPr>
            <w:tcW w:w="1100" w:type="dxa"/>
            <w:vAlign w:val="bottom"/>
          </w:tcPr>
          <w:p>
            <w:pPr>
              <w:jc w:val="right"/>
              <w:ind w:right="104"/>
              <w:spacing w:after="0"/>
              <w:rPr>
                <w:sz w:val="20"/>
                <w:szCs w:val="20"/>
                <w:color w:val="auto"/>
              </w:rPr>
            </w:pPr>
            <w:r>
              <w:rPr>
                <w:rFonts w:ascii="Arial" w:cs="Arial" w:eastAsia="Arial" w:hAnsi="Arial"/>
                <w:sz w:val="7"/>
                <w:szCs w:val="7"/>
                <w:b w:val="1"/>
                <w:bCs w:val="1"/>
                <w:color w:val="auto"/>
              </w:rPr>
              <w:t>As-Of</w:t>
            </w:r>
          </w:p>
        </w:tc>
        <w:tc>
          <w:tcPr>
            <w:tcW w:w="580" w:type="dxa"/>
            <w:vAlign w:val="bottom"/>
          </w:tcPr>
          <w:p>
            <w:pPr>
              <w:spacing w:after="0"/>
              <w:rPr>
                <w:sz w:val="8"/>
                <w:szCs w:val="8"/>
                <w:color w:val="auto"/>
              </w:rPr>
            </w:pPr>
          </w:p>
        </w:tc>
      </w:tr>
      <w:tr>
        <w:trPr>
          <w:trHeight w:val="219"/>
        </w:trPr>
        <w:tc>
          <w:tcPr>
            <w:tcW w:w="960" w:type="dxa"/>
            <w:vAlign w:val="bottom"/>
          </w:tcPr>
          <w:p>
            <w:pPr>
              <w:spacing w:after="0"/>
              <w:rPr>
                <w:sz w:val="19"/>
                <w:szCs w:val="19"/>
                <w:color w:val="auto"/>
              </w:rPr>
            </w:pPr>
          </w:p>
        </w:tc>
        <w:tc>
          <w:tcPr>
            <w:tcW w:w="1840" w:type="dxa"/>
            <w:vAlign w:val="bottom"/>
          </w:tcPr>
          <w:p>
            <w:pPr>
              <w:ind w:left="760"/>
              <w:spacing w:after="0"/>
              <w:rPr>
                <w:sz w:val="20"/>
                <w:szCs w:val="20"/>
                <w:color w:val="auto"/>
              </w:rPr>
            </w:pPr>
            <w:r>
              <w:rPr>
                <w:rFonts w:ascii="Arial" w:cs="Arial" w:eastAsia="Arial" w:hAnsi="Arial"/>
                <w:sz w:val="7"/>
                <w:szCs w:val="7"/>
                <w:b w:val="1"/>
                <w:bCs w:val="1"/>
                <w:color w:val="auto"/>
              </w:rPr>
              <w:t>Ownership</w:t>
            </w:r>
          </w:p>
        </w:tc>
        <w:tc>
          <w:tcPr>
            <w:tcW w:w="18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7"/>
                <w:szCs w:val="7"/>
                <w:b w:val="1"/>
                <w:bCs w:val="1"/>
                <w:color w:val="auto"/>
              </w:rPr>
              <w:t>Outstanding</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Principal</w:t>
            </w:r>
          </w:p>
        </w:tc>
        <w:tc>
          <w:tcPr>
            <w:tcW w:w="1020" w:type="dxa"/>
            <w:vAlign w:val="bottom"/>
          </w:tcPr>
          <w:p>
            <w:pPr>
              <w:jc w:val="right"/>
              <w:spacing w:after="0"/>
              <w:rPr>
                <w:sz w:val="20"/>
                <w:szCs w:val="20"/>
                <w:color w:val="auto"/>
              </w:rPr>
            </w:pPr>
            <w:r>
              <w:rPr>
                <w:rFonts w:ascii="Arial" w:cs="Arial" w:eastAsia="Arial" w:hAnsi="Arial"/>
                <w:sz w:val="7"/>
                <w:szCs w:val="7"/>
                <w:b w:val="1"/>
                <w:bCs w:val="1"/>
                <w:color w:val="auto"/>
              </w:rPr>
              <w:t>Maturity</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Due at</w:t>
            </w:r>
          </w:p>
        </w:tc>
        <w:tc>
          <w:tcPr>
            <w:tcW w:w="1100" w:type="dxa"/>
            <w:vAlign w:val="bottom"/>
          </w:tcPr>
          <w:p>
            <w:pPr>
              <w:jc w:val="right"/>
              <w:ind w:right="104"/>
              <w:spacing w:after="0"/>
              <w:rPr>
                <w:sz w:val="20"/>
                <w:szCs w:val="20"/>
                <w:color w:val="auto"/>
              </w:rPr>
            </w:pPr>
            <w:r>
              <w:rPr>
                <w:rFonts w:ascii="Arial" w:cs="Arial" w:eastAsia="Arial" w:hAnsi="Arial"/>
                <w:sz w:val="7"/>
                <w:szCs w:val="7"/>
                <w:b w:val="1"/>
                <w:bCs w:val="1"/>
                <w:color w:val="auto"/>
              </w:rPr>
              <w:t>Right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Earliest</w:t>
            </w:r>
          </w:p>
        </w:tc>
      </w:tr>
      <w:tr>
        <w:trPr>
          <w:trHeight w:val="225"/>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Fixed rate debt</w:t>
            </w:r>
          </w:p>
        </w:tc>
        <w:tc>
          <w:tcPr>
            <w:tcW w:w="1840" w:type="dxa"/>
            <w:vAlign w:val="bottom"/>
            <w:tcBorders>
              <w:bottom w:val="single" w:sz="8" w:color="auto"/>
            </w:tcBorders>
          </w:tcPr>
          <w:p>
            <w:pPr>
              <w:ind w:left="760"/>
              <w:spacing w:after="0"/>
              <w:rPr>
                <w:sz w:val="20"/>
                <w:szCs w:val="20"/>
                <w:color w:val="auto"/>
              </w:rPr>
            </w:pPr>
            <w:r>
              <w:rPr>
                <w:rFonts w:ascii="Arial" w:cs="Arial" w:eastAsia="Arial" w:hAnsi="Arial"/>
                <w:sz w:val="7"/>
                <w:szCs w:val="7"/>
                <w:b w:val="1"/>
                <w:bCs w:val="1"/>
                <w:color w:val="auto"/>
              </w:rPr>
              <w:t>Interest (%)</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6/30/2016</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7"/>
                <w:szCs w:val="7"/>
                <w:b w:val="1"/>
                <w:bCs w:val="1"/>
                <w:color w:val="auto"/>
              </w:rPr>
              <w:t xml:space="preserve">Coupon </w:t>
            </w:r>
            <w:r>
              <w:rPr>
                <w:rFonts w:ascii="Arial" w:cs="Arial" w:eastAsia="Arial" w:hAnsi="Arial"/>
                <w:sz w:val="6"/>
                <w:szCs w:val="6"/>
                <w:b w:val="1"/>
                <w:bCs w:val="1"/>
                <w:color w:val="auto"/>
              </w:rPr>
              <w:t>(1)</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Amortization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Date</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Maturity</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Extension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Prepayment</w:t>
            </w:r>
          </w:p>
        </w:tc>
      </w:tr>
      <w:tr>
        <w:trPr>
          <w:trHeight w:val="203"/>
        </w:trPr>
        <w:tc>
          <w:tcPr>
            <w:tcW w:w="960" w:type="dxa"/>
            <w:vAlign w:val="bottom"/>
          </w:tcPr>
          <w:p>
            <w:pPr>
              <w:ind w:left="20"/>
              <w:spacing w:after="0"/>
              <w:rPr>
                <w:sz w:val="20"/>
                <w:szCs w:val="20"/>
                <w:color w:val="auto"/>
              </w:rPr>
            </w:pPr>
            <w:r>
              <w:rPr>
                <w:rFonts w:ascii="Arial" w:cs="Arial" w:eastAsia="Arial" w:hAnsi="Arial"/>
                <w:sz w:val="7"/>
                <w:szCs w:val="7"/>
                <w:b w:val="1"/>
                <w:bCs w:val="1"/>
                <w:color w:val="auto"/>
              </w:rPr>
              <w:t>Secured fixed rate debt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5"/>
        </w:trPr>
        <w:tc>
          <w:tcPr>
            <w:tcW w:w="960" w:type="dxa"/>
            <w:vAlign w:val="bottom"/>
          </w:tcPr>
          <w:p>
            <w:pPr>
              <w:ind w:left="360"/>
              <w:spacing w:after="0"/>
              <w:rPr>
                <w:sz w:val="20"/>
                <w:szCs w:val="20"/>
                <w:color w:val="auto"/>
              </w:rPr>
            </w:pPr>
            <w:r>
              <w:rPr>
                <w:rFonts w:ascii="Arial" w:cs="Arial" w:eastAsia="Arial" w:hAnsi="Arial"/>
                <w:sz w:val="7"/>
                <w:szCs w:val="7"/>
                <w:color w:val="auto"/>
              </w:rPr>
              <w:t>919 Third Avenue</w:t>
            </w:r>
          </w:p>
        </w:tc>
        <w:tc>
          <w:tcPr>
            <w:tcW w:w="1840" w:type="dxa"/>
            <w:vAlign w:val="bottom"/>
          </w:tcPr>
          <w:p>
            <w:pPr>
              <w:ind w:left="780"/>
              <w:spacing w:after="0"/>
              <w:rPr>
                <w:sz w:val="20"/>
                <w:szCs w:val="20"/>
                <w:color w:val="auto"/>
              </w:rPr>
            </w:pPr>
            <w:r>
              <w:rPr>
                <w:rFonts w:ascii="Arial" w:cs="Arial" w:eastAsia="Arial" w:hAnsi="Arial"/>
                <w:sz w:val="7"/>
                <w:szCs w:val="7"/>
                <w:color w:val="auto"/>
              </w:rPr>
              <w:t>51.0</w:t>
            </w:r>
          </w:p>
        </w:tc>
        <w:tc>
          <w:tcPr>
            <w:tcW w:w="1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500,000</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5.12%</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3,566</w:t>
            </w:r>
          </w:p>
        </w:tc>
        <w:tc>
          <w:tcPr>
            <w:tcW w:w="1020" w:type="dxa"/>
            <w:vAlign w:val="bottom"/>
          </w:tcPr>
          <w:p>
            <w:pPr>
              <w:jc w:val="right"/>
              <w:spacing w:after="0"/>
              <w:rPr>
                <w:sz w:val="20"/>
                <w:szCs w:val="20"/>
                <w:color w:val="auto"/>
              </w:rPr>
            </w:pPr>
            <w:r>
              <w:rPr>
                <w:rFonts w:ascii="Arial" w:cs="Arial" w:eastAsia="Arial" w:hAnsi="Arial"/>
                <w:sz w:val="7"/>
                <w:szCs w:val="7"/>
                <w:color w:val="auto"/>
              </w:rPr>
              <w:t>Jun-23</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124"/>
              <w:spacing w:after="0"/>
              <w:rPr>
                <w:sz w:val="20"/>
                <w:szCs w:val="20"/>
                <w:color w:val="auto"/>
              </w:rPr>
            </w:pPr>
            <w:r>
              <w:rPr>
                <w:rFonts w:ascii="Arial" w:cs="Arial" w:eastAsia="Arial" w:hAnsi="Arial"/>
                <w:sz w:val="7"/>
                <w:szCs w:val="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441,594</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92"/>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500,000</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5.12%</w:t>
            </w:r>
          </w:p>
        </w:tc>
        <w:tc>
          <w:tcPr>
            <w:tcW w:w="36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3,566</w:t>
            </w:r>
          </w:p>
        </w:tc>
        <w:tc>
          <w:tcPr>
            <w:tcW w:w="1020" w:type="dxa"/>
            <w:vAlign w:val="bottom"/>
          </w:tcPr>
          <w:p>
            <w:pPr>
              <w:spacing w:after="0"/>
              <w:rPr>
                <w:sz w:val="16"/>
                <w:szCs w:val="16"/>
                <w:color w:val="auto"/>
              </w:rPr>
            </w:pPr>
          </w:p>
        </w:tc>
        <w:tc>
          <w:tcPr>
            <w:tcW w:w="58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441,594</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960" w:type="dxa"/>
            <w:vAlign w:val="bottom"/>
          </w:tcPr>
          <w:p>
            <w:pPr>
              <w:ind w:left="20"/>
              <w:spacing w:after="0"/>
              <w:rPr>
                <w:sz w:val="20"/>
                <w:szCs w:val="20"/>
                <w:color w:val="auto"/>
              </w:rPr>
            </w:pPr>
            <w:r>
              <w:rPr>
                <w:rFonts w:ascii="Arial" w:cs="Arial" w:eastAsia="Arial" w:hAnsi="Arial"/>
                <w:sz w:val="7"/>
                <w:szCs w:val="7"/>
                <w:b w:val="1"/>
                <w:bCs w:val="1"/>
                <w:color w:val="auto"/>
              </w:rPr>
              <w:t>Unsecured fixed rate debt</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9"/>
        </w:trPr>
        <w:tc>
          <w:tcPr>
            <w:tcW w:w="960" w:type="dxa"/>
            <w:vAlign w:val="bottom"/>
          </w:tcPr>
          <w:p>
            <w:pPr>
              <w:ind w:left="360"/>
              <w:spacing w:after="0"/>
              <w:rPr>
                <w:sz w:val="20"/>
                <w:szCs w:val="20"/>
                <w:color w:val="auto"/>
              </w:rPr>
            </w:pPr>
            <w:r>
              <w:rPr>
                <w:rFonts w:ascii="Arial" w:cs="Arial" w:eastAsia="Arial" w:hAnsi="Arial"/>
                <w:sz w:val="7"/>
                <w:szCs w:val="7"/>
                <w:color w:val="auto"/>
              </w:rPr>
              <w:t>Unsecured notes</w:t>
            </w:r>
          </w:p>
        </w:tc>
        <w:tc>
          <w:tcPr>
            <w:tcW w:w="1840" w:type="dxa"/>
            <w:vAlign w:val="bottom"/>
          </w:tcPr>
          <w:p>
            <w:pPr>
              <w:spacing w:after="0"/>
              <w:rPr>
                <w:sz w:val="19"/>
                <w:szCs w:val="19"/>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560" w:type="dxa"/>
            <w:vAlign w:val="bottom"/>
          </w:tcPr>
          <w:p>
            <w:pPr>
              <w:jc w:val="right"/>
              <w:spacing w:after="0"/>
              <w:rPr>
                <w:sz w:val="20"/>
                <w:szCs w:val="20"/>
                <w:color w:val="auto"/>
              </w:rPr>
            </w:pPr>
            <w:r>
              <w:rPr>
                <w:rFonts w:ascii="Arial" w:cs="Arial" w:eastAsia="Arial" w:hAnsi="Arial"/>
                <w:sz w:val="7"/>
                <w:szCs w:val="7"/>
                <w:color w:val="auto"/>
              </w:rPr>
              <w:t>249,845</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5.00%</w:t>
            </w:r>
          </w:p>
        </w:tc>
        <w:tc>
          <w:tcPr>
            <w:tcW w:w="360" w:type="dxa"/>
            <w:vAlign w:val="bottom"/>
          </w:tcPr>
          <w:p>
            <w:pPr>
              <w:spacing w:after="0"/>
              <w:rPr>
                <w:sz w:val="19"/>
                <w:szCs w:val="19"/>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Aug-18</w:t>
            </w:r>
          </w:p>
        </w:tc>
        <w:tc>
          <w:tcPr>
            <w:tcW w:w="580" w:type="dxa"/>
            <w:vAlign w:val="bottom"/>
            <w:gridSpan w:val="2"/>
          </w:tcPr>
          <w:p>
            <w:pPr>
              <w:jc w:val="right"/>
              <w:ind w:right="124"/>
              <w:spacing w:after="0"/>
              <w:rPr>
                <w:sz w:val="20"/>
                <w:szCs w:val="20"/>
                <w:color w:val="auto"/>
              </w:rPr>
            </w:pPr>
            <w:r>
              <w:rPr>
                <w:rFonts w:ascii="Arial" w:cs="Arial" w:eastAsia="Arial" w:hAnsi="Arial"/>
                <w:sz w:val="7"/>
                <w:szCs w:val="7"/>
                <w:color w:val="auto"/>
              </w:rPr>
              <w:t>$</w:t>
            </w:r>
          </w:p>
        </w:tc>
        <w:tc>
          <w:tcPr>
            <w:tcW w:w="480" w:type="dxa"/>
            <w:vAlign w:val="bottom"/>
          </w:tcPr>
          <w:p>
            <w:pPr>
              <w:jc w:val="right"/>
              <w:spacing w:after="0"/>
              <w:rPr>
                <w:sz w:val="20"/>
                <w:szCs w:val="20"/>
                <w:color w:val="auto"/>
              </w:rPr>
            </w:pPr>
            <w:r>
              <w:rPr>
                <w:rFonts w:ascii="Arial" w:cs="Arial" w:eastAsia="Arial" w:hAnsi="Arial"/>
                <w:sz w:val="7"/>
                <w:szCs w:val="7"/>
                <w:color w:val="auto"/>
              </w:rPr>
              <w:t>250,000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2800" w:type="dxa"/>
            <w:vAlign w:val="bottom"/>
            <w:gridSpan w:val="2"/>
          </w:tcPr>
          <w:p>
            <w:pPr>
              <w:ind w:left="360"/>
              <w:spacing w:after="0"/>
              <w:rPr>
                <w:sz w:val="20"/>
                <w:szCs w:val="20"/>
                <w:color w:val="auto"/>
              </w:rPr>
            </w:pPr>
            <w:r>
              <w:rPr>
                <w:rFonts w:ascii="Arial" w:cs="Arial" w:eastAsia="Arial" w:hAnsi="Arial"/>
                <w:sz w:val="7"/>
                <w:szCs w:val="7"/>
                <w:color w:val="auto"/>
              </w:rPr>
              <w:t>Term loan (swapped)</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500,000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2.34%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Jun-19</w:t>
            </w:r>
          </w:p>
        </w:tc>
        <w:tc>
          <w:tcPr>
            <w:tcW w:w="360" w:type="dxa"/>
            <w:vAlign w:val="bottom"/>
          </w:tcPr>
          <w:p>
            <w:pPr>
              <w:jc w:val="right"/>
              <w:ind w:right="204"/>
              <w:spacing w:after="0"/>
              <w:rPr>
                <w:sz w:val="20"/>
                <w:szCs w:val="20"/>
                <w:color w:val="auto"/>
              </w:rPr>
            </w:pPr>
            <w:r>
              <w:rPr>
                <w:rFonts w:ascii="Arial" w:cs="Arial" w:eastAsia="Arial" w:hAnsi="Arial"/>
                <w:sz w:val="7"/>
                <w:szCs w:val="7"/>
                <w:color w:val="auto"/>
              </w:rPr>
              <w:t>(2)</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500,000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960" w:type="dxa"/>
            <w:vAlign w:val="bottom"/>
          </w:tcPr>
          <w:p>
            <w:pPr>
              <w:ind w:left="360"/>
              <w:spacing w:after="0"/>
              <w:rPr>
                <w:sz w:val="20"/>
                <w:szCs w:val="20"/>
                <w:color w:val="auto"/>
              </w:rPr>
            </w:pPr>
            <w:r>
              <w:rPr>
                <w:rFonts w:ascii="Arial" w:cs="Arial" w:eastAsia="Arial" w:hAnsi="Arial"/>
                <w:sz w:val="7"/>
                <w:szCs w:val="7"/>
                <w:color w:val="auto"/>
              </w:rPr>
              <w:t>Unsecured notes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250,000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7.75%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Mar-20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250,000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960" w:type="dxa"/>
            <w:vAlign w:val="bottom"/>
          </w:tcPr>
          <w:p>
            <w:pPr>
              <w:ind w:left="360"/>
              <w:spacing w:after="0"/>
              <w:rPr>
                <w:sz w:val="20"/>
                <w:szCs w:val="20"/>
                <w:color w:val="auto"/>
              </w:rPr>
            </w:pPr>
            <w:r>
              <w:rPr>
                <w:rFonts w:ascii="Arial" w:cs="Arial" w:eastAsia="Arial" w:hAnsi="Arial"/>
                <w:sz w:val="7"/>
                <w:szCs w:val="7"/>
                <w:color w:val="auto"/>
              </w:rPr>
              <w:t>Unsecured notes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200,000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4.50%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Dec-22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200,000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25"/>
        </w:trPr>
        <w:tc>
          <w:tcPr>
            <w:tcW w:w="960" w:type="dxa"/>
            <w:vAlign w:val="bottom"/>
          </w:tcPr>
          <w:p>
            <w:pPr>
              <w:ind w:left="360"/>
              <w:spacing w:after="0"/>
              <w:rPr>
                <w:sz w:val="20"/>
                <w:szCs w:val="20"/>
                <w:color w:val="auto"/>
              </w:rPr>
            </w:pPr>
            <w:r>
              <w:rPr>
                <w:rFonts w:ascii="Arial" w:cs="Arial" w:eastAsia="Arial" w:hAnsi="Arial"/>
                <w:sz w:val="7"/>
                <w:szCs w:val="7"/>
                <w:color w:val="auto"/>
              </w:rPr>
              <w:t>Unsecured notes</w:t>
            </w:r>
          </w:p>
        </w:tc>
        <w:tc>
          <w:tcPr>
            <w:tcW w:w="1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100,000</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4.27%</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Dec-25</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92"/>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1,299,845</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4.37%</w:t>
            </w:r>
          </w:p>
        </w:tc>
        <w:tc>
          <w:tcPr>
            <w:tcW w:w="36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1,300,000</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11"/>
        </w:trPr>
        <w:tc>
          <w:tcPr>
            <w:tcW w:w="9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86"/>
        </w:trPr>
        <w:tc>
          <w:tcPr>
            <w:tcW w:w="960" w:type="dxa"/>
            <w:vAlign w:val="bottom"/>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7"/>
                <w:szCs w:val="7"/>
                <w:b w:val="1"/>
                <w:bCs w:val="1"/>
                <w:color w:val="auto"/>
              </w:rPr>
              <w:t>Total Fixed Rate Debt/Wtd Avg</w:t>
            </w: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1,799,845</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4.58%</w:t>
            </w:r>
          </w:p>
        </w:tc>
        <w:tc>
          <w:tcPr>
            <w:tcW w:w="36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3,566</w:t>
            </w:r>
          </w:p>
        </w:tc>
        <w:tc>
          <w:tcPr>
            <w:tcW w:w="1020" w:type="dxa"/>
            <w:vAlign w:val="bottom"/>
          </w:tcPr>
          <w:p>
            <w:pPr>
              <w:spacing w:after="0"/>
              <w:rPr>
                <w:sz w:val="16"/>
                <w:szCs w:val="16"/>
                <w:color w:val="auto"/>
              </w:rPr>
            </w:pPr>
          </w:p>
        </w:tc>
        <w:tc>
          <w:tcPr>
            <w:tcW w:w="58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1,741,594</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5"/>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Floating rate debt</w:t>
            </w:r>
          </w:p>
        </w:tc>
        <w:tc>
          <w:tcPr>
            <w:tcW w:w="1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203"/>
        </w:trPr>
        <w:tc>
          <w:tcPr>
            <w:tcW w:w="960" w:type="dxa"/>
            <w:vAlign w:val="bottom"/>
          </w:tcPr>
          <w:p>
            <w:pPr>
              <w:ind w:left="20"/>
              <w:spacing w:after="0"/>
              <w:rPr>
                <w:sz w:val="20"/>
                <w:szCs w:val="20"/>
                <w:color w:val="auto"/>
              </w:rPr>
            </w:pPr>
            <w:r>
              <w:rPr>
                <w:rFonts w:ascii="Arial" w:cs="Arial" w:eastAsia="Arial" w:hAnsi="Arial"/>
                <w:sz w:val="7"/>
                <w:szCs w:val="7"/>
                <w:b w:val="1"/>
                <w:bCs w:val="1"/>
                <w:color w:val="auto"/>
              </w:rPr>
              <w:t>Secured floating rate debt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5"/>
        </w:trPr>
        <w:tc>
          <w:tcPr>
            <w:tcW w:w="2800" w:type="dxa"/>
            <w:vAlign w:val="bottom"/>
            <w:gridSpan w:val="2"/>
          </w:tcPr>
          <w:p>
            <w:pPr>
              <w:ind w:left="360"/>
              <w:spacing w:after="0"/>
              <w:rPr>
                <w:sz w:val="20"/>
                <w:szCs w:val="20"/>
                <w:color w:val="auto"/>
              </w:rPr>
            </w:pPr>
            <w:r>
              <w:rPr>
                <w:rFonts w:ascii="Arial" w:cs="Arial" w:eastAsia="Arial" w:hAnsi="Arial"/>
                <w:sz w:val="7"/>
                <w:szCs w:val="7"/>
                <w:color w:val="auto"/>
              </w:rPr>
              <w:t>Debt &amp; preferred equity facility (LIBOR + 310 bps)</w:t>
            </w:r>
          </w:p>
        </w:tc>
        <w:tc>
          <w:tcPr>
            <w:tcW w:w="1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134,259</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3.57%</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Jul-16</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124"/>
              <w:spacing w:after="0"/>
              <w:rPr>
                <w:sz w:val="20"/>
                <w:szCs w:val="20"/>
                <w:color w:val="auto"/>
              </w:rPr>
            </w:pPr>
            <w:r>
              <w:rPr>
                <w:rFonts w:ascii="Arial" w:cs="Arial" w:eastAsia="Arial" w:hAnsi="Arial"/>
                <w:sz w:val="7"/>
                <w:szCs w:val="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134,259</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92"/>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134,259</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3.57%</w:t>
            </w:r>
          </w:p>
        </w:tc>
        <w:tc>
          <w:tcPr>
            <w:tcW w:w="36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134,259</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2800" w:type="dxa"/>
            <w:vAlign w:val="bottom"/>
            <w:gridSpan w:val="2"/>
          </w:tcPr>
          <w:p>
            <w:pPr>
              <w:ind w:left="20"/>
              <w:spacing w:after="0"/>
              <w:rPr>
                <w:sz w:val="20"/>
                <w:szCs w:val="20"/>
                <w:color w:val="auto"/>
              </w:rPr>
            </w:pPr>
            <w:r>
              <w:rPr>
                <w:rFonts w:ascii="Arial" w:cs="Arial" w:eastAsia="Arial" w:hAnsi="Arial"/>
                <w:sz w:val="7"/>
                <w:szCs w:val="7"/>
                <w:b w:val="1"/>
                <w:bCs w:val="1"/>
                <w:color w:val="auto"/>
              </w:rPr>
              <w:t>Unsecured floating rate debt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9"/>
        </w:trPr>
        <w:tc>
          <w:tcPr>
            <w:tcW w:w="2800" w:type="dxa"/>
            <w:vAlign w:val="bottom"/>
            <w:gridSpan w:val="2"/>
          </w:tcPr>
          <w:p>
            <w:pPr>
              <w:ind w:left="360"/>
              <w:spacing w:after="0"/>
              <w:rPr>
                <w:sz w:val="20"/>
                <w:szCs w:val="20"/>
                <w:color w:val="auto"/>
              </w:rPr>
            </w:pPr>
            <w:r>
              <w:rPr>
                <w:rFonts w:ascii="Arial" w:cs="Arial" w:eastAsia="Arial" w:hAnsi="Arial"/>
                <w:sz w:val="7"/>
                <w:szCs w:val="7"/>
                <w:color w:val="auto"/>
              </w:rPr>
              <w:t>Revolving credit facility (LIBOR + 125 bps)</w:t>
            </w:r>
          </w:p>
        </w:tc>
        <w:tc>
          <w:tcPr>
            <w:tcW w:w="1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560" w:type="dxa"/>
            <w:vAlign w:val="bottom"/>
          </w:tcPr>
          <w:p>
            <w:pPr>
              <w:jc w:val="right"/>
              <w:spacing w:after="0"/>
              <w:rPr>
                <w:sz w:val="20"/>
                <w:szCs w:val="20"/>
                <w:color w:val="auto"/>
              </w:rPr>
            </w:pPr>
            <w:r>
              <w:rPr>
                <w:rFonts w:ascii="Arial" w:cs="Arial" w:eastAsia="Arial" w:hAnsi="Arial"/>
                <w:sz w:val="7"/>
                <w:szCs w:val="7"/>
                <w:color w:val="auto"/>
              </w:rPr>
              <w:t>285,000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1.72%</w:t>
            </w:r>
          </w:p>
        </w:tc>
        <w:tc>
          <w:tcPr>
            <w:tcW w:w="360" w:type="dxa"/>
            <w:vAlign w:val="bottom"/>
          </w:tcPr>
          <w:p>
            <w:pPr>
              <w:spacing w:after="0"/>
              <w:rPr>
                <w:sz w:val="19"/>
                <w:szCs w:val="19"/>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Mar-19</w:t>
            </w:r>
          </w:p>
        </w:tc>
        <w:tc>
          <w:tcPr>
            <w:tcW w:w="580" w:type="dxa"/>
            <w:vAlign w:val="bottom"/>
            <w:gridSpan w:val="2"/>
          </w:tcPr>
          <w:p>
            <w:pPr>
              <w:jc w:val="right"/>
              <w:ind w:right="124"/>
              <w:spacing w:after="0"/>
              <w:rPr>
                <w:sz w:val="20"/>
                <w:szCs w:val="20"/>
                <w:color w:val="auto"/>
              </w:rPr>
            </w:pPr>
            <w:r>
              <w:rPr>
                <w:rFonts w:ascii="Arial" w:cs="Arial" w:eastAsia="Arial" w:hAnsi="Arial"/>
                <w:sz w:val="7"/>
                <w:szCs w:val="7"/>
                <w:color w:val="auto"/>
              </w:rPr>
              <w:t>$</w:t>
            </w:r>
          </w:p>
        </w:tc>
        <w:tc>
          <w:tcPr>
            <w:tcW w:w="480" w:type="dxa"/>
            <w:vAlign w:val="bottom"/>
          </w:tcPr>
          <w:p>
            <w:pPr>
              <w:jc w:val="right"/>
              <w:spacing w:after="0"/>
              <w:rPr>
                <w:sz w:val="20"/>
                <w:szCs w:val="20"/>
                <w:color w:val="auto"/>
              </w:rPr>
            </w:pPr>
            <w:r>
              <w:rPr>
                <w:rFonts w:ascii="Arial" w:cs="Arial" w:eastAsia="Arial" w:hAnsi="Arial"/>
                <w:sz w:val="7"/>
                <w:szCs w:val="7"/>
                <w:color w:val="auto"/>
              </w:rPr>
              <w:t>285,000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Mar-20</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25"/>
        </w:trPr>
        <w:tc>
          <w:tcPr>
            <w:tcW w:w="2800" w:type="dxa"/>
            <w:vAlign w:val="bottom"/>
            <w:gridSpan w:val="2"/>
          </w:tcPr>
          <w:p>
            <w:pPr>
              <w:ind w:left="360"/>
              <w:spacing w:after="0"/>
              <w:rPr>
                <w:sz w:val="20"/>
                <w:szCs w:val="20"/>
                <w:color w:val="auto"/>
              </w:rPr>
            </w:pPr>
            <w:r>
              <w:rPr>
                <w:rFonts w:ascii="Arial" w:cs="Arial" w:eastAsia="Arial" w:hAnsi="Arial"/>
                <w:sz w:val="7"/>
                <w:szCs w:val="7"/>
                <w:color w:val="auto"/>
              </w:rPr>
              <w:t>Term loan (LIBOR + 140 bps)</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433,000</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1.87%</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Jun-19</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433,000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192"/>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718,000</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1.81%</w:t>
            </w:r>
          </w:p>
        </w:tc>
        <w:tc>
          <w:tcPr>
            <w:tcW w:w="36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718,000</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11"/>
        </w:trPr>
        <w:tc>
          <w:tcPr>
            <w:tcW w:w="9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86"/>
        </w:trPr>
        <w:tc>
          <w:tcPr>
            <w:tcW w:w="960" w:type="dxa"/>
            <w:vAlign w:val="bottom"/>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7"/>
                <w:szCs w:val="7"/>
                <w:b w:val="1"/>
                <w:bCs w:val="1"/>
                <w:color w:val="auto"/>
              </w:rPr>
              <w:t>Total Floating Rate Debt/Wtd Avg</w:t>
            </w: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852,259</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2.08%</w:t>
            </w:r>
          </w:p>
        </w:tc>
        <w:tc>
          <w:tcPr>
            <w:tcW w:w="36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852,259</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11"/>
        </w:trPr>
        <w:tc>
          <w:tcPr>
            <w:tcW w:w="9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86"/>
        </w:trPr>
        <w:tc>
          <w:tcPr>
            <w:tcW w:w="960" w:type="dxa"/>
            <w:vAlign w:val="bottom"/>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7"/>
                <w:szCs w:val="7"/>
                <w:b w:val="1"/>
                <w:bCs w:val="1"/>
                <w:color w:val="auto"/>
              </w:rPr>
              <w:t>Total Debt/Wtd Avg - Consolidated</w:t>
            </w: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2,652,104</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3.78%</w:t>
            </w:r>
          </w:p>
        </w:tc>
        <w:tc>
          <w:tcPr>
            <w:tcW w:w="36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3,566</w:t>
            </w:r>
          </w:p>
        </w:tc>
        <w:tc>
          <w:tcPr>
            <w:tcW w:w="1020" w:type="dxa"/>
            <w:vAlign w:val="bottom"/>
          </w:tcPr>
          <w:p>
            <w:pPr>
              <w:spacing w:after="0"/>
              <w:rPr>
                <w:sz w:val="16"/>
                <w:szCs w:val="16"/>
                <w:color w:val="auto"/>
              </w:rPr>
            </w:pPr>
          </w:p>
        </w:tc>
        <w:tc>
          <w:tcPr>
            <w:tcW w:w="580" w:type="dxa"/>
            <w:vAlign w:val="bottom"/>
            <w:gridSpan w:val="2"/>
          </w:tcPr>
          <w:p>
            <w:pPr>
              <w:jc w:val="right"/>
              <w:ind w:right="12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2,593,853</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329" w:lineRule="exact"/>
        <w:rPr>
          <w:sz w:val="20"/>
          <w:szCs w:val="20"/>
          <w:color w:val="auto"/>
        </w:rPr>
      </w:pPr>
    </w:p>
    <w:p>
      <w:pPr>
        <w:ind w:left="480" w:hanging="114"/>
        <w:spacing w:after="0"/>
        <w:tabs>
          <w:tab w:leader="none" w:pos="480" w:val="left"/>
        </w:tabs>
        <w:numPr>
          <w:ilvl w:val="0"/>
          <w:numId w:val="19"/>
        </w:numPr>
        <w:rPr>
          <w:rFonts w:ascii="Arial" w:cs="Arial" w:eastAsia="Arial" w:hAnsi="Arial"/>
          <w:sz w:val="7"/>
          <w:szCs w:val="7"/>
          <w:color w:val="auto"/>
        </w:rPr>
      </w:pPr>
      <w:r>
        <w:rPr>
          <w:rFonts w:ascii="Arial" w:cs="Arial" w:eastAsia="Arial" w:hAnsi="Arial"/>
          <w:sz w:val="7"/>
          <w:szCs w:val="7"/>
          <w:color w:val="auto"/>
        </w:rPr>
        <w:t>Coupon for floating rate debt determined using the effective LIBOR rate at the end of the quarter. Coupon for loans that are subject to LIBOR floors were determined using the LIBOR floors.</w:t>
      </w:r>
    </w:p>
    <w:p>
      <w:pPr>
        <w:spacing w:after="0" w:line="138" w:lineRule="exact"/>
        <w:rPr>
          <w:rFonts w:ascii="Arial" w:cs="Arial" w:eastAsia="Arial" w:hAnsi="Arial"/>
          <w:sz w:val="7"/>
          <w:szCs w:val="7"/>
          <w:color w:val="auto"/>
        </w:rPr>
      </w:pPr>
    </w:p>
    <w:p>
      <w:pPr>
        <w:ind w:left="480" w:hanging="114"/>
        <w:spacing w:after="0"/>
        <w:tabs>
          <w:tab w:leader="none" w:pos="480" w:val="left"/>
        </w:tabs>
        <w:numPr>
          <w:ilvl w:val="0"/>
          <w:numId w:val="19"/>
        </w:numPr>
        <w:rPr>
          <w:rFonts w:ascii="Arial" w:cs="Arial" w:eastAsia="Arial" w:hAnsi="Arial"/>
          <w:sz w:val="7"/>
          <w:szCs w:val="7"/>
          <w:color w:val="auto"/>
        </w:rPr>
      </w:pPr>
      <w:r>
        <w:rPr>
          <w:rFonts w:ascii="Arial" w:cs="Arial" w:eastAsia="Arial" w:hAnsi="Arial"/>
          <w:sz w:val="7"/>
          <w:szCs w:val="7"/>
          <w:color w:val="auto"/>
        </w:rPr>
        <w:t>The interest rate swap matures in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74295</wp:posOffset>
            </wp:positionV>
            <wp:extent cx="598170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81700" cy="69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87630</wp:posOffset>
            </wp:positionV>
            <wp:extent cx="598170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81700" cy="6985"/>
                    </a:xfrm>
                    <a:prstGeom prst="rect">
                      <a:avLst/>
                    </a:prstGeom>
                    <a:noFill/>
                  </pic:spPr>
                </pic:pic>
              </a:graphicData>
            </a:graphic>
          </wp:anchor>
        </w:drawing>
      </w:r>
    </w:p>
    <w:p>
      <w:pPr>
        <w:spacing w:after="0" w:line="340" w:lineRule="exact"/>
        <w:rPr>
          <w:sz w:val="20"/>
          <w:szCs w:val="20"/>
          <w:color w:val="auto"/>
        </w:rPr>
      </w:pPr>
    </w:p>
    <w:p>
      <w:pPr>
        <w:ind w:left="700"/>
        <w:spacing w:after="0"/>
        <w:rPr>
          <w:sz w:val="20"/>
          <w:szCs w:val="20"/>
          <w:color w:val="auto"/>
        </w:rPr>
      </w:pPr>
      <w:r>
        <w:rPr>
          <w:rFonts w:ascii="Arial" w:cs="Arial" w:eastAsia="Arial" w:hAnsi="Arial"/>
          <w:sz w:val="7"/>
          <w:szCs w:val="7"/>
          <w:b w:val="1"/>
          <w:bCs w:val="1"/>
          <w:color w:val="auto"/>
        </w:rPr>
        <w:t>Covenants</w:t>
      </w:r>
    </w:p>
    <w:p>
      <w:pPr>
        <w:spacing w:after="0" w:line="4" w:lineRule="exact"/>
        <w:rPr>
          <w:sz w:val="20"/>
          <w:szCs w:val="20"/>
          <w:color w:val="auto"/>
        </w:rPr>
      </w:pPr>
    </w:p>
    <w:tbl>
      <w:tblPr>
        <w:tblLayout w:type="fixed"/>
        <w:tblInd w:w="690" w:type="dxa"/>
        <w:tblCellMar>
          <w:top w:w="0" w:type="dxa"/>
          <w:left w:w="0" w:type="dxa"/>
          <w:bottom w:w="0" w:type="dxa"/>
          <w:right w:w="0" w:type="dxa"/>
        </w:tblCellMar>
      </w:tblPr>
      <w:tr>
        <w:trPr>
          <w:trHeight w:val="214"/>
        </w:trPr>
        <w:tc>
          <w:tcPr>
            <w:tcW w:w="400" w:type="dxa"/>
            <w:vAlign w:val="bottom"/>
            <w:tcBorders>
              <w:top w:val="single" w:sz="8" w:color="auto"/>
              <w:left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4"/>
          </w:tcPr>
          <w:p>
            <w:pPr>
              <w:jc w:val="center"/>
              <w:ind w:left="484"/>
              <w:spacing w:after="0"/>
              <w:rPr>
                <w:sz w:val="20"/>
                <w:szCs w:val="20"/>
                <w:color w:val="auto"/>
              </w:rPr>
            </w:pPr>
            <w:r>
              <w:rPr>
                <w:rFonts w:ascii="Arial" w:cs="Arial" w:eastAsia="Arial" w:hAnsi="Arial"/>
                <w:sz w:val="7"/>
                <w:szCs w:val="7"/>
                <w:b w:val="1"/>
                <w:bCs w:val="1"/>
                <w:color w:val="auto"/>
              </w:rPr>
              <w:t>RECKSON OPERATING PARTNERSHIP, L.P.</w:t>
            </w:r>
          </w:p>
        </w:tc>
        <w:tc>
          <w:tcPr>
            <w:tcW w:w="2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00" w:type="dxa"/>
            <w:vAlign w:val="bottom"/>
            <w:tcBorders>
              <w:left w:val="single" w:sz="8" w:color="auto"/>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left="464"/>
              <w:spacing w:after="0"/>
              <w:rPr>
                <w:sz w:val="20"/>
                <w:szCs w:val="20"/>
                <w:color w:val="auto"/>
              </w:rPr>
            </w:pPr>
            <w:r>
              <w:rPr>
                <w:rFonts w:ascii="Arial" w:cs="Arial" w:eastAsia="Arial" w:hAnsi="Arial"/>
                <w:sz w:val="7"/>
                <w:szCs w:val="7"/>
                <w:b w:val="1"/>
                <w:bCs w:val="1"/>
                <w:color w:val="auto"/>
              </w:rPr>
              <w:t>Revolving Credit Facility Covenants</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7"/>
                <w:szCs w:val="7"/>
                <w:b w:val="1"/>
                <w:bCs w:val="1"/>
                <w:color w:val="auto"/>
              </w:rPr>
              <w:t>Actual</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7"/>
                <w:szCs w:val="7"/>
                <w:b w:val="1"/>
                <w:bCs w:val="1"/>
                <w:color w:val="auto"/>
              </w:rPr>
              <w:t>Required</w:t>
            </w: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tcPr>
          <w:p>
            <w:pPr>
              <w:spacing w:after="0" w:line="20" w:lineRule="exact"/>
              <w:rPr>
                <w:sz w:val="1"/>
                <w:szCs w:val="1"/>
                <w:color w:val="auto"/>
              </w:rPr>
            </w:pPr>
          </w:p>
        </w:tc>
        <w:tc>
          <w:tcPr>
            <w:tcW w:w="1600" w:type="dxa"/>
            <w:vAlign w:val="bottom"/>
            <w:vMerge w:val="restart"/>
          </w:tcPr>
          <w:p>
            <w:pPr>
              <w:jc w:val="right"/>
              <w:ind w:right="44"/>
              <w:spacing w:after="0"/>
              <w:rPr>
                <w:sz w:val="20"/>
                <w:szCs w:val="20"/>
                <w:color w:val="auto"/>
              </w:rPr>
            </w:pPr>
            <w:r>
              <w:rPr>
                <w:rFonts w:ascii="Arial" w:cs="Arial" w:eastAsia="Arial" w:hAnsi="Arial"/>
                <w:sz w:val="7"/>
                <w:szCs w:val="7"/>
                <w:b w:val="1"/>
                <w:bCs w:val="1"/>
                <w:color w:val="auto"/>
              </w:rPr>
              <w:t>Total Debt / Total Assets</w:t>
            </w: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 w:type="dxa"/>
            <w:vAlign w:val="bottom"/>
            <w:tcBorders>
              <w:left w:val="single" w:sz="8" w:color="auto"/>
            </w:tcBorders>
          </w:tcPr>
          <w:p>
            <w:pPr>
              <w:spacing w:after="0"/>
              <w:rPr>
                <w:sz w:val="18"/>
                <w:szCs w:val="18"/>
                <w:color w:val="auto"/>
              </w:rPr>
            </w:pPr>
          </w:p>
        </w:tc>
        <w:tc>
          <w:tcPr>
            <w:tcW w:w="1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Arial" w:cs="Arial" w:eastAsia="Arial" w:hAnsi="Arial"/>
                <w:sz w:val="7"/>
                <w:szCs w:val="7"/>
                <w:color w:val="auto"/>
              </w:rPr>
              <w:t>34.9%</w:t>
            </w:r>
          </w:p>
        </w:tc>
        <w:tc>
          <w:tcPr>
            <w:tcW w:w="300" w:type="dxa"/>
            <w:vAlign w:val="bottom"/>
          </w:tcPr>
          <w:p>
            <w:pPr>
              <w:spacing w:after="0"/>
              <w:rPr>
                <w:sz w:val="18"/>
                <w:szCs w:val="18"/>
                <w:color w:val="auto"/>
              </w:rPr>
            </w:pPr>
          </w:p>
        </w:tc>
        <w:tc>
          <w:tcPr>
            <w:tcW w:w="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7"/>
                <w:szCs w:val="7"/>
                <w:color w:val="auto"/>
              </w:rPr>
              <w:t>Less than 60%</w:t>
            </w:r>
          </w:p>
        </w:tc>
        <w:tc>
          <w:tcPr>
            <w:tcW w:w="0" w:type="dxa"/>
            <w:vAlign w:val="bottom"/>
          </w:tcPr>
          <w:p>
            <w:pPr>
              <w:spacing w:after="0"/>
              <w:rPr>
                <w:sz w:val="1"/>
                <w:szCs w:val="1"/>
                <w:color w:val="auto"/>
              </w:rPr>
            </w:pPr>
          </w:p>
        </w:tc>
      </w:tr>
      <w:tr>
        <w:trPr>
          <w:trHeight w:val="219"/>
        </w:trPr>
        <w:tc>
          <w:tcPr>
            <w:tcW w:w="400" w:type="dxa"/>
            <w:vAlign w:val="bottom"/>
            <w:tcBorders>
              <w:left w:val="single" w:sz="8" w:color="auto"/>
            </w:tcBorders>
          </w:tcPr>
          <w:p>
            <w:pPr>
              <w:spacing w:after="0"/>
              <w:rPr>
                <w:sz w:val="19"/>
                <w:szCs w:val="19"/>
                <w:color w:val="auto"/>
              </w:rPr>
            </w:pPr>
          </w:p>
        </w:tc>
        <w:tc>
          <w:tcPr>
            <w:tcW w:w="1600" w:type="dxa"/>
            <w:vAlign w:val="bottom"/>
          </w:tcPr>
          <w:p>
            <w:pPr>
              <w:jc w:val="right"/>
              <w:ind w:right="44"/>
              <w:spacing w:after="0"/>
              <w:rPr>
                <w:sz w:val="20"/>
                <w:szCs w:val="20"/>
                <w:color w:val="auto"/>
              </w:rPr>
            </w:pPr>
            <w:r>
              <w:rPr>
                <w:rFonts w:ascii="Arial" w:cs="Arial" w:eastAsia="Arial" w:hAnsi="Arial"/>
                <w:sz w:val="7"/>
                <w:szCs w:val="7"/>
                <w:b w:val="1"/>
                <w:bCs w:val="1"/>
                <w:color w:val="auto"/>
              </w:rPr>
              <w:t>Fixed Charge Coverage</w:t>
            </w:r>
          </w:p>
        </w:tc>
        <w:tc>
          <w:tcPr>
            <w:tcW w:w="80" w:type="dxa"/>
            <w:vAlign w:val="bottom"/>
          </w:tcPr>
          <w:p>
            <w:pPr>
              <w:spacing w:after="0"/>
              <w:rPr>
                <w:sz w:val="19"/>
                <w:szCs w:val="19"/>
                <w:color w:val="auto"/>
              </w:rPr>
            </w:pPr>
          </w:p>
        </w:tc>
        <w:tc>
          <w:tcPr>
            <w:tcW w:w="540" w:type="dxa"/>
            <w:vAlign w:val="bottom"/>
            <w:gridSpan w:val="2"/>
          </w:tcPr>
          <w:p>
            <w:pPr>
              <w:jc w:val="center"/>
              <w:ind w:right="300"/>
              <w:spacing w:after="0"/>
              <w:rPr>
                <w:sz w:val="20"/>
                <w:szCs w:val="20"/>
                <w:color w:val="auto"/>
              </w:rPr>
            </w:pPr>
            <w:r>
              <w:rPr>
                <w:rFonts w:ascii="Arial" w:cs="Arial" w:eastAsia="Arial" w:hAnsi="Arial"/>
                <w:sz w:val="7"/>
                <w:szCs w:val="7"/>
                <w:color w:val="auto"/>
                <w:w w:val="93"/>
              </w:rPr>
              <w:t>4.68x</w:t>
            </w:r>
          </w:p>
        </w:tc>
        <w:tc>
          <w:tcPr>
            <w:tcW w:w="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7"/>
                <w:szCs w:val="7"/>
                <w:color w:val="auto"/>
              </w:rPr>
              <w:t>Greater than 1.5x</w:t>
            </w:r>
          </w:p>
        </w:tc>
        <w:tc>
          <w:tcPr>
            <w:tcW w:w="0" w:type="dxa"/>
            <w:vAlign w:val="bottom"/>
          </w:tcPr>
          <w:p>
            <w:pPr>
              <w:spacing w:after="0"/>
              <w:rPr>
                <w:sz w:val="1"/>
                <w:szCs w:val="1"/>
                <w:color w:val="auto"/>
              </w:rPr>
            </w:pPr>
          </w:p>
        </w:tc>
      </w:tr>
      <w:tr>
        <w:trPr>
          <w:trHeight w:val="219"/>
        </w:trPr>
        <w:tc>
          <w:tcPr>
            <w:tcW w:w="400" w:type="dxa"/>
            <w:vAlign w:val="bottom"/>
            <w:tcBorders>
              <w:left w:val="single" w:sz="8" w:color="auto"/>
            </w:tcBorders>
          </w:tcPr>
          <w:p>
            <w:pPr>
              <w:spacing w:after="0"/>
              <w:rPr>
                <w:sz w:val="19"/>
                <w:szCs w:val="19"/>
                <w:color w:val="auto"/>
              </w:rPr>
            </w:pPr>
          </w:p>
        </w:tc>
        <w:tc>
          <w:tcPr>
            <w:tcW w:w="1600" w:type="dxa"/>
            <w:vAlign w:val="bottom"/>
          </w:tcPr>
          <w:p>
            <w:pPr>
              <w:jc w:val="right"/>
              <w:ind w:right="44"/>
              <w:spacing w:after="0"/>
              <w:rPr>
                <w:sz w:val="20"/>
                <w:szCs w:val="20"/>
                <w:color w:val="auto"/>
              </w:rPr>
            </w:pPr>
            <w:r>
              <w:rPr>
                <w:rFonts w:ascii="Arial" w:cs="Arial" w:eastAsia="Arial" w:hAnsi="Arial"/>
                <w:sz w:val="7"/>
                <w:szCs w:val="7"/>
                <w:b w:val="1"/>
                <w:bCs w:val="1"/>
                <w:color w:val="auto"/>
              </w:rPr>
              <w:t>Secured Debt / Total Assets</w:t>
            </w:r>
          </w:p>
        </w:tc>
        <w:tc>
          <w:tcPr>
            <w:tcW w:w="320" w:type="dxa"/>
            <w:vAlign w:val="bottom"/>
            <w:gridSpan w:val="2"/>
          </w:tcPr>
          <w:p>
            <w:pPr>
              <w:jc w:val="center"/>
              <w:ind w:left="44"/>
              <w:spacing w:after="0"/>
              <w:rPr>
                <w:sz w:val="20"/>
                <w:szCs w:val="20"/>
                <w:color w:val="auto"/>
              </w:rPr>
            </w:pPr>
            <w:r>
              <w:rPr>
                <w:rFonts w:ascii="Arial" w:cs="Arial" w:eastAsia="Arial" w:hAnsi="Arial"/>
                <w:sz w:val="7"/>
                <w:szCs w:val="7"/>
                <w:color w:val="auto"/>
                <w:w w:val="99"/>
              </w:rPr>
              <w:t>7.3%</w:t>
            </w:r>
          </w:p>
        </w:tc>
        <w:tc>
          <w:tcPr>
            <w:tcW w:w="300" w:type="dxa"/>
            <w:vAlign w:val="bottom"/>
          </w:tcPr>
          <w:p>
            <w:pPr>
              <w:spacing w:after="0"/>
              <w:rPr>
                <w:sz w:val="19"/>
                <w:szCs w:val="19"/>
                <w:color w:val="auto"/>
              </w:rPr>
            </w:pPr>
          </w:p>
        </w:tc>
        <w:tc>
          <w:tcPr>
            <w:tcW w:w="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7"/>
                <w:szCs w:val="7"/>
                <w:color w:val="auto"/>
              </w:rPr>
              <w:t>Less than 40%</w:t>
            </w:r>
          </w:p>
        </w:tc>
        <w:tc>
          <w:tcPr>
            <w:tcW w:w="0" w:type="dxa"/>
            <w:vAlign w:val="bottom"/>
          </w:tcPr>
          <w:p>
            <w:pPr>
              <w:spacing w:after="0"/>
              <w:rPr>
                <w:sz w:val="1"/>
                <w:szCs w:val="1"/>
                <w:color w:val="auto"/>
              </w:rPr>
            </w:pPr>
          </w:p>
        </w:tc>
      </w:tr>
      <w:tr>
        <w:trPr>
          <w:trHeight w:val="219"/>
        </w:trPr>
        <w:tc>
          <w:tcPr>
            <w:tcW w:w="400" w:type="dxa"/>
            <w:vAlign w:val="bottom"/>
            <w:tcBorders>
              <w:left w:val="single" w:sz="8" w:color="auto"/>
            </w:tcBorders>
          </w:tcPr>
          <w:p>
            <w:pPr>
              <w:spacing w:after="0"/>
              <w:rPr>
                <w:sz w:val="19"/>
                <w:szCs w:val="19"/>
                <w:color w:val="auto"/>
              </w:rPr>
            </w:pPr>
          </w:p>
        </w:tc>
        <w:tc>
          <w:tcPr>
            <w:tcW w:w="1600" w:type="dxa"/>
            <w:vAlign w:val="bottom"/>
          </w:tcPr>
          <w:p>
            <w:pPr>
              <w:jc w:val="right"/>
              <w:ind w:right="44"/>
              <w:spacing w:after="0"/>
              <w:rPr>
                <w:sz w:val="20"/>
                <w:szCs w:val="20"/>
                <w:color w:val="auto"/>
              </w:rPr>
            </w:pPr>
            <w:r>
              <w:rPr>
                <w:rFonts w:ascii="Arial" w:cs="Arial" w:eastAsia="Arial" w:hAnsi="Arial"/>
                <w:sz w:val="7"/>
                <w:szCs w:val="7"/>
                <w:b w:val="1"/>
                <w:bCs w:val="1"/>
                <w:color w:val="auto"/>
              </w:rPr>
              <w:t>Unsecured Debt / Unencumbered Assets</w:t>
            </w:r>
          </w:p>
        </w:tc>
        <w:tc>
          <w:tcPr>
            <w:tcW w:w="320" w:type="dxa"/>
            <w:vAlign w:val="bottom"/>
            <w:gridSpan w:val="2"/>
          </w:tcPr>
          <w:p>
            <w:pPr>
              <w:jc w:val="center"/>
              <w:ind w:left="44"/>
              <w:spacing w:after="0"/>
              <w:rPr>
                <w:sz w:val="20"/>
                <w:szCs w:val="20"/>
                <w:color w:val="auto"/>
              </w:rPr>
            </w:pPr>
            <w:r>
              <w:rPr>
                <w:rFonts w:ascii="Arial" w:cs="Arial" w:eastAsia="Arial" w:hAnsi="Arial"/>
                <w:sz w:val="7"/>
                <w:szCs w:val="7"/>
                <w:color w:val="auto"/>
              </w:rPr>
              <w:t>39.2%</w:t>
            </w:r>
          </w:p>
        </w:tc>
        <w:tc>
          <w:tcPr>
            <w:tcW w:w="300" w:type="dxa"/>
            <w:vAlign w:val="bottom"/>
          </w:tcPr>
          <w:p>
            <w:pPr>
              <w:spacing w:after="0"/>
              <w:rPr>
                <w:sz w:val="19"/>
                <w:szCs w:val="19"/>
                <w:color w:val="auto"/>
              </w:rPr>
            </w:pPr>
          </w:p>
        </w:tc>
        <w:tc>
          <w:tcPr>
            <w:tcW w:w="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7"/>
                <w:szCs w:val="7"/>
                <w:color w:val="auto"/>
              </w:rPr>
              <w:t>Less than 60%</w:t>
            </w:r>
          </w:p>
        </w:tc>
        <w:tc>
          <w:tcPr>
            <w:tcW w:w="0" w:type="dxa"/>
            <w:vAlign w:val="bottom"/>
          </w:tcPr>
          <w:p>
            <w:pPr>
              <w:spacing w:after="0"/>
              <w:rPr>
                <w:sz w:val="1"/>
                <w:szCs w:val="1"/>
                <w:color w:val="auto"/>
              </w:rPr>
            </w:pPr>
          </w:p>
        </w:tc>
      </w:tr>
      <w:tr>
        <w:trPr>
          <w:trHeight w:val="122"/>
        </w:trPr>
        <w:tc>
          <w:tcPr>
            <w:tcW w:w="400" w:type="dxa"/>
            <w:vAlign w:val="bottom"/>
            <w:tcBorders>
              <w:left w:val="single" w:sz="8" w:color="auto"/>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27</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8" w:right="919" w:bottom="1440" w:gutter="0" w:footer="0" w:header="0"/>
        </w:sectPr>
      </w:pPr>
    </w:p>
    <w:bookmarkStart w:id="44" w:name="page45"/>
    <w:bookmarkEnd w:id="4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GROUND LEASE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9"/>
              </w:rPr>
              <w:t>Deferred Land</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ind w:left="80"/>
              <w:spacing w:after="0"/>
              <w:rPr>
                <w:sz w:val="20"/>
                <w:szCs w:val="20"/>
                <w:color w:val="auto"/>
              </w:rPr>
            </w:pPr>
            <w:r>
              <w:rPr>
                <w:rFonts w:ascii="Arial" w:cs="Arial" w:eastAsia="Arial" w:hAnsi="Arial"/>
                <w:sz w:val="13"/>
                <w:szCs w:val="13"/>
                <w:b w:val="1"/>
                <w:bCs w:val="1"/>
                <w:color w:val="auto"/>
              </w:rPr>
              <w:t>2016 Scheduled</w:t>
            </w:r>
          </w:p>
        </w:tc>
        <w:tc>
          <w:tcPr>
            <w:tcW w:w="1260" w:type="dxa"/>
            <w:vAlign w:val="bottom"/>
            <w:gridSpan w:val="5"/>
          </w:tcPr>
          <w:p>
            <w:pPr>
              <w:ind w:left="140"/>
              <w:spacing w:after="0"/>
              <w:rPr>
                <w:sz w:val="20"/>
                <w:szCs w:val="20"/>
                <w:color w:val="auto"/>
              </w:rPr>
            </w:pPr>
            <w:r>
              <w:rPr>
                <w:rFonts w:ascii="Arial" w:cs="Arial" w:eastAsia="Arial" w:hAnsi="Arial"/>
                <w:sz w:val="13"/>
                <w:szCs w:val="13"/>
                <w:b w:val="1"/>
                <w:bCs w:val="1"/>
                <w:color w:val="auto"/>
              </w:rPr>
              <w:t>2017 Scheduled</w:t>
            </w:r>
          </w:p>
        </w:tc>
        <w:tc>
          <w:tcPr>
            <w:tcW w:w="12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9"/>
              </w:rPr>
              <w:t>2018 Scheduled</w:t>
            </w:r>
          </w:p>
        </w:tc>
        <w:tc>
          <w:tcPr>
            <w:tcW w:w="12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2019 Scheduled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rPr>
              <w:t>Lease</w:t>
            </w:r>
          </w:p>
        </w:tc>
        <w:tc>
          <w:tcPr>
            <w:tcW w:w="5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Year of</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97"/>
              </w:rPr>
              <w:t>Property</w:t>
            </w:r>
          </w:p>
        </w:tc>
        <w:tc>
          <w:tcPr>
            <w:tcW w:w="134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Cash Payment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Cash Payment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Cash Payment</w:t>
            </w:r>
          </w:p>
        </w:tc>
        <w:tc>
          <w:tcPr>
            <w:tcW w:w="12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Cash Payment</w:t>
            </w:r>
          </w:p>
        </w:tc>
        <w:tc>
          <w:tcPr>
            <w:tcW w:w="1500" w:type="dxa"/>
            <w:vAlign w:val="bottom"/>
            <w:gridSpan w:val="5"/>
          </w:tcPr>
          <w:p>
            <w:pPr>
              <w:jc w:val="center"/>
              <w:ind w:right="280"/>
              <w:spacing w:after="0" w:line="192" w:lineRule="exact"/>
              <w:rPr>
                <w:sz w:val="20"/>
                <w:szCs w:val="20"/>
                <w:color w:val="auto"/>
              </w:rPr>
            </w:pPr>
            <w:r>
              <w:rPr>
                <w:rFonts w:ascii="Arial" w:cs="Arial" w:eastAsia="Arial" w:hAnsi="Arial"/>
                <w:sz w:val="13"/>
                <w:szCs w:val="13"/>
                <w:b w:val="1"/>
                <w:bCs w:val="1"/>
                <w:color w:val="auto"/>
                <w:w w:val="96"/>
              </w:rPr>
              <w:t>Obligations</w:t>
            </w:r>
            <w:r>
              <w:rPr>
                <w:rFonts w:ascii="Arial" w:cs="Arial" w:eastAsia="Arial" w:hAnsi="Arial"/>
                <w:sz w:val="17"/>
                <w:szCs w:val="17"/>
                <w:b w:val="1"/>
                <w:bCs w:val="1"/>
                <w:color w:val="auto"/>
                <w:w w:val="96"/>
                <w:vertAlign w:val="superscript"/>
              </w:rPr>
              <w:t>(1)</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8"/>
              </w:rPr>
              <w:t>Maturity</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3"/>
                <w:szCs w:val="13"/>
                <w:b w:val="1"/>
                <w:bCs w:val="1"/>
                <w:color w:val="auto"/>
              </w:rPr>
              <w:t>Consolidated Ground Lease Arrangements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Borders>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Operating Leases</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625</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Madison Avenue</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4,613</w:t>
            </w:r>
          </w:p>
        </w:tc>
        <w:tc>
          <w:tcPr>
            <w:tcW w:w="160" w:type="dxa"/>
            <w:vAlign w:val="bottom"/>
          </w:tcPr>
          <w:p>
            <w:pPr>
              <w:spacing w:after="0"/>
              <w:rPr>
                <w:sz w:val="17"/>
                <w:szCs w:val="17"/>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4,613</w:t>
            </w:r>
          </w:p>
        </w:tc>
        <w:tc>
          <w:tcPr>
            <w:tcW w:w="180" w:type="dxa"/>
            <w:vAlign w:val="bottom"/>
          </w:tcPr>
          <w:p>
            <w:pPr>
              <w:spacing w:after="0"/>
              <w:rPr>
                <w:sz w:val="17"/>
                <w:szCs w:val="17"/>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4,613</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4,613</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2022</w:t>
            </w:r>
          </w:p>
        </w:tc>
        <w:tc>
          <w:tcPr>
            <w:tcW w:w="40" w:type="dxa"/>
            <w:vAlign w:val="bottom"/>
          </w:tcPr>
          <w:p>
            <w:pPr>
              <w:spacing w:after="0"/>
              <w:rPr>
                <w:sz w:val="17"/>
                <w:szCs w:val="17"/>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9"/>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461</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Fifth Avenue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2,100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584</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2027</w:t>
            </w:r>
          </w:p>
        </w:tc>
        <w:tc>
          <w:tcPr>
            <w:tcW w:w="40" w:type="dxa"/>
            <w:vAlign w:val="bottom"/>
          </w:tcPr>
          <w:p>
            <w:pPr>
              <w:spacing w:after="0"/>
              <w:rPr>
                <w:sz w:val="19"/>
                <w:szCs w:val="19"/>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9"/>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711</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Third Avenue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5,354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5,500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5,500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1,146</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2033</w:t>
            </w:r>
          </w:p>
        </w:tc>
        <w:tc>
          <w:tcPr>
            <w:tcW w:w="40" w:type="dxa"/>
            <w:vAlign w:val="bottom"/>
          </w:tcPr>
          <w:p>
            <w:pPr>
              <w:spacing w:after="0"/>
              <w:rPr>
                <w:sz w:val="19"/>
                <w:szCs w:val="19"/>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1185 Avenue of the Americas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6,909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6,909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6,909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6,909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2043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420</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Lexington Avenue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10,899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10,899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10,899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10,899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2050</w:t>
            </w:r>
          </w:p>
        </w:tc>
        <w:tc>
          <w:tcPr>
            <w:tcW w:w="40" w:type="dxa"/>
            <w:vAlign w:val="bottom"/>
          </w:tcPr>
          <w:p>
            <w:pPr>
              <w:spacing w:after="0"/>
              <w:rPr>
                <w:sz w:val="19"/>
                <w:szCs w:val="19"/>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1055 Washington Blvd, Stamford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615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615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2090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1080 Amsterdam Avenue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2111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30 East 40th Street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506</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2114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ind w:left="580"/>
              <w:spacing w:after="0"/>
              <w:rPr>
                <w:sz w:val="20"/>
                <w:szCs w:val="20"/>
                <w:color w:val="auto"/>
              </w:rPr>
            </w:pPr>
            <w:r>
              <w:rPr>
                <w:rFonts w:ascii="Arial" w:cs="Arial" w:eastAsia="Arial" w:hAnsi="Arial"/>
                <w:sz w:val="13"/>
                <w:szCs w:val="13"/>
                <w:b w:val="1"/>
                <w:bCs w:val="1"/>
                <w:color w:val="auto"/>
              </w:rPr>
              <w:t>Total</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30,816</w:t>
            </w:r>
          </w:p>
        </w:tc>
        <w:tc>
          <w:tcPr>
            <w:tcW w:w="160" w:type="dxa"/>
            <w:vAlign w:val="bottom"/>
          </w:tcPr>
          <w:p>
            <w:pPr>
              <w:spacing w:after="0"/>
              <w:rPr>
                <w:sz w:val="16"/>
                <w:szCs w:val="16"/>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b w:val="1"/>
                <w:bCs w:val="1"/>
                <w:color w:val="auto"/>
              </w:rPr>
              <w:t>31,049</w:t>
            </w:r>
          </w:p>
        </w:tc>
        <w:tc>
          <w:tcPr>
            <w:tcW w:w="180" w:type="dxa"/>
            <w:vAlign w:val="bottom"/>
          </w:tcPr>
          <w:p>
            <w:pPr>
              <w:spacing w:after="0"/>
              <w:rPr>
                <w:sz w:val="16"/>
                <w:szCs w:val="16"/>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b w:val="1"/>
                <w:bCs w:val="1"/>
                <w:color w:val="auto"/>
              </w:rPr>
              <w:t>31,049</w:t>
            </w:r>
          </w:p>
        </w:tc>
        <w:tc>
          <w:tcPr>
            <w:tcW w:w="1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31,066</w:t>
            </w:r>
          </w:p>
        </w:tc>
        <w:tc>
          <w:tcPr>
            <w:tcW w:w="1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2,236</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Capitalized Leases</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1080 Amsterdam Avenue</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170</w:t>
            </w:r>
          </w:p>
        </w:tc>
        <w:tc>
          <w:tcPr>
            <w:tcW w:w="160" w:type="dxa"/>
            <w:vAlign w:val="bottom"/>
          </w:tcPr>
          <w:p>
            <w:pPr>
              <w:spacing w:after="0"/>
              <w:rPr>
                <w:sz w:val="17"/>
                <w:szCs w:val="17"/>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291</w:t>
            </w:r>
          </w:p>
        </w:tc>
        <w:tc>
          <w:tcPr>
            <w:tcW w:w="180" w:type="dxa"/>
            <w:vAlign w:val="bottom"/>
          </w:tcPr>
          <w:p>
            <w:pPr>
              <w:spacing w:after="0"/>
              <w:rPr>
                <w:sz w:val="17"/>
                <w:szCs w:val="17"/>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291</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315</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21,402</w:t>
            </w: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2111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30 East 40th Street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2,096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2,096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20,350</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2114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ind w:left="580"/>
              <w:spacing w:after="0"/>
              <w:rPr>
                <w:sz w:val="20"/>
                <w:szCs w:val="20"/>
                <w:color w:val="auto"/>
              </w:rPr>
            </w:pPr>
            <w:r>
              <w:rPr>
                <w:rFonts w:ascii="Arial" w:cs="Arial" w:eastAsia="Arial" w:hAnsi="Arial"/>
                <w:sz w:val="13"/>
                <w:szCs w:val="13"/>
                <w:b w:val="1"/>
                <w:bCs w:val="1"/>
                <w:color w:val="auto"/>
              </w:rPr>
              <w:t>Total</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2,266</w:t>
            </w:r>
          </w:p>
        </w:tc>
        <w:tc>
          <w:tcPr>
            <w:tcW w:w="160" w:type="dxa"/>
            <w:vAlign w:val="bottom"/>
          </w:tcPr>
          <w:p>
            <w:pPr>
              <w:spacing w:after="0"/>
              <w:rPr>
                <w:sz w:val="16"/>
                <w:szCs w:val="16"/>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b w:val="1"/>
                <w:bCs w:val="1"/>
                <w:color w:val="auto"/>
              </w:rPr>
              <w:t>2,387</w:t>
            </w:r>
          </w:p>
        </w:tc>
        <w:tc>
          <w:tcPr>
            <w:tcW w:w="180" w:type="dxa"/>
            <w:vAlign w:val="bottom"/>
          </w:tcPr>
          <w:p>
            <w:pPr>
              <w:spacing w:after="0"/>
              <w:rPr>
                <w:sz w:val="16"/>
                <w:szCs w:val="16"/>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b w:val="1"/>
                <w:bCs w:val="1"/>
                <w:color w:val="auto"/>
              </w:rPr>
              <w:t>2,387</w:t>
            </w:r>
          </w:p>
        </w:tc>
        <w:tc>
          <w:tcPr>
            <w:tcW w:w="1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2,411</w:t>
            </w:r>
          </w:p>
        </w:tc>
        <w:tc>
          <w:tcPr>
            <w:tcW w:w="1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41,752</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4500" w:type="dxa"/>
            <w:vAlign w:val="bottom"/>
            <w:gridSpan w:val="12"/>
          </w:tcPr>
          <w:p>
            <w:pPr>
              <w:spacing w:after="0"/>
              <w:rPr>
                <w:sz w:val="20"/>
                <w:szCs w:val="20"/>
                <w:color w:val="auto"/>
              </w:rPr>
            </w:pPr>
            <w:r>
              <w:rPr>
                <w:rFonts w:ascii="Arial" w:cs="Arial" w:eastAsia="Arial" w:hAnsi="Arial"/>
                <w:sz w:val="13"/>
                <w:szCs w:val="13"/>
                <w:b w:val="1"/>
                <w:bCs w:val="1"/>
                <w:color w:val="auto"/>
              </w:rPr>
              <w:t>Unconsolidated Joint Venture Ground Lease Arrangement (SLG Share)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20" w:type="dxa"/>
            <w:vAlign w:val="bottom"/>
            <w:tcBorders>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Operating Leases</w:t>
            </w:r>
          </w:p>
        </w:tc>
        <w:tc>
          <w:tcPr>
            <w:tcW w:w="1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650</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Fifth Avenue</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1,167</w:t>
            </w:r>
          </w:p>
        </w:tc>
        <w:tc>
          <w:tcPr>
            <w:tcW w:w="160" w:type="dxa"/>
            <w:vAlign w:val="bottom"/>
          </w:tcPr>
          <w:p>
            <w:pPr>
              <w:spacing w:after="0"/>
              <w:rPr>
                <w:sz w:val="17"/>
                <w:szCs w:val="17"/>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1,167</w:t>
            </w:r>
          </w:p>
        </w:tc>
        <w:tc>
          <w:tcPr>
            <w:tcW w:w="180" w:type="dxa"/>
            <w:vAlign w:val="bottom"/>
          </w:tcPr>
          <w:p>
            <w:pPr>
              <w:spacing w:after="0"/>
              <w:rPr>
                <w:sz w:val="17"/>
                <w:szCs w:val="17"/>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1,183</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1,284</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1,778</w:t>
            </w: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2062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6"/>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Capitalized Leases</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650</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Fifth Avenue</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6,086</w:t>
            </w:r>
          </w:p>
        </w:tc>
        <w:tc>
          <w:tcPr>
            <w:tcW w:w="160" w:type="dxa"/>
            <w:vAlign w:val="bottom"/>
          </w:tcPr>
          <w:p>
            <w:pPr>
              <w:spacing w:after="0"/>
              <w:rPr>
                <w:sz w:val="17"/>
                <w:szCs w:val="17"/>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6,086</w:t>
            </w:r>
          </w:p>
        </w:tc>
        <w:tc>
          <w:tcPr>
            <w:tcW w:w="180" w:type="dxa"/>
            <w:vAlign w:val="bottom"/>
          </w:tcPr>
          <w:p>
            <w:pPr>
              <w:spacing w:after="0"/>
              <w:rPr>
                <w:sz w:val="17"/>
                <w:szCs w:val="17"/>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6,169</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6,695</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92,295</w:t>
            </w: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2062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220" w:hanging="193"/>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 the balance sheet at June 30, 2016.</w:t>
      </w:r>
    </w:p>
    <w:p>
      <w:pPr>
        <w:spacing w:after="0" w:line="47" w:lineRule="exact"/>
        <w:rPr>
          <w:rFonts w:ascii="Arial" w:cs="Arial" w:eastAsia="Arial" w:hAnsi="Arial"/>
          <w:sz w:val="13"/>
          <w:szCs w:val="13"/>
          <w:color w:val="auto"/>
        </w:rPr>
      </w:pPr>
    </w:p>
    <w:p>
      <w:pPr>
        <w:ind w:left="220" w:hanging="193"/>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Subject to renewal at the Company's option through 2054.</w:t>
      </w:r>
    </w:p>
    <w:p>
      <w:pPr>
        <w:spacing w:after="0" w:line="47" w:lineRule="exact"/>
        <w:rPr>
          <w:rFonts w:ascii="Arial" w:cs="Arial" w:eastAsia="Arial" w:hAnsi="Arial"/>
          <w:sz w:val="13"/>
          <w:szCs w:val="13"/>
          <w:color w:val="auto"/>
        </w:rPr>
      </w:pPr>
    </w:p>
    <w:p>
      <w:pPr>
        <w:ind w:left="220" w:hanging="193"/>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Company has an option to purchase the ground lease for a fixed price on a specific date.</w:t>
      </w:r>
    </w:p>
    <w:p>
      <w:pPr>
        <w:spacing w:after="0" w:line="47" w:lineRule="exact"/>
        <w:rPr>
          <w:rFonts w:ascii="Arial" w:cs="Arial" w:eastAsia="Arial" w:hAnsi="Arial"/>
          <w:sz w:val="13"/>
          <w:szCs w:val="13"/>
          <w:color w:val="auto"/>
        </w:rPr>
      </w:pPr>
    </w:p>
    <w:p>
      <w:pPr>
        <w:ind w:left="220" w:hanging="193"/>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50% of the annual ground rent payment as the Company owns 50% of the fee interest.</w:t>
      </w:r>
    </w:p>
    <w:p>
      <w:pPr>
        <w:spacing w:after="0" w:line="69" w:lineRule="exact"/>
        <w:rPr>
          <w:rFonts w:ascii="Arial" w:cs="Arial" w:eastAsia="Arial" w:hAnsi="Arial"/>
          <w:sz w:val="13"/>
          <w:szCs w:val="13"/>
          <w:color w:val="auto"/>
        </w:rPr>
      </w:pPr>
    </w:p>
    <w:p>
      <w:pPr>
        <w:ind w:left="220" w:hanging="193"/>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Subject to two 15-year renewals at the Company's option through 2080.</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28</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7" w:right="899" w:bottom="1440" w:gutter="0" w:footer="0" w:header="0"/>
        </w:sectPr>
      </w:pPr>
    </w:p>
    <w:bookmarkStart w:id="45" w:name="page46"/>
    <w:bookmarkEnd w:id="4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AND PREFERRED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40" w:type="dxa"/>
            <w:vAlign w:val="bottom"/>
            <w:gridSpan w:val="4"/>
          </w:tcPr>
          <w:p>
            <w:pPr>
              <w:ind w:left="280"/>
              <w:spacing w:after="0"/>
              <w:rPr>
                <w:sz w:val="20"/>
                <w:szCs w:val="20"/>
                <w:color w:val="auto"/>
              </w:rPr>
            </w:pPr>
            <w:r>
              <w:rPr>
                <w:rFonts w:ascii="Arial" w:cs="Arial" w:eastAsia="Arial" w:hAnsi="Arial"/>
                <w:sz w:val="12"/>
                <w:szCs w:val="12"/>
                <w:b w:val="1"/>
                <w:bCs w:val="1"/>
                <w:color w:val="auto"/>
              </w:rPr>
              <w:t>Weighted Average Book</w:t>
            </w:r>
          </w:p>
        </w:tc>
        <w:tc>
          <w:tcPr>
            <w:tcW w:w="1920" w:type="dxa"/>
            <w:vAlign w:val="bottom"/>
            <w:gridSpan w:val="2"/>
          </w:tcPr>
          <w:p>
            <w:pPr>
              <w:jc w:val="center"/>
              <w:ind w:right="700"/>
              <w:spacing w:after="0"/>
              <w:rPr>
                <w:sz w:val="20"/>
                <w:szCs w:val="20"/>
                <w:color w:val="auto"/>
              </w:rPr>
            </w:pPr>
            <w:r>
              <w:rPr>
                <w:rFonts w:ascii="Arial" w:cs="Arial" w:eastAsia="Arial" w:hAnsi="Arial"/>
                <w:sz w:val="12"/>
                <w:szCs w:val="12"/>
                <w:b w:val="1"/>
                <w:bCs w:val="1"/>
                <w:color w:val="auto"/>
                <w:w w:val="97"/>
              </w:rPr>
              <w:t>Weighted Average</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6"/>
              </w:rPr>
              <w:t>Current</w:t>
            </w:r>
          </w:p>
        </w:tc>
      </w:tr>
      <w:tr>
        <w:trPr>
          <w:trHeight w:val="228"/>
        </w:trPr>
        <w:tc>
          <w:tcPr>
            <w:tcW w:w="3140" w:type="dxa"/>
            <w:vAlign w:val="bottom"/>
          </w:tcPr>
          <w:p>
            <w:pPr>
              <w:spacing w:after="0"/>
              <w:rPr>
                <w:sz w:val="19"/>
                <w:szCs w:val="19"/>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b w:val="1"/>
                <w:bCs w:val="1"/>
                <w:color w:val="auto"/>
                <w:w w:val="98"/>
              </w:rPr>
              <w:t>Book Value</w:t>
            </w:r>
            <w:r>
              <w:rPr>
                <w:rFonts w:ascii="Arial" w:cs="Arial" w:eastAsia="Arial" w:hAnsi="Arial"/>
                <w:sz w:val="14"/>
                <w:szCs w:val="14"/>
                <w:b w:val="1"/>
                <w:bCs w:val="1"/>
                <w:color w:val="auto"/>
                <w:w w:val="98"/>
                <w:vertAlign w:val="superscript"/>
              </w:rPr>
              <w:t>(1)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b w:val="1"/>
                <w:bCs w:val="1"/>
                <w:color w:val="auto"/>
                <w:w w:val="99"/>
              </w:rPr>
              <w:t>Value During Quarter</w:t>
            </w:r>
          </w:p>
        </w:tc>
        <w:tc>
          <w:tcPr>
            <w:tcW w:w="6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Yield During Quarter</w:t>
            </w:r>
          </w:p>
        </w:tc>
        <w:tc>
          <w:tcPr>
            <w:tcW w:w="70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Yield</w:t>
            </w:r>
            <w:r>
              <w:rPr>
                <w:rFonts w:ascii="Arial" w:cs="Arial" w:eastAsia="Arial" w:hAnsi="Arial"/>
                <w:sz w:val="14"/>
                <w:szCs w:val="14"/>
                <w:b w:val="1"/>
                <w:bCs w:val="1"/>
                <w:color w:val="auto"/>
                <w:w w:val="89"/>
                <w:vertAlign w:val="superscript"/>
              </w:rPr>
              <w:t>(2)</w:t>
            </w:r>
          </w:p>
        </w:tc>
      </w:tr>
      <w:tr>
        <w:trPr>
          <w:trHeight w:val="462"/>
        </w:trPr>
        <w:tc>
          <w:tcPr>
            <w:tcW w:w="3140" w:type="dxa"/>
            <w:vAlign w:val="bottom"/>
          </w:tcPr>
          <w:p>
            <w:pPr>
              <w:jc w:val="right"/>
              <w:ind w:right="682"/>
              <w:spacing w:after="0"/>
              <w:rPr>
                <w:sz w:val="20"/>
                <w:szCs w:val="20"/>
                <w:color w:val="auto"/>
              </w:rPr>
            </w:pPr>
            <w:r>
              <w:rPr>
                <w:rFonts w:ascii="Arial" w:cs="Arial" w:eastAsia="Arial" w:hAnsi="Arial"/>
                <w:sz w:val="12"/>
                <w:szCs w:val="12"/>
                <w:b w:val="1"/>
                <w:bCs w:val="1"/>
                <w:color w:val="auto"/>
              </w:rPr>
              <w:t>6/30/2015</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1,685,234</w:t>
            </w:r>
          </w:p>
        </w:tc>
        <w:tc>
          <w:tcPr>
            <w:tcW w:w="380" w:type="dxa"/>
            <w:vAlign w:val="bottom"/>
          </w:tcPr>
          <w:p>
            <w:pPr>
              <w:spacing w:after="0"/>
              <w:rPr>
                <w:sz w:val="24"/>
                <w:szCs w:val="2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02"/>
              <w:spacing w:after="0"/>
              <w:rPr>
                <w:sz w:val="20"/>
                <w:szCs w:val="20"/>
                <w:color w:val="auto"/>
              </w:rPr>
            </w:pPr>
            <w:r>
              <w:rPr>
                <w:rFonts w:ascii="Arial" w:cs="Arial" w:eastAsia="Arial" w:hAnsi="Arial"/>
                <w:sz w:val="12"/>
                <w:szCs w:val="12"/>
                <w:color w:val="auto"/>
              </w:rPr>
              <w:t>1,694,194</w:t>
            </w:r>
          </w:p>
        </w:tc>
        <w:tc>
          <w:tcPr>
            <w:tcW w:w="6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10.18%</w:t>
            </w:r>
          </w:p>
        </w:tc>
        <w:tc>
          <w:tcPr>
            <w:tcW w:w="7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8"/>
              </w:rPr>
              <w:t>10.15%</w:t>
            </w:r>
          </w:p>
        </w:tc>
      </w:tr>
      <w:tr>
        <w:trPr>
          <w:trHeight w:val="522"/>
        </w:trPr>
        <w:tc>
          <w:tcPr>
            <w:tcW w:w="3140" w:type="dxa"/>
            <w:vAlign w:val="bottom"/>
          </w:tcPr>
          <w:p>
            <w:pPr>
              <w:jc w:val="right"/>
              <w:ind w:right="682"/>
              <w:spacing w:after="0"/>
              <w:rPr>
                <w:sz w:val="20"/>
                <w:szCs w:val="20"/>
                <w:color w:val="auto"/>
              </w:rPr>
            </w:pPr>
            <w:r>
              <w:rPr>
                <w:rFonts w:ascii="Arial" w:cs="Arial" w:eastAsia="Arial" w:hAnsi="Arial"/>
                <w:sz w:val="12"/>
                <w:szCs w:val="12"/>
                <w:color w:val="auto"/>
              </w:rPr>
              <w:t>Debt originations/accretion</w:t>
            </w:r>
            <w:r>
              <w:rPr>
                <w:rFonts w:ascii="Arial" w:cs="Arial" w:eastAsia="Arial" w:hAnsi="Arial"/>
                <w:sz w:val="14"/>
                <w:szCs w:val="14"/>
                <w:color w:val="auto"/>
                <w:vertAlign w:val="superscript"/>
              </w:rPr>
              <w:t>(3)</w:t>
            </w:r>
          </w:p>
        </w:tc>
        <w:tc>
          <w:tcPr>
            <w:tcW w:w="18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78,631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9"/>
        </w:trPr>
        <w:tc>
          <w:tcPr>
            <w:tcW w:w="3140" w:type="dxa"/>
            <w:vAlign w:val="bottom"/>
          </w:tcPr>
          <w:p>
            <w:pPr>
              <w:jc w:val="right"/>
              <w:ind w:right="682"/>
              <w:spacing w:after="0"/>
              <w:rPr>
                <w:sz w:val="20"/>
                <w:szCs w:val="20"/>
                <w:color w:val="auto"/>
              </w:rPr>
            </w:pPr>
            <w:r>
              <w:rPr>
                <w:rFonts w:ascii="Arial" w:cs="Arial" w:eastAsia="Arial" w:hAnsi="Arial"/>
                <w:sz w:val="12"/>
                <w:szCs w:val="12"/>
                <w:color w:val="auto"/>
              </w:rPr>
              <w:t>Preferred Equity originations/accretion</w:t>
            </w:r>
            <w:r>
              <w:rPr>
                <w:rFonts w:ascii="Arial" w:cs="Arial" w:eastAsia="Arial" w:hAnsi="Arial"/>
                <w:sz w:val="14"/>
                <w:szCs w:val="14"/>
                <w:color w:val="auto"/>
                <w:vertAlign w:val="superscript"/>
              </w:rPr>
              <w:t>(3)</w:t>
            </w:r>
          </w:p>
        </w:tc>
        <w:tc>
          <w:tcPr>
            <w:tcW w:w="1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78"/>
        </w:trPr>
        <w:tc>
          <w:tcPr>
            <w:tcW w:w="3140" w:type="dxa"/>
            <w:vAlign w:val="bottom"/>
          </w:tcPr>
          <w:p>
            <w:pPr>
              <w:jc w:val="right"/>
              <w:ind w:right="682"/>
              <w:spacing w:after="0"/>
              <w:rPr>
                <w:sz w:val="20"/>
                <w:szCs w:val="20"/>
                <w:color w:val="auto"/>
              </w:rPr>
            </w:pPr>
            <w:r>
              <w:rPr>
                <w:rFonts w:ascii="Arial" w:cs="Arial" w:eastAsia="Arial" w:hAnsi="Arial"/>
                <w:sz w:val="12"/>
                <w:szCs w:val="12"/>
                <w:color w:val="auto"/>
                <w:w w:val="96"/>
              </w:rPr>
              <w:t>Redemptions/Sales/Syndications/Amortization</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(262,300)</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8"/>
        </w:trPr>
        <w:tc>
          <w:tcPr>
            <w:tcW w:w="3140" w:type="dxa"/>
            <w:vAlign w:val="bottom"/>
          </w:tcPr>
          <w:p>
            <w:pPr>
              <w:jc w:val="right"/>
              <w:ind w:right="682"/>
              <w:spacing w:after="0"/>
              <w:rPr>
                <w:sz w:val="20"/>
                <w:szCs w:val="20"/>
                <w:color w:val="auto"/>
              </w:rPr>
            </w:pPr>
            <w:r>
              <w:rPr>
                <w:rFonts w:ascii="Arial" w:cs="Arial" w:eastAsia="Arial" w:hAnsi="Arial"/>
                <w:sz w:val="12"/>
                <w:szCs w:val="12"/>
                <w:b w:val="1"/>
                <w:bCs w:val="1"/>
                <w:color w:val="auto"/>
              </w:rPr>
              <w:t>9/30/2015</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1,501,619</w:t>
            </w:r>
          </w:p>
        </w:tc>
        <w:tc>
          <w:tcPr>
            <w:tcW w:w="380" w:type="dxa"/>
            <w:vAlign w:val="bottom"/>
          </w:tcPr>
          <w:p>
            <w:pPr>
              <w:spacing w:after="0"/>
              <w:rPr>
                <w:sz w:val="17"/>
                <w:szCs w:val="17"/>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02"/>
              <w:spacing w:after="0"/>
              <w:rPr>
                <w:sz w:val="20"/>
                <w:szCs w:val="20"/>
                <w:color w:val="auto"/>
              </w:rPr>
            </w:pPr>
            <w:r>
              <w:rPr>
                <w:rFonts w:ascii="Arial" w:cs="Arial" w:eastAsia="Arial" w:hAnsi="Arial"/>
                <w:sz w:val="12"/>
                <w:szCs w:val="12"/>
                <w:color w:val="auto"/>
              </w:rPr>
              <w:t>1,599,153</w:t>
            </w:r>
          </w:p>
        </w:tc>
        <w:tc>
          <w:tcPr>
            <w:tcW w:w="6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10.10%</w:t>
            </w: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8"/>
              </w:rPr>
              <w:t>10.25%</w:t>
            </w:r>
          </w:p>
        </w:tc>
      </w:tr>
      <w:tr>
        <w:trPr>
          <w:trHeight w:val="522"/>
        </w:trPr>
        <w:tc>
          <w:tcPr>
            <w:tcW w:w="3140" w:type="dxa"/>
            <w:vAlign w:val="bottom"/>
          </w:tcPr>
          <w:p>
            <w:pPr>
              <w:jc w:val="right"/>
              <w:ind w:right="682"/>
              <w:spacing w:after="0"/>
              <w:rPr>
                <w:sz w:val="20"/>
                <w:szCs w:val="20"/>
                <w:color w:val="auto"/>
              </w:rPr>
            </w:pPr>
            <w:r>
              <w:rPr>
                <w:rFonts w:ascii="Arial" w:cs="Arial" w:eastAsia="Arial" w:hAnsi="Arial"/>
                <w:sz w:val="12"/>
                <w:szCs w:val="12"/>
                <w:color w:val="auto"/>
              </w:rPr>
              <w:t>Debt originations/accretion</w:t>
            </w:r>
            <w:r>
              <w:rPr>
                <w:rFonts w:ascii="Arial" w:cs="Arial" w:eastAsia="Arial" w:hAnsi="Arial"/>
                <w:sz w:val="14"/>
                <w:szCs w:val="14"/>
                <w:color w:val="auto"/>
                <w:vertAlign w:val="superscript"/>
              </w:rPr>
              <w:t>(3)</w:t>
            </w:r>
          </w:p>
        </w:tc>
        <w:tc>
          <w:tcPr>
            <w:tcW w:w="18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316,508</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9"/>
        </w:trPr>
        <w:tc>
          <w:tcPr>
            <w:tcW w:w="3140" w:type="dxa"/>
            <w:vAlign w:val="bottom"/>
          </w:tcPr>
          <w:p>
            <w:pPr>
              <w:jc w:val="right"/>
              <w:ind w:right="682"/>
              <w:spacing w:after="0"/>
              <w:rPr>
                <w:sz w:val="20"/>
                <w:szCs w:val="20"/>
                <w:color w:val="auto"/>
              </w:rPr>
            </w:pPr>
            <w:r>
              <w:rPr>
                <w:rFonts w:ascii="Arial" w:cs="Arial" w:eastAsia="Arial" w:hAnsi="Arial"/>
                <w:sz w:val="12"/>
                <w:szCs w:val="12"/>
                <w:color w:val="auto"/>
              </w:rPr>
              <w:t>Preferred Equity originations/accretion</w:t>
            </w:r>
            <w:r>
              <w:rPr>
                <w:rFonts w:ascii="Arial" w:cs="Arial" w:eastAsia="Arial" w:hAnsi="Arial"/>
                <w:sz w:val="14"/>
                <w:szCs w:val="14"/>
                <w:color w:val="auto"/>
                <w:vertAlign w:val="superscript"/>
              </w:rPr>
              <w:t>(3)</w:t>
            </w:r>
          </w:p>
        </w:tc>
        <w:tc>
          <w:tcPr>
            <w:tcW w:w="1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78"/>
        </w:trPr>
        <w:tc>
          <w:tcPr>
            <w:tcW w:w="3140" w:type="dxa"/>
            <w:vAlign w:val="bottom"/>
          </w:tcPr>
          <w:p>
            <w:pPr>
              <w:jc w:val="right"/>
              <w:ind w:right="682"/>
              <w:spacing w:after="0"/>
              <w:rPr>
                <w:sz w:val="20"/>
                <w:szCs w:val="20"/>
                <w:color w:val="auto"/>
              </w:rPr>
            </w:pPr>
            <w:r>
              <w:rPr>
                <w:rFonts w:ascii="Arial" w:cs="Arial" w:eastAsia="Arial" w:hAnsi="Arial"/>
                <w:sz w:val="12"/>
                <w:szCs w:val="12"/>
                <w:color w:val="auto"/>
                <w:w w:val="96"/>
              </w:rPr>
              <w:t>Redemptions/Sales/Syndications/Amortization</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(148,134)</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8"/>
        </w:trPr>
        <w:tc>
          <w:tcPr>
            <w:tcW w:w="3140" w:type="dxa"/>
            <w:vAlign w:val="bottom"/>
          </w:tcPr>
          <w:p>
            <w:pPr>
              <w:jc w:val="right"/>
              <w:ind w:right="682"/>
              <w:spacing w:after="0"/>
              <w:rPr>
                <w:sz w:val="20"/>
                <w:szCs w:val="20"/>
                <w:color w:val="auto"/>
              </w:rPr>
            </w:pPr>
            <w:r>
              <w:rPr>
                <w:rFonts w:ascii="Arial" w:cs="Arial" w:eastAsia="Arial" w:hAnsi="Arial"/>
                <w:sz w:val="12"/>
                <w:szCs w:val="12"/>
                <w:b w:val="1"/>
                <w:bCs w:val="1"/>
                <w:color w:val="auto"/>
              </w:rPr>
              <w:t>12/31/2015</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1,670,020</w:t>
            </w:r>
          </w:p>
        </w:tc>
        <w:tc>
          <w:tcPr>
            <w:tcW w:w="380" w:type="dxa"/>
            <w:vAlign w:val="bottom"/>
          </w:tcPr>
          <w:p>
            <w:pPr>
              <w:spacing w:after="0"/>
              <w:rPr>
                <w:sz w:val="17"/>
                <w:szCs w:val="17"/>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02"/>
              <w:spacing w:after="0"/>
              <w:rPr>
                <w:sz w:val="20"/>
                <w:szCs w:val="20"/>
                <w:color w:val="auto"/>
              </w:rPr>
            </w:pPr>
            <w:r>
              <w:rPr>
                <w:rFonts w:ascii="Arial" w:cs="Arial" w:eastAsia="Arial" w:hAnsi="Arial"/>
                <w:sz w:val="12"/>
                <w:szCs w:val="12"/>
                <w:color w:val="auto"/>
              </w:rPr>
              <w:t>1,553,949</w:t>
            </w:r>
          </w:p>
        </w:tc>
        <w:tc>
          <w:tcPr>
            <w:tcW w:w="6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10.29%</w:t>
            </w: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8"/>
              </w:rPr>
              <w:t>10.17%</w:t>
            </w:r>
          </w:p>
        </w:tc>
      </w:tr>
      <w:tr>
        <w:trPr>
          <w:trHeight w:val="522"/>
        </w:trPr>
        <w:tc>
          <w:tcPr>
            <w:tcW w:w="3140" w:type="dxa"/>
            <w:vAlign w:val="bottom"/>
          </w:tcPr>
          <w:p>
            <w:pPr>
              <w:jc w:val="right"/>
              <w:ind w:right="682"/>
              <w:spacing w:after="0"/>
              <w:rPr>
                <w:sz w:val="20"/>
                <w:szCs w:val="20"/>
                <w:color w:val="auto"/>
              </w:rPr>
            </w:pPr>
            <w:r>
              <w:rPr>
                <w:rFonts w:ascii="Arial" w:cs="Arial" w:eastAsia="Arial" w:hAnsi="Arial"/>
                <w:sz w:val="12"/>
                <w:szCs w:val="12"/>
                <w:color w:val="auto"/>
              </w:rPr>
              <w:t>Debt originations/accretion</w:t>
            </w:r>
            <w:r>
              <w:rPr>
                <w:rFonts w:ascii="Arial" w:cs="Arial" w:eastAsia="Arial" w:hAnsi="Arial"/>
                <w:sz w:val="14"/>
                <w:szCs w:val="14"/>
                <w:color w:val="auto"/>
                <w:vertAlign w:val="superscript"/>
              </w:rPr>
              <w:t>(3)</w:t>
            </w:r>
          </w:p>
        </w:tc>
        <w:tc>
          <w:tcPr>
            <w:tcW w:w="18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128,193</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9"/>
        </w:trPr>
        <w:tc>
          <w:tcPr>
            <w:tcW w:w="3140" w:type="dxa"/>
            <w:vAlign w:val="bottom"/>
          </w:tcPr>
          <w:p>
            <w:pPr>
              <w:jc w:val="right"/>
              <w:ind w:right="682"/>
              <w:spacing w:after="0"/>
              <w:rPr>
                <w:sz w:val="20"/>
                <w:szCs w:val="20"/>
                <w:color w:val="auto"/>
              </w:rPr>
            </w:pPr>
            <w:r>
              <w:rPr>
                <w:rFonts w:ascii="Arial" w:cs="Arial" w:eastAsia="Arial" w:hAnsi="Arial"/>
                <w:sz w:val="12"/>
                <w:szCs w:val="12"/>
                <w:color w:val="auto"/>
              </w:rPr>
              <w:t>Preferred Equity originations/accretion</w:t>
            </w:r>
            <w:r>
              <w:rPr>
                <w:rFonts w:ascii="Arial" w:cs="Arial" w:eastAsia="Arial" w:hAnsi="Arial"/>
                <w:sz w:val="14"/>
                <w:szCs w:val="14"/>
                <w:color w:val="auto"/>
                <w:vertAlign w:val="superscript"/>
              </w:rPr>
              <w:t>(3)</w:t>
            </w:r>
          </w:p>
        </w:tc>
        <w:tc>
          <w:tcPr>
            <w:tcW w:w="1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604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78"/>
        </w:trPr>
        <w:tc>
          <w:tcPr>
            <w:tcW w:w="3140" w:type="dxa"/>
            <w:vAlign w:val="bottom"/>
          </w:tcPr>
          <w:p>
            <w:pPr>
              <w:jc w:val="right"/>
              <w:ind w:right="682"/>
              <w:spacing w:after="0"/>
              <w:rPr>
                <w:sz w:val="20"/>
                <w:szCs w:val="20"/>
                <w:color w:val="auto"/>
              </w:rPr>
            </w:pPr>
            <w:r>
              <w:rPr>
                <w:rFonts w:ascii="Arial" w:cs="Arial" w:eastAsia="Arial" w:hAnsi="Arial"/>
                <w:sz w:val="12"/>
                <w:szCs w:val="12"/>
                <w:color w:val="auto"/>
                <w:w w:val="96"/>
              </w:rPr>
              <w:t>Redemptions/Sales/Syndications/Amortization</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(420,201)</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8"/>
        </w:trPr>
        <w:tc>
          <w:tcPr>
            <w:tcW w:w="3140" w:type="dxa"/>
            <w:vAlign w:val="bottom"/>
          </w:tcPr>
          <w:p>
            <w:pPr>
              <w:jc w:val="right"/>
              <w:ind w:right="682"/>
              <w:spacing w:after="0"/>
              <w:rPr>
                <w:sz w:val="20"/>
                <w:szCs w:val="20"/>
                <w:color w:val="auto"/>
              </w:rPr>
            </w:pPr>
            <w:r>
              <w:rPr>
                <w:rFonts w:ascii="Arial" w:cs="Arial" w:eastAsia="Arial" w:hAnsi="Arial"/>
                <w:sz w:val="12"/>
                <w:szCs w:val="12"/>
                <w:b w:val="1"/>
                <w:bCs w:val="1"/>
                <w:color w:val="auto"/>
              </w:rPr>
              <w:t>3/31/2016</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1,378,616</w:t>
            </w:r>
          </w:p>
        </w:tc>
        <w:tc>
          <w:tcPr>
            <w:tcW w:w="380" w:type="dxa"/>
            <w:vAlign w:val="bottom"/>
          </w:tcPr>
          <w:p>
            <w:pPr>
              <w:jc w:val="right"/>
              <w:ind w:right="244"/>
              <w:spacing w:after="0"/>
              <w:rPr>
                <w:sz w:val="20"/>
                <w:szCs w:val="20"/>
                <w:color w:val="auto"/>
              </w:rPr>
            </w:pPr>
            <w:r>
              <w:rPr>
                <w:rFonts w:ascii="Arial" w:cs="Arial" w:eastAsia="Arial" w:hAnsi="Arial"/>
                <w:sz w:val="7"/>
                <w:szCs w:val="7"/>
                <w:color w:val="auto"/>
                <w:w w:val="92"/>
              </w:rPr>
              <w:t>(4)</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02"/>
              <w:spacing w:after="0"/>
              <w:rPr>
                <w:sz w:val="20"/>
                <w:szCs w:val="20"/>
                <w:color w:val="auto"/>
              </w:rPr>
            </w:pPr>
            <w:r>
              <w:rPr>
                <w:rFonts w:ascii="Arial" w:cs="Arial" w:eastAsia="Arial" w:hAnsi="Arial"/>
                <w:sz w:val="12"/>
                <w:szCs w:val="12"/>
                <w:color w:val="auto"/>
              </w:rPr>
              <w:t>1,652,321</w:t>
            </w:r>
          </w:p>
        </w:tc>
        <w:tc>
          <w:tcPr>
            <w:tcW w:w="6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10.35%</w:t>
            </w: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8"/>
              </w:rPr>
              <w:t>10.39%</w:t>
            </w:r>
          </w:p>
        </w:tc>
      </w:tr>
      <w:tr>
        <w:trPr>
          <w:trHeight w:val="522"/>
        </w:trPr>
        <w:tc>
          <w:tcPr>
            <w:tcW w:w="3140" w:type="dxa"/>
            <w:vAlign w:val="bottom"/>
          </w:tcPr>
          <w:p>
            <w:pPr>
              <w:jc w:val="right"/>
              <w:ind w:right="682"/>
              <w:spacing w:after="0"/>
              <w:rPr>
                <w:sz w:val="20"/>
                <w:szCs w:val="20"/>
                <w:color w:val="auto"/>
              </w:rPr>
            </w:pPr>
            <w:r>
              <w:rPr>
                <w:rFonts w:ascii="Arial" w:cs="Arial" w:eastAsia="Arial" w:hAnsi="Arial"/>
                <w:sz w:val="12"/>
                <w:szCs w:val="12"/>
                <w:color w:val="auto"/>
              </w:rPr>
              <w:t>Debt originations/accretion</w:t>
            </w:r>
            <w:r>
              <w:rPr>
                <w:rFonts w:ascii="Arial" w:cs="Arial" w:eastAsia="Arial" w:hAnsi="Arial"/>
                <w:sz w:val="14"/>
                <w:szCs w:val="14"/>
                <w:color w:val="auto"/>
                <w:vertAlign w:val="superscript"/>
              </w:rPr>
              <w:t>(3)</w:t>
            </w:r>
          </w:p>
        </w:tc>
        <w:tc>
          <w:tcPr>
            <w:tcW w:w="18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125,993</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9"/>
        </w:trPr>
        <w:tc>
          <w:tcPr>
            <w:tcW w:w="3140" w:type="dxa"/>
            <w:vAlign w:val="bottom"/>
          </w:tcPr>
          <w:p>
            <w:pPr>
              <w:jc w:val="right"/>
              <w:ind w:right="682"/>
              <w:spacing w:after="0"/>
              <w:rPr>
                <w:sz w:val="20"/>
                <w:szCs w:val="20"/>
                <w:color w:val="auto"/>
              </w:rPr>
            </w:pPr>
            <w:r>
              <w:rPr>
                <w:rFonts w:ascii="Arial" w:cs="Arial" w:eastAsia="Arial" w:hAnsi="Arial"/>
                <w:sz w:val="12"/>
                <w:szCs w:val="12"/>
                <w:color w:val="auto"/>
              </w:rPr>
              <w:t>Preferred Equity originations/accretion</w:t>
            </w:r>
            <w:r>
              <w:rPr>
                <w:rFonts w:ascii="Arial" w:cs="Arial" w:eastAsia="Arial" w:hAnsi="Arial"/>
                <w:sz w:val="14"/>
                <w:szCs w:val="14"/>
                <w:color w:val="auto"/>
                <w:vertAlign w:val="superscript"/>
              </w:rPr>
              <w:t>(3)</w:t>
            </w:r>
          </w:p>
        </w:tc>
        <w:tc>
          <w:tcPr>
            <w:tcW w:w="1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255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78"/>
        </w:trPr>
        <w:tc>
          <w:tcPr>
            <w:tcW w:w="3140" w:type="dxa"/>
            <w:vAlign w:val="bottom"/>
          </w:tcPr>
          <w:p>
            <w:pPr>
              <w:jc w:val="right"/>
              <w:ind w:right="682"/>
              <w:spacing w:after="0"/>
              <w:rPr>
                <w:sz w:val="20"/>
                <w:szCs w:val="20"/>
                <w:color w:val="auto"/>
              </w:rPr>
            </w:pPr>
            <w:r>
              <w:rPr>
                <w:rFonts w:ascii="Arial" w:cs="Arial" w:eastAsia="Arial" w:hAnsi="Arial"/>
                <w:sz w:val="12"/>
                <w:szCs w:val="12"/>
                <w:color w:val="auto"/>
                <w:w w:val="96"/>
              </w:rPr>
              <w:t>Redemptions/Sales/Syndications/Amortization</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(147,683)</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8"/>
        </w:trPr>
        <w:tc>
          <w:tcPr>
            <w:tcW w:w="3140" w:type="dxa"/>
            <w:vAlign w:val="bottom"/>
          </w:tcPr>
          <w:p>
            <w:pPr>
              <w:jc w:val="right"/>
              <w:ind w:right="682"/>
              <w:spacing w:after="0"/>
              <w:rPr>
                <w:sz w:val="20"/>
                <w:szCs w:val="20"/>
                <w:color w:val="auto"/>
              </w:rPr>
            </w:pPr>
            <w:r>
              <w:rPr>
                <w:rFonts w:ascii="Arial" w:cs="Arial" w:eastAsia="Arial" w:hAnsi="Arial"/>
                <w:sz w:val="12"/>
                <w:szCs w:val="12"/>
                <w:b w:val="1"/>
                <w:bCs w:val="1"/>
                <w:color w:val="auto"/>
              </w:rPr>
              <w:t>6/30/2016</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1,357,181</w:t>
            </w:r>
          </w:p>
        </w:tc>
        <w:tc>
          <w:tcPr>
            <w:tcW w:w="380" w:type="dxa"/>
            <w:vAlign w:val="bottom"/>
          </w:tcPr>
          <w:p>
            <w:pPr>
              <w:jc w:val="right"/>
              <w:ind w:right="244"/>
              <w:spacing w:after="0"/>
              <w:rPr>
                <w:sz w:val="20"/>
                <w:szCs w:val="20"/>
                <w:color w:val="auto"/>
              </w:rPr>
            </w:pPr>
            <w:r>
              <w:rPr>
                <w:rFonts w:ascii="Arial" w:cs="Arial" w:eastAsia="Arial" w:hAnsi="Arial"/>
                <w:sz w:val="7"/>
                <w:szCs w:val="7"/>
                <w:color w:val="auto"/>
                <w:w w:val="92"/>
              </w:rPr>
              <w:t>(4)</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02"/>
              <w:spacing w:after="0"/>
              <w:rPr>
                <w:sz w:val="20"/>
                <w:szCs w:val="20"/>
                <w:color w:val="auto"/>
              </w:rPr>
            </w:pPr>
            <w:r>
              <w:rPr>
                <w:rFonts w:ascii="Arial" w:cs="Arial" w:eastAsia="Arial" w:hAnsi="Arial"/>
                <w:sz w:val="12"/>
                <w:szCs w:val="12"/>
                <w:color w:val="auto"/>
              </w:rPr>
              <w:t>1,373,151</w:t>
            </w:r>
          </w:p>
        </w:tc>
        <w:tc>
          <w:tcPr>
            <w:tcW w:w="6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9.50%</w:t>
            </w: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3"/>
              </w:rPr>
              <w:t>9.40%</w:t>
            </w:r>
          </w:p>
        </w:tc>
      </w:tr>
    </w:tbl>
    <w:p>
      <w:pPr>
        <w:spacing w:after="0" w:line="298" w:lineRule="exact"/>
        <w:rPr>
          <w:sz w:val="20"/>
          <w:szCs w:val="20"/>
          <w:color w:val="auto"/>
        </w:rPr>
      </w:pPr>
    </w:p>
    <w:p>
      <w:pPr>
        <w:ind w:left="200" w:hanging="179"/>
        <w:spacing w:after="0"/>
        <w:tabs>
          <w:tab w:leader="none" w:pos="2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Net of unamortized fees, discounts, and premiums.</w:t>
      </w:r>
    </w:p>
    <w:p>
      <w:pPr>
        <w:spacing w:after="0" w:line="36" w:lineRule="exact"/>
        <w:rPr>
          <w:rFonts w:ascii="Arial" w:cs="Arial" w:eastAsia="Arial" w:hAnsi="Arial"/>
          <w:sz w:val="12"/>
          <w:szCs w:val="12"/>
          <w:color w:val="auto"/>
        </w:rPr>
      </w:pPr>
    </w:p>
    <w:p>
      <w:pPr>
        <w:ind w:left="200" w:hanging="179"/>
        <w:spacing w:after="0"/>
        <w:tabs>
          <w:tab w:leader="none" w:pos="2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Calculated based on accounting income, which includes cash interest, paid-in-kind interest, fee accrual and amortization of discounts, recognized in the last month of the quarter.</w:t>
      </w:r>
    </w:p>
    <w:p>
      <w:pPr>
        <w:spacing w:after="0" w:line="36" w:lineRule="exact"/>
        <w:rPr>
          <w:rFonts w:ascii="Arial" w:cs="Arial" w:eastAsia="Arial" w:hAnsi="Arial"/>
          <w:sz w:val="12"/>
          <w:szCs w:val="12"/>
          <w:color w:val="auto"/>
        </w:rPr>
      </w:pPr>
    </w:p>
    <w:p>
      <w:pPr>
        <w:ind w:left="200" w:hanging="179"/>
        <w:spacing w:after="0"/>
        <w:tabs>
          <w:tab w:leader="none" w:pos="2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Accretion includes amortization of fees and discounts and paid-in-kind investment income.</w:t>
      </w:r>
    </w:p>
    <w:p>
      <w:pPr>
        <w:spacing w:after="0" w:line="36" w:lineRule="exact"/>
        <w:rPr>
          <w:rFonts w:ascii="Arial" w:cs="Arial" w:eastAsia="Arial" w:hAnsi="Arial"/>
          <w:sz w:val="12"/>
          <w:szCs w:val="12"/>
          <w:color w:val="auto"/>
        </w:rPr>
      </w:pPr>
    </w:p>
    <w:p>
      <w:pPr>
        <w:ind w:left="200" w:hanging="179"/>
        <w:spacing w:after="0"/>
        <w:tabs>
          <w:tab w:leader="none" w:pos="2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Excludes debt and preferred equity investments totaling $310.8 million with a weighted average current yield of 7.8% that are included in other balance sheet line items.</w:t>
      </w: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29</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8" w:right="919" w:bottom="1440" w:gutter="0" w:footer="0" w:header="0"/>
        </w:sectPr>
      </w:pPr>
    </w:p>
    <w:bookmarkStart w:id="46" w:name="page47"/>
    <w:bookmarkEnd w:id="46"/>
    <w:p>
      <w:pPr>
        <w:ind w:left="44"/>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AND PREFERRED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-48895</wp:posOffset>
            </wp:positionV>
            <wp:extent cx="1263015" cy="3606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ind w:left="44"/>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ind w:left="44"/>
        <w:spacing w:after="0"/>
        <w:rPr>
          <w:sz w:val="20"/>
          <w:szCs w:val="20"/>
          <w:color w:val="auto"/>
        </w:rPr>
      </w:pPr>
      <w:r>
        <w:rPr>
          <w:rFonts w:ascii="Arial" w:cs="Arial" w:eastAsia="Arial" w:hAnsi="Arial"/>
          <w:sz w:val="12"/>
          <w:szCs w:val="12"/>
          <w:color w:val="auto"/>
        </w:rPr>
        <w:t>(Dollars in Thousands, Except Per Square Foot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64122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Weighted Average</w:t>
            </w:r>
          </w:p>
        </w:tc>
        <w:tc>
          <w:tcPr>
            <w:tcW w:w="28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Weighted Average</w:t>
            </w:r>
          </w:p>
        </w:tc>
        <w:tc>
          <w:tcPr>
            <w:tcW w:w="74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Current</w:t>
            </w:r>
          </w:p>
        </w:tc>
      </w:tr>
      <w:tr>
        <w:trPr>
          <w:trHeight w:val="191"/>
        </w:trPr>
        <w:tc>
          <w:tcPr>
            <w:tcW w:w="1320" w:type="dxa"/>
            <w:vAlign w:val="bottom"/>
            <w:gridSpan w:val="2"/>
          </w:tcPr>
          <w:p>
            <w:pPr>
              <w:spacing w:after="0"/>
              <w:rPr>
                <w:sz w:val="20"/>
                <w:szCs w:val="20"/>
                <w:color w:val="auto"/>
              </w:rPr>
            </w:pPr>
            <w:r>
              <w:rPr>
                <w:rFonts w:ascii="Arial" w:cs="Arial" w:eastAsia="Arial" w:hAnsi="Arial"/>
                <w:sz w:val="15"/>
                <w:szCs w:val="15"/>
                <w:b w:val="1"/>
                <w:bCs w:val="1"/>
                <w:color w:val="auto"/>
                <w:w w:val="95"/>
              </w:rPr>
              <w:t>Type of Investment</w:t>
            </w:r>
          </w:p>
        </w:tc>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4"/>
          </w:tcPr>
          <w:p>
            <w:pPr>
              <w:spacing w:after="0" w:line="192" w:lineRule="exact"/>
              <w:rPr>
                <w:sz w:val="20"/>
                <w:szCs w:val="20"/>
                <w:color w:val="auto"/>
              </w:rPr>
            </w:pPr>
            <w:r>
              <w:rPr>
                <w:rFonts w:ascii="Arial" w:cs="Arial" w:eastAsia="Arial" w:hAnsi="Arial"/>
                <w:sz w:val="13"/>
                <w:szCs w:val="13"/>
                <w:b w:val="1"/>
                <w:bCs w:val="1"/>
                <w:color w:val="auto"/>
              </w:rPr>
              <w:t xml:space="preserve">Book Value </w:t>
            </w:r>
            <w:r>
              <w:rPr>
                <w:rFonts w:ascii="Arial" w:cs="Arial" w:eastAsia="Arial" w:hAnsi="Arial"/>
                <w:sz w:val="17"/>
                <w:szCs w:val="17"/>
                <w:b w:val="1"/>
                <w:bCs w:val="1"/>
                <w:color w:val="auto"/>
                <w:vertAlign w:val="superscript"/>
              </w:rPr>
              <w:t>(1)(2)</w:t>
            </w:r>
          </w:p>
        </w:tc>
        <w:tc>
          <w:tcPr>
            <w:tcW w:w="1380" w:type="dxa"/>
            <w:vAlign w:val="bottom"/>
            <w:gridSpan w:val="5"/>
          </w:tcPr>
          <w:p>
            <w:pPr>
              <w:ind w:left="40"/>
              <w:spacing w:after="0"/>
              <w:rPr>
                <w:sz w:val="20"/>
                <w:szCs w:val="20"/>
                <w:color w:val="auto"/>
              </w:rPr>
            </w:pPr>
            <w:r>
              <w:rPr>
                <w:rFonts w:ascii="Arial" w:cs="Arial" w:eastAsia="Arial" w:hAnsi="Arial"/>
                <w:sz w:val="13"/>
                <w:szCs w:val="13"/>
                <w:b w:val="1"/>
                <w:bCs w:val="1"/>
                <w:color w:val="auto"/>
              </w:rPr>
              <w:t>Senior Financing</w:t>
            </w:r>
          </w:p>
        </w:tc>
        <w:tc>
          <w:tcPr>
            <w:tcW w:w="16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Exposure PSF</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rPr>
              <w:t>Yield During Quarter</w:t>
            </w:r>
          </w:p>
        </w:tc>
        <w:tc>
          <w:tcPr>
            <w:tcW w:w="740" w:type="dxa"/>
            <w:vAlign w:val="bottom"/>
            <w:gridSpan w:val="3"/>
          </w:tcPr>
          <w:p>
            <w:pPr>
              <w:ind w:left="280"/>
              <w:spacing w:after="0" w:line="192" w:lineRule="exact"/>
              <w:rPr>
                <w:sz w:val="20"/>
                <w:szCs w:val="20"/>
                <w:color w:val="auto"/>
              </w:rPr>
            </w:pPr>
            <w:r>
              <w:rPr>
                <w:rFonts w:ascii="Arial" w:cs="Arial" w:eastAsia="Arial" w:hAnsi="Arial"/>
                <w:sz w:val="13"/>
                <w:szCs w:val="13"/>
                <w:b w:val="1"/>
                <w:bCs w:val="1"/>
                <w:color w:val="auto"/>
                <w:w w:val="90"/>
              </w:rPr>
              <w:t xml:space="preserve">Yield </w:t>
            </w:r>
            <w:r>
              <w:rPr>
                <w:rFonts w:ascii="Arial" w:cs="Arial" w:eastAsia="Arial" w:hAnsi="Arial"/>
                <w:sz w:val="17"/>
                <w:szCs w:val="17"/>
                <w:b w:val="1"/>
                <w:bCs w:val="1"/>
                <w:color w:val="auto"/>
                <w:w w:val="90"/>
                <w:vertAlign w:val="superscript"/>
              </w:rPr>
              <w:t>(3)</w:t>
            </w:r>
          </w:p>
        </w:tc>
      </w:tr>
      <w:tr>
        <w:trPr>
          <w:trHeight w:val="417"/>
        </w:trPr>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New York City</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68"/>
        </w:trPr>
        <w:tc>
          <w:tcPr>
            <w:tcW w:w="3060" w:type="dxa"/>
            <w:vAlign w:val="bottom"/>
            <w:gridSpan w:val="3"/>
          </w:tcPr>
          <w:p>
            <w:pPr>
              <w:spacing w:after="0"/>
              <w:rPr>
                <w:sz w:val="20"/>
                <w:szCs w:val="20"/>
                <w:color w:val="auto"/>
              </w:rPr>
            </w:pPr>
            <w:r>
              <w:rPr>
                <w:rFonts w:ascii="Arial" w:cs="Arial" w:eastAsia="Arial" w:hAnsi="Arial"/>
                <w:sz w:val="13"/>
                <w:szCs w:val="13"/>
                <w:b w:val="1"/>
                <w:bCs w:val="1"/>
                <w:color w:val="auto"/>
              </w:rPr>
              <w:t>Senior Mortgage Debt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279,703</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453</w:t>
            </w:r>
          </w:p>
        </w:tc>
        <w:tc>
          <w:tcPr>
            <w:tcW w:w="400" w:type="dxa"/>
            <w:vAlign w:val="bottom"/>
          </w:tcPr>
          <w:p>
            <w:pPr>
              <w:spacing w:after="0"/>
              <w:rPr>
                <w:sz w:val="24"/>
                <w:szCs w:val="24"/>
                <w:color w:val="auto"/>
              </w:rPr>
            </w:pPr>
          </w:p>
        </w:tc>
        <w:tc>
          <w:tcPr>
            <w:tcW w:w="1560" w:type="dxa"/>
            <w:vAlign w:val="bottom"/>
            <w:gridSpan w:val="2"/>
          </w:tcPr>
          <w:p>
            <w:pPr>
              <w:jc w:val="center"/>
              <w:ind w:left="54"/>
              <w:spacing w:after="0"/>
              <w:rPr>
                <w:sz w:val="20"/>
                <w:szCs w:val="20"/>
                <w:color w:val="auto"/>
              </w:rPr>
            </w:pPr>
            <w:r>
              <w:rPr>
                <w:rFonts w:ascii="Arial" w:cs="Arial" w:eastAsia="Arial" w:hAnsi="Arial"/>
                <w:sz w:val="13"/>
                <w:szCs w:val="13"/>
                <w:color w:val="auto"/>
                <w:w w:val="97"/>
              </w:rPr>
              <w:t>6.73%</w:t>
            </w:r>
          </w:p>
        </w:tc>
        <w:tc>
          <w:tcPr>
            <w:tcW w:w="260" w:type="dxa"/>
            <w:vAlign w:val="bottom"/>
          </w:tcPr>
          <w:p>
            <w:pPr>
              <w:spacing w:after="0"/>
              <w:rPr>
                <w:sz w:val="24"/>
                <w:szCs w:val="24"/>
                <w:color w:val="auto"/>
              </w:rPr>
            </w:pPr>
          </w:p>
        </w:tc>
        <w:tc>
          <w:tcPr>
            <w:tcW w:w="740" w:type="dxa"/>
            <w:vAlign w:val="bottom"/>
            <w:gridSpan w:val="3"/>
          </w:tcPr>
          <w:p>
            <w:pPr>
              <w:jc w:val="center"/>
              <w:ind w:left="194"/>
              <w:spacing w:after="0"/>
              <w:rPr>
                <w:sz w:val="20"/>
                <w:szCs w:val="20"/>
                <w:color w:val="auto"/>
              </w:rPr>
            </w:pPr>
            <w:r>
              <w:rPr>
                <w:rFonts w:ascii="Arial" w:cs="Arial" w:eastAsia="Arial" w:hAnsi="Arial"/>
                <w:sz w:val="13"/>
                <w:szCs w:val="13"/>
                <w:color w:val="auto"/>
                <w:w w:val="97"/>
              </w:rPr>
              <w:t>6.97%</w:t>
            </w:r>
          </w:p>
        </w:tc>
      </w:tr>
      <w:tr>
        <w:trPr>
          <w:trHeight w:val="361"/>
        </w:trPr>
        <w:tc>
          <w:tcPr>
            <w:tcW w:w="3060" w:type="dxa"/>
            <w:vAlign w:val="bottom"/>
            <w:gridSpan w:val="3"/>
          </w:tcPr>
          <w:p>
            <w:pPr>
              <w:spacing w:after="0"/>
              <w:rPr>
                <w:sz w:val="20"/>
                <w:szCs w:val="20"/>
                <w:color w:val="auto"/>
              </w:rPr>
            </w:pPr>
            <w:r>
              <w:rPr>
                <w:rFonts w:ascii="Arial" w:cs="Arial" w:eastAsia="Arial" w:hAnsi="Arial"/>
                <w:sz w:val="13"/>
                <w:szCs w:val="13"/>
                <w:b w:val="1"/>
                <w:bCs w:val="1"/>
                <w:color w:val="auto"/>
              </w:rPr>
              <w:t>Junior Mortgage Participation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57,941</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1,204,000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3,663</w:t>
            </w:r>
          </w:p>
        </w:tc>
        <w:tc>
          <w:tcPr>
            <w:tcW w:w="400" w:type="dxa"/>
            <w:vAlign w:val="bottom"/>
          </w:tcPr>
          <w:p>
            <w:pPr>
              <w:spacing w:after="0"/>
              <w:rPr>
                <w:sz w:val="24"/>
                <w:szCs w:val="24"/>
                <w:color w:val="auto"/>
              </w:rPr>
            </w:pPr>
          </w:p>
        </w:tc>
        <w:tc>
          <w:tcPr>
            <w:tcW w:w="1560" w:type="dxa"/>
            <w:vAlign w:val="bottom"/>
            <w:gridSpan w:val="2"/>
          </w:tcPr>
          <w:p>
            <w:pPr>
              <w:jc w:val="center"/>
              <w:ind w:left="54"/>
              <w:spacing w:after="0"/>
              <w:rPr>
                <w:sz w:val="20"/>
                <w:szCs w:val="20"/>
                <w:color w:val="auto"/>
              </w:rPr>
            </w:pPr>
            <w:r>
              <w:rPr>
                <w:rFonts w:ascii="Arial" w:cs="Arial" w:eastAsia="Arial" w:hAnsi="Arial"/>
                <w:sz w:val="13"/>
                <w:szCs w:val="13"/>
                <w:color w:val="auto"/>
                <w:w w:val="99"/>
              </w:rPr>
              <w:t>10.08%</w:t>
            </w:r>
          </w:p>
        </w:tc>
        <w:tc>
          <w:tcPr>
            <w:tcW w:w="260" w:type="dxa"/>
            <w:vAlign w:val="bottom"/>
          </w:tcPr>
          <w:p>
            <w:pPr>
              <w:spacing w:after="0"/>
              <w:rPr>
                <w:sz w:val="24"/>
                <w:szCs w:val="24"/>
                <w:color w:val="auto"/>
              </w:rPr>
            </w:pPr>
          </w:p>
        </w:tc>
        <w:tc>
          <w:tcPr>
            <w:tcW w:w="740" w:type="dxa"/>
            <w:vAlign w:val="bottom"/>
            <w:gridSpan w:val="3"/>
          </w:tcPr>
          <w:p>
            <w:pPr>
              <w:jc w:val="center"/>
              <w:ind w:left="194"/>
              <w:spacing w:after="0"/>
              <w:rPr>
                <w:sz w:val="20"/>
                <w:szCs w:val="20"/>
                <w:color w:val="auto"/>
              </w:rPr>
            </w:pPr>
            <w:r>
              <w:rPr>
                <w:rFonts w:ascii="Arial" w:cs="Arial" w:eastAsia="Arial" w:hAnsi="Arial"/>
                <w:sz w:val="13"/>
                <w:szCs w:val="13"/>
                <w:color w:val="auto"/>
                <w:w w:val="99"/>
              </w:rPr>
              <w:t>10.07%</w:t>
            </w:r>
          </w:p>
        </w:tc>
      </w:tr>
      <w:tr>
        <w:trPr>
          <w:trHeight w:val="361"/>
        </w:trPr>
        <w:tc>
          <w:tcPr>
            <w:tcW w:w="3060" w:type="dxa"/>
            <w:vAlign w:val="bottom"/>
            <w:gridSpan w:val="3"/>
          </w:tcPr>
          <w:p>
            <w:pPr>
              <w:spacing w:after="0"/>
              <w:rPr>
                <w:sz w:val="20"/>
                <w:szCs w:val="20"/>
                <w:color w:val="auto"/>
              </w:rPr>
            </w:pPr>
            <w:r>
              <w:rPr>
                <w:rFonts w:ascii="Arial" w:cs="Arial" w:eastAsia="Arial" w:hAnsi="Arial"/>
                <w:sz w:val="13"/>
                <w:szCs w:val="13"/>
                <w:b w:val="1"/>
                <w:bCs w:val="1"/>
                <w:color w:val="auto"/>
              </w:rPr>
              <w:t>Mezzanine Debt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976,501</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2,869,279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1,876</w:t>
            </w:r>
          </w:p>
        </w:tc>
        <w:tc>
          <w:tcPr>
            <w:tcW w:w="400" w:type="dxa"/>
            <w:vAlign w:val="bottom"/>
          </w:tcPr>
          <w:p>
            <w:pPr>
              <w:spacing w:after="0"/>
              <w:rPr>
                <w:sz w:val="24"/>
                <w:szCs w:val="24"/>
                <w:color w:val="auto"/>
              </w:rPr>
            </w:pPr>
          </w:p>
        </w:tc>
        <w:tc>
          <w:tcPr>
            <w:tcW w:w="1560" w:type="dxa"/>
            <w:vAlign w:val="bottom"/>
            <w:gridSpan w:val="2"/>
          </w:tcPr>
          <w:p>
            <w:pPr>
              <w:jc w:val="center"/>
              <w:ind w:left="54"/>
              <w:spacing w:after="0"/>
              <w:rPr>
                <w:sz w:val="20"/>
                <w:szCs w:val="20"/>
                <w:color w:val="auto"/>
              </w:rPr>
            </w:pPr>
            <w:r>
              <w:rPr>
                <w:rFonts w:ascii="Arial" w:cs="Arial" w:eastAsia="Arial" w:hAnsi="Arial"/>
                <w:sz w:val="13"/>
                <w:szCs w:val="13"/>
                <w:color w:val="auto"/>
                <w:w w:val="99"/>
              </w:rPr>
              <w:t>10.21%</w:t>
            </w:r>
          </w:p>
        </w:tc>
        <w:tc>
          <w:tcPr>
            <w:tcW w:w="260" w:type="dxa"/>
            <w:vAlign w:val="bottom"/>
          </w:tcPr>
          <w:p>
            <w:pPr>
              <w:spacing w:after="0"/>
              <w:rPr>
                <w:sz w:val="24"/>
                <w:szCs w:val="24"/>
                <w:color w:val="auto"/>
              </w:rPr>
            </w:pPr>
          </w:p>
        </w:tc>
        <w:tc>
          <w:tcPr>
            <w:tcW w:w="740" w:type="dxa"/>
            <w:vAlign w:val="bottom"/>
            <w:gridSpan w:val="3"/>
          </w:tcPr>
          <w:p>
            <w:pPr>
              <w:jc w:val="center"/>
              <w:ind w:left="194"/>
              <w:spacing w:after="0"/>
              <w:rPr>
                <w:sz w:val="20"/>
                <w:szCs w:val="20"/>
                <w:color w:val="auto"/>
              </w:rPr>
            </w:pPr>
            <w:r>
              <w:rPr>
                <w:rFonts w:ascii="Arial" w:cs="Arial" w:eastAsia="Arial" w:hAnsi="Arial"/>
                <w:sz w:val="13"/>
                <w:szCs w:val="13"/>
                <w:color w:val="auto"/>
                <w:w w:val="99"/>
              </w:rPr>
              <w:t>10.12%</w:t>
            </w:r>
          </w:p>
        </w:tc>
      </w:tr>
      <w:tr>
        <w:trPr>
          <w:trHeight w:val="368"/>
        </w:trPr>
        <w:tc>
          <w:tcPr>
            <w:tcW w:w="3060" w:type="dxa"/>
            <w:vAlign w:val="bottom"/>
            <w:gridSpan w:val="3"/>
          </w:tcPr>
          <w:p>
            <w:pPr>
              <w:spacing w:after="0"/>
              <w:rPr>
                <w:sz w:val="20"/>
                <w:szCs w:val="20"/>
                <w:color w:val="auto"/>
              </w:rPr>
            </w:pPr>
            <w:r>
              <w:rPr>
                <w:rFonts w:ascii="Arial" w:cs="Arial" w:eastAsia="Arial" w:hAnsi="Arial"/>
                <w:sz w:val="13"/>
                <w:szCs w:val="13"/>
                <w:b w:val="1"/>
                <w:bCs w:val="1"/>
                <w:color w:val="auto"/>
              </w:rPr>
              <w:t>Preferred Equity</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43,036</w:t>
            </w:r>
          </w:p>
        </w:tc>
        <w:tc>
          <w:tcPr>
            <w:tcW w:w="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131,452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407</w:t>
            </w:r>
          </w:p>
        </w:tc>
        <w:tc>
          <w:tcPr>
            <w:tcW w:w="400" w:type="dxa"/>
            <w:vAlign w:val="bottom"/>
          </w:tcPr>
          <w:p>
            <w:pPr>
              <w:spacing w:after="0"/>
              <w:rPr>
                <w:sz w:val="24"/>
                <w:szCs w:val="24"/>
                <w:color w:val="auto"/>
              </w:rPr>
            </w:pPr>
          </w:p>
        </w:tc>
        <w:tc>
          <w:tcPr>
            <w:tcW w:w="1560" w:type="dxa"/>
            <w:vAlign w:val="bottom"/>
            <w:gridSpan w:val="2"/>
          </w:tcPr>
          <w:p>
            <w:pPr>
              <w:jc w:val="center"/>
              <w:ind w:left="54"/>
              <w:spacing w:after="0"/>
              <w:rPr>
                <w:sz w:val="20"/>
                <w:szCs w:val="20"/>
                <w:color w:val="auto"/>
              </w:rPr>
            </w:pPr>
            <w:r>
              <w:rPr>
                <w:rFonts w:ascii="Arial" w:cs="Arial" w:eastAsia="Arial" w:hAnsi="Arial"/>
                <w:sz w:val="13"/>
                <w:szCs w:val="13"/>
                <w:color w:val="auto"/>
                <w:w w:val="97"/>
              </w:rPr>
              <w:t>7.97%</w:t>
            </w:r>
          </w:p>
        </w:tc>
        <w:tc>
          <w:tcPr>
            <w:tcW w:w="260" w:type="dxa"/>
            <w:vAlign w:val="bottom"/>
          </w:tcPr>
          <w:p>
            <w:pPr>
              <w:spacing w:after="0"/>
              <w:rPr>
                <w:sz w:val="24"/>
                <w:szCs w:val="24"/>
                <w:color w:val="auto"/>
              </w:rPr>
            </w:pPr>
          </w:p>
        </w:tc>
        <w:tc>
          <w:tcPr>
            <w:tcW w:w="740" w:type="dxa"/>
            <w:vAlign w:val="bottom"/>
            <w:gridSpan w:val="3"/>
          </w:tcPr>
          <w:p>
            <w:pPr>
              <w:jc w:val="center"/>
              <w:ind w:left="194"/>
              <w:spacing w:after="0"/>
              <w:rPr>
                <w:sz w:val="20"/>
                <w:szCs w:val="20"/>
                <w:color w:val="auto"/>
              </w:rPr>
            </w:pPr>
            <w:r>
              <w:rPr>
                <w:rFonts w:ascii="Arial" w:cs="Arial" w:eastAsia="Arial" w:hAnsi="Arial"/>
                <w:sz w:val="13"/>
                <w:szCs w:val="13"/>
                <w:color w:val="auto"/>
                <w:w w:val="97"/>
              </w:rPr>
              <w:t>7.97%</w:t>
            </w:r>
          </w:p>
        </w:tc>
      </w:tr>
      <w:tr>
        <w:trPr>
          <w:trHeight w:val="421"/>
        </w:trPr>
        <w:tc>
          <w:tcPr>
            <w:tcW w:w="3060" w:type="dxa"/>
            <w:vAlign w:val="bottom"/>
            <w:gridSpan w:val="3"/>
          </w:tcPr>
          <w:p>
            <w:pPr>
              <w:spacing w:after="0"/>
              <w:rPr>
                <w:sz w:val="20"/>
                <w:szCs w:val="20"/>
                <w:color w:val="auto"/>
              </w:rPr>
            </w:pPr>
            <w:r>
              <w:rPr>
                <w:rFonts w:ascii="Arial" w:cs="Arial" w:eastAsia="Arial" w:hAnsi="Arial"/>
                <w:sz w:val="13"/>
                <w:szCs w:val="13"/>
                <w:b w:val="1"/>
                <w:bCs w:val="1"/>
                <w:color w:val="auto"/>
              </w:rPr>
              <w:t>Balance as of 6/30/16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1,357,181</w:t>
            </w:r>
          </w:p>
        </w:tc>
        <w:tc>
          <w:tcPr>
            <w:tcW w:w="58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4,204,731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1,613</w:t>
            </w:r>
          </w:p>
        </w:tc>
        <w:tc>
          <w:tcPr>
            <w:tcW w:w="400" w:type="dxa"/>
            <w:vAlign w:val="bottom"/>
          </w:tcPr>
          <w:p>
            <w:pPr>
              <w:spacing w:after="0"/>
              <w:rPr>
                <w:sz w:val="24"/>
                <w:szCs w:val="24"/>
                <w:color w:val="auto"/>
              </w:rPr>
            </w:pPr>
          </w:p>
        </w:tc>
        <w:tc>
          <w:tcPr>
            <w:tcW w:w="1560" w:type="dxa"/>
            <w:vAlign w:val="bottom"/>
            <w:gridSpan w:val="2"/>
          </w:tcPr>
          <w:p>
            <w:pPr>
              <w:jc w:val="center"/>
              <w:ind w:left="54"/>
              <w:spacing w:after="0"/>
              <w:rPr>
                <w:sz w:val="20"/>
                <w:szCs w:val="20"/>
                <w:color w:val="auto"/>
              </w:rPr>
            </w:pPr>
            <w:r>
              <w:rPr>
                <w:rFonts w:ascii="Arial" w:cs="Arial" w:eastAsia="Arial" w:hAnsi="Arial"/>
                <w:sz w:val="13"/>
                <w:szCs w:val="13"/>
                <w:color w:val="auto"/>
                <w:w w:val="97"/>
              </w:rPr>
              <w:t>9.50%</w:t>
            </w:r>
          </w:p>
        </w:tc>
        <w:tc>
          <w:tcPr>
            <w:tcW w:w="260" w:type="dxa"/>
            <w:vAlign w:val="bottom"/>
          </w:tcPr>
          <w:p>
            <w:pPr>
              <w:spacing w:after="0"/>
              <w:rPr>
                <w:sz w:val="24"/>
                <w:szCs w:val="24"/>
                <w:color w:val="auto"/>
              </w:rPr>
            </w:pPr>
          </w:p>
        </w:tc>
        <w:tc>
          <w:tcPr>
            <w:tcW w:w="740" w:type="dxa"/>
            <w:vAlign w:val="bottom"/>
            <w:gridSpan w:val="3"/>
          </w:tcPr>
          <w:p>
            <w:pPr>
              <w:jc w:val="center"/>
              <w:ind w:left="194"/>
              <w:spacing w:after="0"/>
              <w:rPr>
                <w:sz w:val="20"/>
                <w:szCs w:val="20"/>
                <w:color w:val="auto"/>
              </w:rPr>
            </w:pPr>
            <w:r>
              <w:rPr>
                <w:rFonts w:ascii="Arial" w:cs="Arial" w:eastAsia="Arial" w:hAnsi="Arial"/>
                <w:sz w:val="13"/>
                <w:szCs w:val="13"/>
                <w:color w:val="auto"/>
                <w:w w:val="97"/>
              </w:rPr>
              <w:t>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496570</wp:posOffset>
            </wp:positionV>
            <wp:extent cx="6329045" cy="132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2904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4" w:right="280" w:hanging="164"/>
        <w:spacing w:after="0" w:line="380" w:lineRule="auto"/>
        <w:tabs>
          <w:tab w:leader="none" w:pos="177" w:val="left"/>
        </w:tabs>
        <w:numPr>
          <w:ilvl w:val="0"/>
          <w:numId w:val="22"/>
        </w:numPr>
        <w:rPr>
          <w:rFonts w:ascii="Arial" w:cs="Arial" w:eastAsia="Arial" w:hAnsi="Arial"/>
          <w:sz w:val="12"/>
          <w:szCs w:val="12"/>
          <w:color w:val="auto"/>
        </w:rPr>
      </w:pPr>
      <w:r>
        <w:rPr>
          <w:rFonts w:ascii="Arial" w:cs="Arial" w:eastAsia="Arial" w:hAnsi="Arial"/>
          <w:sz w:val="12"/>
          <w:szCs w:val="12"/>
          <w:color w:val="auto"/>
        </w:rPr>
        <w:t>Net of unamortized fees, discounts, and premiums. Excludes debt and preferred equity investments totaling $310.8 million with a weighted average current yield of 7.8% that are included in other balance sheet line items.</w:t>
      </w:r>
    </w:p>
    <w:p>
      <w:pPr>
        <w:ind w:left="184" w:hanging="184"/>
        <w:spacing w:after="0"/>
        <w:tabs>
          <w:tab w:leader="none" w:pos="184" w:val="left"/>
        </w:tabs>
        <w:numPr>
          <w:ilvl w:val="0"/>
          <w:numId w:val="22"/>
        </w:numPr>
        <w:rPr>
          <w:rFonts w:ascii="Arial" w:cs="Arial" w:eastAsia="Arial" w:hAnsi="Arial"/>
          <w:sz w:val="12"/>
          <w:szCs w:val="12"/>
          <w:color w:val="auto"/>
        </w:rPr>
      </w:pPr>
      <w:r>
        <w:rPr>
          <w:rFonts w:ascii="Arial" w:cs="Arial" w:eastAsia="Arial" w:hAnsi="Arial"/>
          <w:sz w:val="12"/>
          <w:szCs w:val="12"/>
          <w:color w:val="auto"/>
        </w:rPr>
        <w:t>Approximately 67.2% of our investments are indexed to LIBOR.</w:t>
      </w:r>
    </w:p>
    <w:p>
      <w:pPr>
        <w:spacing w:after="0" w:line="80" w:lineRule="exact"/>
        <w:rPr>
          <w:rFonts w:ascii="Arial" w:cs="Arial" w:eastAsia="Arial" w:hAnsi="Arial"/>
          <w:sz w:val="12"/>
          <w:szCs w:val="12"/>
          <w:color w:val="auto"/>
        </w:rPr>
      </w:pPr>
    </w:p>
    <w:p>
      <w:pPr>
        <w:ind w:left="184" w:hanging="184"/>
        <w:spacing w:after="0"/>
        <w:tabs>
          <w:tab w:leader="none" w:pos="184" w:val="left"/>
        </w:tabs>
        <w:numPr>
          <w:ilvl w:val="0"/>
          <w:numId w:val="22"/>
        </w:numPr>
        <w:rPr>
          <w:rFonts w:ascii="Arial" w:cs="Arial" w:eastAsia="Arial" w:hAnsi="Arial"/>
          <w:sz w:val="12"/>
          <w:szCs w:val="12"/>
          <w:color w:val="auto"/>
        </w:rPr>
      </w:pPr>
      <w:r>
        <w:rPr>
          <w:rFonts w:ascii="Arial" w:cs="Arial" w:eastAsia="Arial" w:hAnsi="Arial"/>
          <w:sz w:val="12"/>
          <w:szCs w:val="12"/>
          <w:color w:val="auto"/>
        </w:rPr>
        <w:t>Calculated based on accounting income, which includes cash interest, paid-in-kind interest, fee accrual and amortization of discounts, recognized in the last month of the quarter.</w:t>
      </w:r>
    </w:p>
    <w:p>
      <w:pPr>
        <w:spacing w:after="0" w:line="80" w:lineRule="exact"/>
        <w:rPr>
          <w:rFonts w:ascii="Arial" w:cs="Arial" w:eastAsia="Arial" w:hAnsi="Arial"/>
          <w:sz w:val="12"/>
          <w:szCs w:val="12"/>
          <w:color w:val="auto"/>
        </w:rPr>
      </w:pPr>
    </w:p>
    <w:p>
      <w:pPr>
        <w:ind w:left="164" w:right="560" w:hanging="164"/>
        <w:spacing w:after="0" w:line="382" w:lineRule="auto"/>
        <w:tabs>
          <w:tab w:leader="none" w:pos="17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weighted average maturity of the outstanding balance is 1.36 years. Approximately 64.9% of our portfolio of investments have extension options, some of which may be subject to certain conditions for extension.</w:t>
      </w:r>
    </w:p>
    <w:p>
      <w:pPr>
        <w:spacing w:after="0" w:line="200" w:lineRule="exact"/>
        <w:rPr>
          <w:sz w:val="20"/>
          <w:szCs w:val="20"/>
          <w:color w:val="auto"/>
        </w:rPr>
      </w:pPr>
    </w:p>
    <w:p>
      <w:pPr>
        <w:spacing w:after="0" w:line="270" w:lineRule="exact"/>
        <w:rPr>
          <w:sz w:val="20"/>
          <w:szCs w:val="20"/>
          <w:color w:val="auto"/>
        </w:rPr>
      </w:pPr>
    </w:p>
    <w:p>
      <w:pPr>
        <w:ind w:left="84"/>
        <w:spacing w:after="0"/>
        <w:tabs>
          <w:tab w:leader="none" w:pos="5004" w:val="left"/>
          <w:tab w:leader="none" w:pos="9124"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30</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24"/>
          </w:cols>
          <w:pgMar w:left="856" w:top="338" w:right="919" w:bottom="1440" w:gutter="0" w:footer="0" w:header="0"/>
        </w:sectPr>
      </w:pPr>
    </w:p>
    <w:bookmarkStart w:id="47" w:name="page48"/>
    <w:bookmarkEnd w:id="4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10 LARGEST DEBT AND PREFERRED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Square Foot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Book Value</w:t>
            </w:r>
            <w:r>
              <w:rPr>
                <w:rFonts w:ascii="Arial" w:cs="Arial" w:eastAsia="Arial" w:hAnsi="Arial"/>
                <w:sz w:val="17"/>
                <w:szCs w:val="17"/>
                <w:b w:val="1"/>
                <w:bCs w:val="1"/>
                <w:color w:val="auto"/>
                <w:w w:val="96"/>
                <w:vertAlign w:val="superscript"/>
              </w:rPr>
              <w:t>(1)</w:t>
            </w:r>
          </w:p>
        </w:tc>
        <w:tc>
          <w:tcPr>
            <w:tcW w:w="22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Property</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Senior</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center"/>
              <w:ind w:left="175"/>
              <w:spacing w:after="0"/>
              <w:rPr>
                <w:sz w:val="20"/>
                <w:szCs w:val="20"/>
                <w:color w:val="auto"/>
              </w:rPr>
            </w:pPr>
            <w:r>
              <w:rPr>
                <w:rFonts w:ascii="Arial" w:cs="Arial" w:eastAsia="Arial" w:hAnsi="Arial"/>
                <w:sz w:val="13"/>
                <w:szCs w:val="13"/>
                <w:b w:val="1"/>
                <w:bCs w:val="1"/>
                <w:color w:val="auto"/>
              </w:rPr>
              <w:t>Current</w:t>
            </w:r>
          </w:p>
        </w:tc>
        <w:tc>
          <w:tcPr>
            <w:tcW w:w="0" w:type="dxa"/>
            <w:vAlign w:val="bottom"/>
          </w:tcPr>
          <w:p>
            <w:pPr>
              <w:spacing w:after="0"/>
              <w:rPr>
                <w:sz w:val="1"/>
                <w:szCs w:val="1"/>
                <w:color w:val="auto"/>
              </w:rPr>
            </w:pPr>
          </w:p>
        </w:tc>
      </w:tr>
      <w:tr>
        <w:trPr>
          <w:trHeight w:val="146"/>
        </w:trPr>
        <w:tc>
          <w:tcPr>
            <w:tcW w:w="26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Investment Type</w:t>
            </w:r>
          </w:p>
        </w:tc>
        <w:tc>
          <w:tcPr>
            <w:tcW w:w="12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96"/>
              </w:rPr>
              <w:t>6/30/2016</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gridSpan w:val="2"/>
          </w:tcPr>
          <w:p>
            <w:pPr>
              <w:jc w:val="center"/>
              <w:ind w:right="1100"/>
              <w:spacing w:after="0" w:line="146" w:lineRule="exact"/>
              <w:rPr>
                <w:sz w:val="20"/>
                <w:szCs w:val="20"/>
                <w:color w:val="auto"/>
              </w:rPr>
            </w:pPr>
            <w:r>
              <w:rPr>
                <w:rFonts w:ascii="Arial" w:cs="Arial" w:eastAsia="Arial" w:hAnsi="Arial"/>
                <w:sz w:val="13"/>
                <w:szCs w:val="13"/>
                <w:b w:val="1"/>
                <w:bCs w:val="1"/>
                <w:color w:val="auto"/>
                <w:w w:val="92"/>
              </w:rPr>
              <w:t>Type</w:t>
            </w:r>
          </w:p>
        </w:tc>
        <w:tc>
          <w:tcPr>
            <w:tcW w:w="1160" w:type="dxa"/>
            <w:vAlign w:val="bottom"/>
            <w:gridSpan w:val="2"/>
          </w:tcPr>
          <w:p>
            <w:pPr>
              <w:jc w:val="center"/>
              <w:ind w:right="620"/>
              <w:spacing w:after="0" w:line="146" w:lineRule="exact"/>
              <w:rPr>
                <w:sz w:val="20"/>
                <w:szCs w:val="20"/>
                <w:color w:val="auto"/>
              </w:rPr>
            </w:pPr>
            <w:r>
              <w:rPr>
                <w:rFonts w:ascii="Arial" w:cs="Arial" w:eastAsia="Arial" w:hAnsi="Arial"/>
                <w:sz w:val="13"/>
                <w:szCs w:val="13"/>
                <w:b w:val="1"/>
                <w:bCs w:val="1"/>
                <w:color w:val="auto"/>
                <w:w w:val="99"/>
              </w:rPr>
              <w:t>Location</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6" w:lineRule="exact"/>
              <w:rPr>
                <w:sz w:val="20"/>
                <w:szCs w:val="20"/>
                <w:color w:val="auto"/>
              </w:rPr>
            </w:pPr>
            <w:r>
              <w:rPr>
                <w:rFonts w:ascii="Arial" w:cs="Arial" w:eastAsia="Arial" w:hAnsi="Arial"/>
                <w:sz w:val="13"/>
                <w:szCs w:val="13"/>
                <w:b w:val="1"/>
                <w:bCs w:val="1"/>
                <w:color w:val="auto"/>
                <w:w w:val="97"/>
              </w:rPr>
              <w:t>Financing</w:t>
            </w:r>
          </w:p>
        </w:tc>
        <w:tc>
          <w:tcPr>
            <w:tcW w:w="1320" w:type="dxa"/>
            <w:vAlign w:val="bottom"/>
            <w:gridSpan w:val="4"/>
          </w:tcPr>
          <w:p>
            <w:pPr>
              <w:jc w:val="right"/>
              <w:ind w:right="240"/>
              <w:spacing w:after="0" w:line="145" w:lineRule="exact"/>
              <w:rPr>
                <w:sz w:val="20"/>
                <w:szCs w:val="20"/>
                <w:color w:val="auto"/>
              </w:rPr>
            </w:pPr>
            <w:r>
              <w:rPr>
                <w:rFonts w:ascii="Arial" w:cs="Arial" w:eastAsia="Arial" w:hAnsi="Arial"/>
                <w:sz w:val="12"/>
                <w:szCs w:val="12"/>
                <w:b w:val="1"/>
                <w:bCs w:val="1"/>
                <w:color w:val="auto"/>
              </w:rPr>
              <w:t>Last $ PSF</w:t>
            </w:r>
            <w:r>
              <w:rPr>
                <w:rFonts w:ascii="Arial" w:cs="Arial" w:eastAsia="Arial" w:hAnsi="Arial"/>
                <w:sz w:val="16"/>
                <w:szCs w:val="16"/>
                <w:b w:val="1"/>
                <w:bCs w:val="1"/>
                <w:color w:val="auto"/>
                <w:vertAlign w:val="superscript"/>
              </w:rPr>
              <w:t>(3)</w:t>
            </w:r>
          </w:p>
        </w:tc>
        <w:tc>
          <w:tcPr>
            <w:tcW w:w="720" w:type="dxa"/>
            <w:vAlign w:val="bottom"/>
            <w:gridSpan w:val="3"/>
          </w:tcPr>
          <w:p>
            <w:pPr>
              <w:jc w:val="center"/>
              <w:ind w:left="175"/>
              <w:spacing w:after="0" w:line="145" w:lineRule="exact"/>
              <w:rPr>
                <w:sz w:val="20"/>
                <w:szCs w:val="20"/>
                <w:color w:val="auto"/>
              </w:rPr>
            </w:pPr>
            <w:r>
              <w:rPr>
                <w:rFonts w:ascii="Arial" w:cs="Arial" w:eastAsia="Arial" w:hAnsi="Arial"/>
                <w:sz w:val="12"/>
                <w:szCs w:val="12"/>
                <w:b w:val="1"/>
                <w:bCs w:val="1"/>
                <w:color w:val="auto"/>
                <w:w w:val="95"/>
              </w:rPr>
              <w:t>Yield</w:t>
            </w:r>
            <w:r>
              <w:rPr>
                <w:rFonts w:ascii="Arial" w:cs="Arial" w:eastAsia="Arial" w:hAnsi="Arial"/>
                <w:sz w:val="16"/>
                <w:szCs w:val="16"/>
                <w:b w:val="1"/>
                <w:bCs w:val="1"/>
                <w:color w:val="auto"/>
                <w:w w:val="95"/>
                <w:vertAlign w:val="superscript"/>
              </w:rPr>
              <w:t>(2)</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680" w:type="dxa"/>
            <w:vAlign w:val="bottom"/>
            <w:gridSpan w:val="2"/>
          </w:tcPr>
          <w:p>
            <w:pPr>
              <w:spacing w:after="0"/>
              <w:rPr>
                <w:sz w:val="20"/>
                <w:szCs w:val="20"/>
                <w:color w:val="auto"/>
              </w:rPr>
            </w:pPr>
            <w:r>
              <w:rPr>
                <w:rFonts w:ascii="Arial" w:cs="Arial" w:eastAsia="Arial" w:hAnsi="Arial"/>
                <w:sz w:val="13"/>
                <w:szCs w:val="13"/>
                <w:color w:val="auto"/>
              </w:rPr>
              <w:t>Jr. Mortgage Participation and</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189,380</w:t>
            </w:r>
          </w:p>
        </w:tc>
        <w:tc>
          <w:tcPr>
            <w:tcW w:w="2280" w:type="dxa"/>
            <w:vAlign w:val="bottom"/>
            <w:gridSpan w:val="3"/>
            <w:vMerge w:val="restart"/>
          </w:tcPr>
          <w:p>
            <w:pPr>
              <w:jc w:val="center"/>
              <w:ind w:right="220"/>
              <w:spacing w:after="0"/>
              <w:rPr>
                <w:sz w:val="20"/>
                <w:szCs w:val="20"/>
                <w:color w:val="auto"/>
              </w:rPr>
            </w:pPr>
            <w:r>
              <w:rPr>
                <w:rFonts w:ascii="Arial" w:cs="Arial" w:eastAsia="Arial" w:hAnsi="Arial"/>
                <w:sz w:val="13"/>
                <w:szCs w:val="13"/>
                <w:color w:val="auto"/>
                <w:w w:val="99"/>
              </w:rPr>
              <w:t>Office</w:t>
            </w:r>
          </w:p>
        </w:tc>
        <w:tc>
          <w:tcPr>
            <w:tcW w:w="1160" w:type="dxa"/>
            <w:vAlign w:val="bottom"/>
            <w:gridSpan w:val="2"/>
            <w:vMerge w:val="restart"/>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1,109,000</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1,179</w:t>
            </w:r>
          </w:p>
        </w:tc>
        <w:tc>
          <w:tcPr>
            <w:tcW w:w="720" w:type="dxa"/>
            <w:vAlign w:val="bottom"/>
            <w:gridSpan w:val="3"/>
            <w:vMerge w:val="restart"/>
          </w:tcPr>
          <w:p>
            <w:pPr>
              <w:jc w:val="center"/>
              <w:ind w:left="175"/>
              <w:spacing w:after="0"/>
              <w:rPr>
                <w:sz w:val="20"/>
                <w:szCs w:val="20"/>
                <w:color w:val="auto"/>
              </w:rPr>
            </w:pPr>
            <w:r>
              <w:rPr>
                <w:rFonts w:ascii="Arial" w:cs="Arial" w:eastAsia="Arial" w:hAnsi="Arial"/>
                <w:sz w:val="13"/>
                <w:szCs w:val="13"/>
                <w:color w:val="auto"/>
                <w:w w:val="97"/>
              </w:rPr>
              <w:t>9.66%</w:t>
            </w:r>
          </w:p>
        </w:tc>
        <w:tc>
          <w:tcPr>
            <w:tcW w:w="0" w:type="dxa"/>
            <w:vAlign w:val="bottom"/>
          </w:tcPr>
          <w:p>
            <w:pPr>
              <w:spacing w:after="0"/>
              <w:rPr>
                <w:sz w:val="1"/>
                <w:szCs w:val="1"/>
                <w:color w:val="auto"/>
              </w:rPr>
            </w:pPr>
          </w:p>
        </w:tc>
      </w:tr>
      <w:tr>
        <w:trPr>
          <w:trHeight w:val="80"/>
        </w:trPr>
        <w:tc>
          <w:tcPr>
            <w:tcW w:w="2680" w:type="dxa"/>
            <w:vAlign w:val="bottom"/>
            <w:gridSpan w:val="2"/>
            <w:vMerge w:val="restart"/>
          </w:tcPr>
          <w:p>
            <w:pPr>
              <w:spacing w:after="0"/>
              <w:rPr>
                <w:sz w:val="20"/>
                <w:szCs w:val="20"/>
                <w:color w:val="auto"/>
              </w:rPr>
            </w:pPr>
            <w:r>
              <w:rPr>
                <w:rFonts w:ascii="Arial" w:cs="Arial" w:eastAsia="Arial" w:hAnsi="Arial"/>
                <w:sz w:val="13"/>
                <w:szCs w:val="13"/>
                <w:color w:val="auto"/>
              </w:rPr>
              <w:t>Mezzanine Loans</w:t>
            </w:r>
          </w:p>
        </w:tc>
        <w:tc>
          <w:tcPr>
            <w:tcW w:w="1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2680" w:type="dxa"/>
            <w:vAlign w:val="bottom"/>
            <w:gridSpan w:val="2"/>
            <w:vMerge w:val="restart"/>
          </w:tcPr>
          <w:p>
            <w:pPr>
              <w:spacing w:after="0"/>
              <w:rPr>
                <w:sz w:val="20"/>
                <w:szCs w:val="20"/>
                <w:color w:val="auto"/>
              </w:rPr>
            </w:pPr>
            <w:r>
              <w:rPr>
                <w:rFonts w:ascii="Arial" w:cs="Arial" w:eastAsia="Arial" w:hAnsi="Arial"/>
                <w:sz w:val="13"/>
                <w:szCs w:val="13"/>
                <w:color w:val="auto"/>
              </w:rPr>
              <w:t>Mortgage and Mezzanine Loans</w:t>
            </w:r>
          </w:p>
        </w:tc>
        <w:tc>
          <w:tcPr>
            <w:tcW w:w="120" w:type="dxa"/>
            <w:vAlign w:val="bottom"/>
          </w:tcPr>
          <w:p>
            <w:pPr>
              <w:spacing w:after="0"/>
              <w:rPr>
                <w:sz w:val="24"/>
                <w:szCs w:val="24"/>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137,150</w:t>
            </w:r>
          </w:p>
        </w:tc>
        <w:tc>
          <w:tcPr>
            <w:tcW w:w="2280" w:type="dxa"/>
            <w:vAlign w:val="bottom"/>
            <w:gridSpan w:val="3"/>
          </w:tcPr>
          <w:p>
            <w:pPr>
              <w:jc w:val="center"/>
              <w:ind w:right="200"/>
              <w:spacing w:after="0"/>
              <w:rPr>
                <w:sz w:val="20"/>
                <w:szCs w:val="20"/>
                <w:color w:val="auto"/>
              </w:rPr>
            </w:pPr>
            <w:r>
              <w:rPr>
                <w:rFonts w:ascii="Arial" w:cs="Arial" w:eastAsia="Arial" w:hAnsi="Arial"/>
                <w:sz w:val="13"/>
                <w:szCs w:val="13"/>
                <w:color w:val="auto"/>
              </w:rPr>
              <w:t>Commercial/Multi-Family</w:t>
            </w:r>
          </w:p>
        </w:tc>
        <w:tc>
          <w:tcPr>
            <w:tcW w:w="1160" w:type="dxa"/>
            <w:vAlign w:val="bottom"/>
            <w:gridSpan w:val="2"/>
            <w:vMerge w:val="restart"/>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tcPr>
          <w:p>
            <w:pPr>
              <w:spacing w:after="0"/>
              <w:rPr>
                <w:sz w:val="24"/>
                <w:szCs w:val="24"/>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265</w:t>
            </w:r>
          </w:p>
        </w:tc>
        <w:tc>
          <w:tcPr>
            <w:tcW w:w="720" w:type="dxa"/>
            <w:vAlign w:val="bottom"/>
            <w:gridSpan w:val="3"/>
            <w:vMerge w:val="restart"/>
          </w:tcPr>
          <w:p>
            <w:pPr>
              <w:jc w:val="center"/>
              <w:ind w:left="175"/>
              <w:spacing w:after="0"/>
              <w:rPr>
                <w:sz w:val="20"/>
                <w:szCs w:val="20"/>
                <w:color w:val="auto"/>
              </w:rPr>
            </w:pPr>
            <w:r>
              <w:rPr>
                <w:rFonts w:ascii="Arial" w:cs="Arial" w:eastAsia="Arial" w:hAnsi="Arial"/>
                <w:sz w:val="13"/>
                <w:szCs w:val="13"/>
                <w:color w:val="auto"/>
                <w:w w:val="97"/>
              </w:rPr>
              <w:t>9.60%</w:t>
            </w:r>
          </w:p>
        </w:tc>
        <w:tc>
          <w:tcPr>
            <w:tcW w:w="0" w:type="dxa"/>
            <w:vAlign w:val="bottom"/>
          </w:tcPr>
          <w:p>
            <w:pPr>
              <w:spacing w:after="0"/>
              <w:rPr>
                <w:sz w:val="1"/>
                <w:szCs w:val="1"/>
                <w:color w:val="auto"/>
              </w:rPr>
            </w:pPr>
          </w:p>
        </w:tc>
      </w:tr>
      <w:tr>
        <w:trPr>
          <w:trHeight w:val="80"/>
        </w:trPr>
        <w:tc>
          <w:tcPr>
            <w:tcW w:w="2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80" w:type="dxa"/>
            <w:vAlign w:val="bottom"/>
            <w:gridSpan w:val="3"/>
            <w:vMerge w:val="restart"/>
          </w:tcPr>
          <w:p>
            <w:pPr>
              <w:jc w:val="center"/>
              <w:ind w:right="200"/>
              <w:spacing w:after="0"/>
              <w:rPr>
                <w:sz w:val="20"/>
                <w:szCs w:val="20"/>
                <w:color w:val="auto"/>
              </w:rPr>
            </w:pPr>
            <w:r>
              <w:rPr>
                <w:rFonts w:ascii="Arial" w:cs="Arial" w:eastAsia="Arial" w:hAnsi="Arial"/>
                <w:sz w:val="13"/>
                <w:szCs w:val="13"/>
                <w:color w:val="auto"/>
              </w:rPr>
              <w:t>Rental Land</w:t>
            </w: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4"/>
        </w:trPr>
        <w:tc>
          <w:tcPr>
            <w:tcW w:w="2680" w:type="dxa"/>
            <w:vAlign w:val="bottom"/>
            <w:gridSpan w:val="2"/>
          </w:tcPr>
          <w:p>
            <w:pPr>
              <w:spacing w:after="0"/>
              <w:rPr>
                <w:sz w:val="20"/>
                <w:szCs w:val="20"/>
                <w:color w:val="auto"/>
              </w:rPr>
            </w:pPr>
            <w:r>
              <w:rPr>
                <w:rFonts w:ascii="Arial" w:cs="Arial" w:eastAsia="Arial" w:hAnsi="Arial"/>
                <w:sz w:val="13"/>
                <w:szCs w:val="13"/>
                <w:color w:val="auto"/>
              </w:rPr>
              <w:t>Mortgage and Mezzanine Loans</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105,278</w:t>
            </w:r>
          </w:p>
        </w:tc>
        <w:tc>
          <w:tcPr>
            <w:tcW w:w="2280" w:type="dxa"/>
            <w:vAlign w:val="bottom"/>
            <w:gridSpan w:val="3"/>
          </w:tcPr>
          <w:p>
            <w:pPr>
              <w:jc w:val="center"/>
              <w:ind w:right="200"/>
              <w:spacing w:after="0"/>
              <w:rPr>
                <w:sz w:val="20"/>
                <w:szCs w:val="20"/>
                <w:color w:val="auto"/>
              </w:rPr>
            </w:pPr>
            <w:r>
              <w:rPr>
                <w:rFonts w:ascii="Arial" w:cs="Arial" w:eastAsia="Arial" w:hAnsi="Arial"/>
                <w:sz w:val="13"/>
                <w:szCs w:val="13"/>
                <w:color w:val="auto"/>
                <w:w w:val="99"/>
              </w:rPr>
              <w:t>Retail/Multi-Family Rental</w:t>
            </w:r>
          </w:p>
        </w:tc>
        <w:tc>
          <w:tcPr>
            <w:tcW w:w="1160" w:type="dxa"/>
            <w:vAlign w:val="bottom"/>
            <w:gridSpan w:val="2"/>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712</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9.74%</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99,811</w:t>
            </w:r>
          </w:p>
        </w:tc>
        <w:tc>
          <w:tcPr>
            <w:tcW w:w="2280" w:type="dxa"/>
            <w:vAlign w:val="bottom"/>
            <w:gridSpan w:val="3"/>
          </w:tcPr>
          <w:p>
            <w:pPr>
              <w:jc w:val="center"/>
              <w:ind w:right="200"/>
              <w:spacing w:after="0"/>
              <w:rPr>
                <w:sz w:val="20"/>
                <w:szCs w:val="20"/>
                <w:color w:val="auto"/>
              </w:rPr>
            </w:pPr>
            <w:r>
              <w:rPr>
                <w:rFonts w:ascii="Arial" w:cs="Arial" w:eastAsia="Arial" w:hAnsi="Arial"/>
                <w:sz w:val="13"/>
                <w:szCs w:val="13"/>
                <w:color w:val="auto"/>
              </w:rPr>
              <w:t>Multi-Family Rental</w:t>
            </w:r>
          </w:p>
        </w:tc>
        <w:tc>
          <w:tcPr>
            <w:tcW w:w="1160" w:type="dxa"/>
            <w:vAlign w:val="bottom"/>
            <w:gridSpan w:val="2"/>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360,000</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844</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8.37%</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72,271</w:t>
            </w:r>
          </w:p>
        </w:tc>
        <w:tc>
          <w:tcPr>
            <w:tcW w:w="2280" w:type="dxa"/>
            <w:vAlign w:val="bottom"/>
            <w:gridSpan w:val="3"/>
          </w:tcPr>
          <w:p>
            <w:pPr>
              <w:jc w:val="center"/>
              <w:ind w:right="200"/>
              <w:spacing w:after="0"/>
              <w:rPr>
                <w:sz w:val="20"/>
                <w:szCs w:val="20"/>
                <w:color w:val="auto"/>
              </w:rPr>
            </w:pPr>
            <w:r>
              <w:rPr>
                <w:rFonts w:ascii="Arial" w:cs="Arial" w:eastAsia="Arial" w:hAnsi="Arial"/>
                <w:sz w:val="13"/>
                <w:szCs w:val="13"/>
                <w:color w:val="auto"/>
              </w:rPr>
              <w:t>Office/Retail</w:t>
            </w:r>
          </w:p>
        </w:tc>
        <w:tc>
          <w:tcPr>
            <w:tcW w:w="1160" w:type="dxa"/>
            <w:vAlign w:val="bottom"/>
            <w:gridSpan w:val="2"/>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165,000</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1,990</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9.70%</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55,988</w:t>
            </w:r>
          </w:p>
        </w:tc>
        <w:tc>
          <w:tcPr>
            <w:tcW w:w="2280" w:type="dxa"/>
            <w:vAlign w:val="bottom"/>
            <w:gridSpan w:val="3"/>
          </w:tcPr>
          <w:p>
            <w:pPr>
              <w:jc w:val="center"/>
              <w:ind w:right="220"/>
              <w:spacing w:after="0"/>
              <w:rPr>
                <w:sz w:val="20"/>
                <w:szCs w:val="20"/>
                <w:color w:val="auto"/>
              </w:rPr>
            </w:pPr>
            <w:r>
              <w:rPr>
                <w:rFonts w:ascii="Arial" w:cs="Arial" w:eastAsia="Arial" w:hAnsi="Arial"/>
                <w:sz w:val="13"/>
                <w:szCs w:val="13"/>
                <w:color w:val="auto"/>
                <w:w w:val="99"/>
              </w:rPr>
              <w:t>Office</w:t>
            </w:r>
          </w:p>
        </w:tc>
        <w:tc>
          <w:tcPr>
            <w:tcW w:w="1160" w:type="dxa"/>
            <w:vAlign w:val="bottom"/>
            <w:gridSpan w:val="2"/>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502,100</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512</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8.77%</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55,217</w:t>
            </w:r>
          </w:p>
        </w:tc>
        <w:tc>
          <w:tcPr>
            <w:tcW w:w="2280" w:type="dxa"/>
            <w:vAlign w:val="bottom"/>
            <w:gridSpan w:val="3"/>
          </w:tcPr>
          <w:p>
            <w:pPr>
              <w:jc w:val="center"/>
              <w:ind w:right="220"/>
              <w:spacing w:after="0"/>
              <w:rPr>
                <w:sz w:val="20"/>
                <w:szCs w:val="20"/>
                <w:color w:val="auto"/>
              </w:rPr>
            </w:pPr>
            <w:r>
              <w:rPr>
                <w:rFonts w:ascii="Arial" w:cs="Arial" w:eastAsia="Arial" w:hAnsi="Arial"/>
                <w:sz w:val="13"/>
                <w:szCs w:val="13"/>
                <w:color w:val="auto"/>
                <w:w w:val="99"/>
              </w:rPr>
              <w:t>Office</w:t>
            </w:r>
          </w:p>
        </w:tc>
        <w:tc>
          <w:tcPr>
            <w:tcW w:w="1160" w:type="dxa"/>
            <w:vAlign w:val="bottom"/>
            <w:gridSpan w:val="2"/>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228,295</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50</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9"/>
              </w:rPr>
              <w:t>11.51%</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54,731</w:t>
            </w:r>
          </w:p>
        </w:tc>
        <w:tc>
          <w:tcPr>
            <w:tcW w:w="2280" w:type="dxa"/>
            <w:vAlign w:val="bottom"/>
            <w:gridSpan w:val="3"/>
          </w:tcPr>
          <w:p>
            <w:pPr>
              <w:jc w:val="center"/>
              <w:ind w:right="220"/>
              <w:spacing w:after="0"/>
              <w:rPr>
                <w:sz w:val="20"/>
                <w:szCs w:val="20"/>
                <w:color w:val="auto"/>
              </w:rPr>
            </w:pPr>
            <w:r>
              <w:rPr>
                <w:rFonts w:ascii="Arial" w:cs="Arial" w:eastAsia="Arial" w:hAnsi="Arial"/>
                <w:sz w:val="13"/>
                <w:szCs w:val="13"/>
                <w:color w:val="auto"/>
                <w:w w:val="99"/>
              </w:rPr>
              <w:t>Office</w:t>
            </w:r>
          </w:p>
        </w:tc>
        <w:tc>
          <w:tcPr>
            <w:tcW w:w="1160" w:type="dxa"/>
            <w:vAlign w:val="bottom"/>
            <w:gridSpan w:val="2"/>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156,383</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532</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9.05%</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52,827</w:t>
            </w:r>
          </w:p>
        </w:tc>
        <w:tc>
          <w:tcPr>
            <w:tcW w:w="2280" w:type="dxa"/>
            <w:vAlign w:val="bottom"/>
            <w:gridSpan w:val="3"/>
          </w:tcPr>
          <w:p>
            <w:pPr>
              <w:jc w:val="center"/>
              <w:ind w:right="220"/>
              <w:spacing w:after="0"/>
              <w:rPr>
                <w:sz w:val="20"/>
                <w:szCs w:val="20"/>
                <w:color w:val="auto"/>
              </w:rPr>
            </w:pPr>
            <w:r>
              <w:rPr>
                <w:rFonts w:ascii="Arial" w:cs="Arial" w:eastAsia="Arial" w:hAnsi="Arial"/>
                <w:sz w:val="13"/>
                <w:szCs w:val="13"/>
                <w:color w:val="auto"/>
                <w:w w:val="99"/>
              </w:rPr>
              <w:t>Office</w:t>
            </w:r>
          </w:p>
        </w:tc>
        <w:tc>
          <w:tcPr>
            <w:tcW w:w="1160" w:type="dxa"/>
            <w:vAlign w:val="bottom"/>
            <w:gridSpan w:val="2"/>
          </w:tcPr>
          <w:p>
            <w:pPr>
              <w:jc w:val="center"/>
              <w:ind w:right="640"/>
              <w:spacing w:after="0"/>
              <w:rPr>
                <w:sz w:val="20"/>
                <w:szCs w:val="20"/>
                <w:color w:val="auto"/>
              </w:rPr>
            </w:pPr>
            <w:r>
              <w:rPr>
                <w:rFonts w:ascii="Arial" w:cs="Arial" w:eastAsia="Arial" w:hAnsi="Arial"/>
                <w:sz w:val="13"/>
                <w:szCs w:val="13"/>
                <w:color w:val="auto"/>
              </w:rPr>
              <w:t>NYC</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141,894</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467</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9.64%</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34,785</w:t>
            </w:r>
          </w:p>
        </w:tc>
        <w:tc>
          <w:tcPr>
            <w:tcW w:w="2280" w:type="dxa"/>
            <w:vAlign w:val="bottom"/>
            <w:gridSpan w:val="3"/>
          </w:tcPr>
          <w:p>
            <w:pPr>
              <w:jc w:val="center"/>
              <w:ind w:right="200"/>
              <w:spacing w:after="0"/>
              <w:rPr>
                <w:sz w:val="20"/>
                <w:szCs w:val="20"/>
                <w:color w:val="auto"/>
              </w:rPr>
            </w:pPr>
            <w:r>
              <w:rPr>
                <w:rFonts w:ascii="Arial" w:cs="Arial" w:eastAsia="Arial" w:hAnsi="Arial"/>
                <w:sz w:val="13"/>
                <w:szCs w:val="13"/>
                <w:color w:val="auto"/>
                <w:w w:val="99"/>
              </w:rPr>
              <w:t>Residential</w:t>
            </w:r>
          </w:p>
        </w:tc>
        <w:tc>
          <w:tcPr>
            <w:tcW w:w="1160" w:type="dxa"/>
            <w:vAlign w:val="bottom"/>
            <w:gridSpan w:val="2"/>
          </w:tcPr>
          <w:p>
            <w:pPr>
              <w:jc w:val="center"/>
              <w:ind w:right="620"/>
              <w:spacing w:after="0"/>
              <w:rPr>
                <w:sz w:val="20"/>
                <w:szCs w:val="20"/>
                <w:color w:val="auto"/>
              </w:rPr>
            </w:pPr>
            <w:r>
              <w:rPr>
                <w:rFonts w:ascii="Arial" w:cs="Arial" w:eastAsia="Arial" w:hAnsi="Arial"/>
                <w:sz w:val="13"/>
                <w:szCs w:val="13"/>
                <w:color w:val="auto"/>
                <w:w w:val="98"/>
              </w:rPr>
              <w:t>Brooklyn</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175,000</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623</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8.35%</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660" w:type="dxa"/>
            <w:vAlign w:val="bottom"/>
          </w:tcPr>
          <w:p>
            <w:pPr>
              <w:ind w:left="76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857,438</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2,837,672</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3"/>
          </w:tcPr>
          <w:p>
            <w:pPr>
              <w:jc w:val="center"/>
              <w:ind w:left="175"/>
              <w:spacing w:after="0"/>
              <w:rPr>
                <w:sz w:val="20"/>
                <w:szCs w:val="20"/>
                <w:color w:val="auto"/>
              </w:rPr>
            </w:pPr>
            <w:r>
              <w:rPr>
                <w:rFonts w:ascii="Arial" w:cs="Arial" w:eastAsia="Arial" w:hAnsi="Arial"/>
                <w:sz w:val="13"/>
                <w:szCs w:val="13"/>
                <w:b w:val="1"/>
                <w:bCs w:val="1"/>
                <w:color w:val="auto"/>
                <w:w w:val="97"/>
              </w:rPr>
              <w:t>9.48%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60" w:right="420" w:hanging="139"/>
        <w:spacing w:after="0" w:line="328" w:lineRule="auto"/>
        <w:tabs>
          <w:tab w:leader="none" w:pos="171" w:val="left"/>
        </w:tabs>
        <w:numPr>
          <w:ilvl w:val="0"/>
          <w:numId w:val="23"/>
        </w:numPr>
        <w:rPr>
          <w:rFonts w:ascii="Arial" w:cs="Arial" w:eastAsia="Arial" w:hAnsi="Arial"/>
          <w:sz w:val="10"/>
          <w:szCs w:val="10"/>
          <w:color w:val="auto"/>
        </w:rPr>
      </w:pPr>
      <w:r>
        <w:rPr>
          <w:rFonts w:ascii="Arial" w:cs="Arial" w:eastAsia="Arial" w:hAnsi="Arial"/>
          <w:sz w:val="10"/>
          <w:szCs w:val="10"/>
          <w:color w:val="auto"/>
        </w:rPr>
        <w:t>Net of unamortized fees, discounts, and premiums. Excludes debt and preferred equity investments totaling $310.8 million with a weighted average current yield of 7.8% which are included in other balance sheet line items.</w:t>
      </w:r>
    </w:p>
    <w:p>
      <w:pPr>
        <w:ind w:left="180" w:hanging="159"/>
        <w:spacing w:after="0"/>
        <w:tabs>
          <w:tab w:leader="none" w:pos="180" w:val="left"/>
        </w:tabs>
        <w:numPr>
          <w:ilvl w:val="0"/>
          <w:numId w:val="23"/>
        </w:numPr>
        <w:rPr>
          <w:rFonts w:ascii="Arial" w:cs="Arial" w:eastAsia="Arial" w:hAnsi="Arial"/>
          <w:sz w:val="10"/>
          <w:szCs w:val="10"/>
          <w:color w:val="auto"/>
        </w:rPr>
      </w:pPr>
      <w:r>
        <w:rPr>
          <w:rFonts w:ascii="Arial" w:cs="Arial" w:eastAsia="Arial" w:hAnsi="Arial"/>
          <w:sz w:val="12"/>
          <w:szCs w:val="12"/>
          <w:color w:val="auto"/>
        </w:rPr>
        <w:t>Calculated based on accounting income, which includes cash interest, paid-in-kind interest, fee accrual and amortization of discounts, recognized in the last month of the quarter.</w:t>
      </w:r>
    </w:p>
    <w:p>
      <w:pPr>
        <w:spacing w:after="0" w:line="28" w:lineRule="exact"/>
        <w:rPr>
          <w:rFonts w:ascii="Arial" w:cs="Arial" w:eastAsia="Arial" w:hAnsi="Arial"/>
          <w:sz w:val="10"/>
          <w:szCs w:val="10"/>
          <w:color w:val="auto"/>
        </w:rPr>
      </w:pPr>
    </w:p>
    <w:p>
      <w:pPr>
        <w:ind w:left="180" w:hanging="159"/>
        <w:spacing w:after="0"/>
        <w:tabs>
          <w:tab w:leader="none" w:pos="180"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Reflects the last dollar of exposure to the Company's most junior position.</w:t>
      </w:r>
    </w:p>
    <w:p>
      <w:pPr>
        <w:spacing w:after="0" w:line="200" w:lineRule="exact"/>
        <w:rPr>
          <w:sz w:val="20"/>
          <w:szCs w:val="20"/>
          <w:color w:val="auto"/>
        </w:rPr>
      </w:pPr>
    </w:p>
    <w:p>
      <w:pPr>
        <w:spacing w:after="0" w:line="319"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31</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8" w:right="919"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193040</wp:posOffset>
            </wp:positionH>
            <wp:positionV relativeFrom="page">
              <wp:posOffset>172085</wp:posOffset>
            </wp:positionV>
            <wp:extent cx="6412230"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5922010</wp:posOffset>
            </wp:positionH>
            <wp:positionV relativeFrom="paragraph">
              <wp:posOffset>-48895</wp:posOffset>
            </wp:positionV>
            <wp:extent cx="1263015" cy="3606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 Operating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64122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62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 of</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7"/>
                <w:szCs w:val="7"/>
                <w:b w:val="1"/>
                <w:bCs w:val="1"/>
                <w:color w:val="auto"/>
              </w:rPr>
              <w:t># of</w:t>
            </w:r>
          </w:p>
        </w:tc>
        <w:tc>
          <w:tcPr>
            <w:tcW w:w="140" w:type="dxa"/>
            <w:vAlign w:val="bottom"/>
          </w:tcPr>
          <w:p>
            <w:pPr>
              <w:spacing w:after="0"/>
              <w:rPr>
                <w:sz w:val="8"/>
                <w:szCs w:val="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Usable</w:t>
            </w:r>
          </w:p>
        </w:tc>
        <w:tc>
          <w:tcPr>
            <w:tcW w:w="80" w:type="dxa"/>
            <w:vAlign w:val="bottom"/>
          </w:tcPr>
          <w:p>
            <w:pPr>
              <w:spacing w:after="0"/>
              <w:rPr>
                <w:sz w:val="8"/>
                <w:szCs w:val="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Total</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3"/>
          </w:tcPr>
          <w:p>
            <w:pPr>
              <w:ind w:left="40"/>
              <w:spacing w:after="0"/>
              <w:rPr>
                <w:sz w:val="20"/>
                <w:szCs w:val="20"/>
                <w:color w:val="auto"/>
              </w:rPr>
            </w:pPr>
            <w:r>
              <w:rPr>
                <w:rFonts w:ascii="Arial" w:cs="Arial" w:eastAsia="Arial" w:hAnsi="Arial"/>
                <w:sz w:val="7"/>
                <w:szCs w:val="7"/>
                <w:b w:val="1"/>
                <w:bCs w:val="1"/>
                <w:color w:val="auto"/>
              </w:rPr>
              <w:t>Occupancy (%)</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ind w:right="164"/>
              <w:spacing w:after="0"/>
              <w:rPr>
                <w:sz w:val="20"/>
                <w:szCs w:val="20"/>
                <w:color w:val="auto"/>
              </w:rPr>
            </w:pPr>
            <w:r>
              <w:rPr>
                <w:rFonts w:ascii="Arial" w:cs="Arial" w:eastAsia="Arial" w:hAnsi="Arial"/>
                <w:sz w:val="7"/>
                <w:szCs w:val="7"/>
                <w:b w:val="1"/>
                <w:bCs w:val="1"/>
                <w:color w:val="auto"/>
              </w:rPr>
              <w:t>Annualized</w:t>
            </w:r>
          </w:p>
        </w:tc>
        <w:tc>
          <w:tcPr>
            <w:tcW w:w="110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7"/>
                <w:szCs w:val="7"/>
                <w:b w:val="1"/>
                <w:bCs w:val="1"/>
                <w:color w:val="auto"/>
              </w:rPr>
              <w:t>Annualized Cash Rent</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gridSpan w:val="3"/>
          </w:tcPr>
          <w:p>
            <w:pPr>
              <w:spacing w:after="0" w:line="68" w:lineRule="exact"/>
              <w:rPr>
                <w:sz w:val="20"/>
                <w:szCs w:val="20"/>
                <w:color w:val="auto"/>
              </w:rPr>
            </w:pPr>
            <w:r>
              <w:rPr>
                <w:rFonts w:ascii="Arial" w:cs="Arial" w:eastAsia="Arial" w:hAnsi="Arial"/>
                <w:sz w:val="7"/>
                <w:szCs w:val="7"/>
                <w:b w:val="1"/>
                <w:bCs w:val="1"/>
                <w:color w:val="auto"/>
              </w:rPr>
              <w:t>Properties</w:t>
            </w:r>
          </w:p>
        </w:tc>
        <w:tc>
          <w:tcPr>
            <w:tcW w:w="1040" w:type="dxa"/>
            <w:vAlign w:val="bottom"/>
            <w:gridSpan w:val="3"/>
          </w:tcPr>
          <w:p>
            <w:pPr>
              <w:ind w:left="540"/>
              <w:spacing w:after="0" w:line="68" w:lineRule="exact"/>
              <w:rPr>
                <w:sz w:val="20"/>
                <w:szCs w:val="20"/>
                <w:color w:val="auto"/>
              </w:rPr>
            </w:pPr>
            <w:r>
              <w:rPr>
                <w:rFonts w:ascii="Arial" w:cs="Arial" w:eastAsia="Arial" w:hAnsi="Arial"/>
                <w:sz w:val="7"/>
                <w:szCs w:val="7"/>
                <w:b w:val="1"/>
                <w:bCs w:val="1"/>
                <w:color w:val="auto"/>
              </w:rPr>
              <w:t>Interest (%)</w:t>
            </w:r>
          </w:p>
        </w:tc>
        <w:tc>
          <w:tcPr>
            <w:tcW w:w="82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SubMarket</w:t>
            </w:r>
          </w:p>
        </w:tc>
        <w:tc>
          <w:tcPr>
            <w:tcW w:w="920" w:type="dxa"/>
            <w:vAlign w:val="bottom"/>
            <w:gridSpan w:val="3"/>
          </w:tcPr>
          <w:p>
            <w:pPr>
              <w:ind w:left="140"/>
              <w:spacing w:after="0" w:line="68" w:lineRule="exact"/>
              <w:rPr>
                <w:sz w:val="20"/>
                <w:szCs w:val="20"/>
                <w:color w:val="auto"/>
              </w:rPr>
            </w:pPr>
            <w:r>
              <w:rPr>
                <w:rFonts w:ascii="Arial" w:cs="Arial" w:eastAsia="Arial" w:hAnsi="Arial"/>
                <w:sz w:val="7"/>
                <w:szCs w:val="7"/>
                <w:b w:val="1"/>
                <w:bCs w:val="1"/>
                <w:color w:val="auto"/>
              </w:rPr>
              <w:t>Ownership</w:t>
            </w:r>
          </w:p>
        </w:tc>
        <w:tc>
          <w:tcPr>
            <w:tcW w:w="120" w:type="dxa"/>
            <w:vAlign w:val="bottom"/>
          </w:tcPr>
          <w:p>
            <w:pPr>
              <w:spacing w:after="0"/>
              <w:rPr>
                <w:sz w:val="7"/>
                <w:szCs w:val="7"/>
                <w:color w:val="auto"/>
              </w:rPr>
            </w:pPr>
          </w:p>
        </w:tc>
        <w:tc>
          <w:tcPr>
            <w:tcW w:w="300" w:type="dxa"/>
            <w:vAlign w:val="bottom"/>
            <w:gridSpan w:val="2"/>
          </w:tcPr>
          <w:p>
            <w:pPr>
              <w:jc w:val="right"/>
              <w:ind w:right="80"/>
              <w:spacing w:after="0" w:line="68" w:lineRule="exact"/>
              <w:rPr>
                <w:sz w:val="20"/>
                <w:szCs w:val="20"/>
                <w:color w:val="auto"/>
              </w:rPr>
            </w:pPr>
            <w:r>
              <w:rPr>
                <w:rFonts w:ascii="Arial" w:cs="Arial" w:eastAsia="Arial" w:hAnsi="Arial"/>
                <w:sz w:val="7"/>
                <w:szCs w:val="7"/>
                <w:b w:val="1"/>
                <w:bCs w:val="1"/>
                <w:color w:val="auto"/>
              </w:rPr>
              <w:t>Bldgs</w:t>
            </w:r>
          </w:p>
        </w:tc>
        <w:tc>
          <w:tcPr>
            <w:tcW w:w="140" w:type="dxa"/>
            <w:vAlign w:val="bottom"/>
          </w:tcPr>
          <w:p>
            <w:pPr>
              <w:spacing w:after="0"/>
              <w:rPr>
                <w:sz w:val="7"/>
                <w:szCs w:val="7"/>
                <w:color w:val="auto"/>
              </w:rPr>
            </w:pPr>
          </w:p>
        </w:tc>
        <w:tc>
          <w:tcPr>
            <w:tcW w:w="400" w:type="dxa"/>
            <w:vAlign w:val="bottom"/>
            <w:gridSpan w:val="3"/>
          </w:tcPr>
          <w:p>
            <w:pPr>
              <w:jc w:val="right"/>
              <w:ind w:right="100"/>
              <w:spacing w:after="0" w:line="68" w:lineRule="exact"/>
              <w:rPr>
                <w:sz w:val="20"/>
                <w:szCs w:val="20"/>
                <w:color w:val="auto"/>
              </w:rPr>
            </w:pPr>
            <w:r>
              <w:rPr>
                <w:rFonts w:ascii="Arial" w:cs="Arial" w:eastAsia="Arial" w:hAnsi="Arial"/>
                <w:sz w:val="7"/>
                <w:szCs w:val="7"/>
                <w:b w:val="1"/>
                <w:bCs w:val="1"/>
                <w:color w:val="auto"/>
              </w:rPr>
              <w:t>Sq. Feet</w:t>
            </w:r>
          </w:p>
        </w:tc>
        <w:tc>
          <w:tcPr>
            <w:tcW w:w="80" w:type="dxa"/>
            <w:vAlign w:val="bottom"/>
          </w:tcPr>
          <w:p>
            <w:pPr>
              <w:spacing w:after="0"/>
              <w:rPr>
                <w:sz w:val="7"/>
                <w:szCs w:val="7"/>
                <w:color w:val="auto"/>
              </w:rPr>
            </w:pPr>
          </w:p>
        </w:tc>
        <w:tc>
          <w:tcPr>
            <w:tcW w:w="460" w:type="dxa"/>
            <w:vAlign w:val="bottom"/>
            <w:gridSpan w:val="3"/>
          </w:tcPr>
          <w:p>
            <w:pPr>
              <w:jc w:val="right"/>
              <w:ind w:right="160"/>
              <w:spacing w:after="0" w:line="68" w:lineRule="exact"/>
              <w:rPr>
                <w:sz w:val="20"/>
                <w:szCs w:val="20"/>
                <w:color w:val="auto"/>
              </w:rPr>
            </w:pPr>
            <w:r>
              <w:rPr>
                <w:rFonts w:ascii="Arial" w:cs="Arial" w:eastAsia="Arial" w:hAnsi="Arial"/>
                <w:sz w:val="7"/>
                <w:szCs w:val="7"/>
                <w:b w:val="1"/>
                <w:bCs w:val="1"/>
                <w:color w:val="auto"/>
              </w:rPr>
              <w:t>Sq. Feet</w:t>
            </w:r>
          </w:p>
        </w:tc>
        <w:tc>
          <w:tcPr>
            <w:tcW w:w="50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Jun-16</w:t>
            </w:r>
          </w:p>
        </w:tc>
        <w:tc>
          <w:tcPr>
            <w:tcW w:w="400" w:type="dxa"/>
            <w:vAlign w:val="bottom"/>
          </w:tcPr>
          <w:p>
            <w:pPr>
              <w:jc w:val="right"/>
              <w:ind w:right="44"/>
              <w:spacing w:after="0" w:line="68" w:lineRule="exact"/>
              <w:rPr>
                <w:sz w:val="20"/>
                <w:szCs w:val="20"/>
                <w:color w:val="auto"/>
              </w:rPr>
            </w:pPr>
            <w:r>
              <w:rPr>
                <w:rFonts w:ascii="Arial" w:cs="Arial" w:eastAsia="Arial" w:hAnsi="Arial"/>
                <w:sz w:val="7"/>
                <w:szCs w:val="7"/>
                <w:b w:val="1"/>
                <w:bCs w:val="1"/>
                <w:color w:val="auto"/>
              </w:rPr>
              <w:t>Mar-16</w:t>
            </w:r>
          </w:p>
        </w:tc>
        <w:tc>
          <w:tcPr>
            <w:tcW w:w="80" w:type="dxa"/>
            <w:vAlign w:val="bottom"/>
          </w:tcPr>
          <w:p>
            <w:pPr>
              <w:spacing w:after="0"/>
              <w:rPr>
                <w:sz w:val="7"/>
                <w:szCs w:val="7"/>
                <w:color w:val="auto"/>
              </w:rPr>
            </w:pPr>
          </w:p>
        </w:tc>
        <w:tc>
          <w:tcPr>
            <w:tcW w:w="50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Sep-15</w:t>
            </w:r>
          </w:p>
        </w:tc>
        <w:tc>
          <w:tcPr>
            <w:tcW w:w="480" w:type="dxa"/>
            <w:vAlign w:val="bottom"/>
            <w:gridSpan w:val="2"/>
          </w:tcPr>
          <w:p>
            <w:pPr>
              <w:jc w:val="right"/>
              <w:ind w:right="160"/>
              <w:spacing w:after="0" w:line="68" w:lineRule="exact"/>
              <w:rPr>
                <w:sz w:val="20"/>
                <w:szCs w:val="20"/>
                <w:color w:val="auto"/>
              </w:rPr>
            </w:pPr>
            <w:r>
              <w:rPr>
                <w:rFonts w:ascii="Arial" w:cs="Arial" w:eastAsia="Arial" w:hAnsi="Arial"/>
                <w:sz w:val="7"/>
                <w:szCs w:val="7"/>
                <w:b w:val="1"/>
                <w:bCs w:val="1"/>
                <w:color w:val="auto"/>
              </w:rPr>
              <w:t>Jun-15</w:t>
            </w:r>
          </w:p>
        </w:tc>
        <w:tc>
          <w:tcPr>
            <w:tcW w:w="100" w:type="dxa"/>
            <w:vAlign w:val="bottom"/>
          </w:tcPr>
          <w:p>
            <w:pPr>
              <w:spacing w:after="0"/>
              <w:rPr>
                <w:sz w:val="7"/>
                <w:szCs w:val="7"/>
                <w:color w:val="auto"/>
              </w:rPr>
            </w:pPr>
          </w:p>
        </w:tc>
        <w:tc>
          <w:tcPr>
            <w:tcW w:w="680" w:type="dxa"/>
            <w:vAlign w:val="bottom"/>
          </w:tcPr>
          <w:p>
            <w:pPr>
              <w:jc w:val="right"/>
              <w:ind w:right="84"/>
              <w:spacing w:after="0" w:line="68" w:lineRule="exact"/>
              <w:rPr>
                <w:sz w:val="20"/>
                <w:szCs w:val="20"/>
                <w:color w:val="auto"/>
              </w:rPr>
            </w:pPr>
            <w:r>
              <w:rPr>
                <w:rFonts w:ascii="Arial" w:cs="Arial" w:eastAsia="Arial" w:hAnsi="Arial"/>
                <w:sz w:val="7"/>
                <w:szCs w:val="7"/>
                <w:b w:val="1"/>
                <w:bCs w:val="1"/>
                <w:color w:val="auto"/>
              </w:rPr>
              <w:t>Cash Rent ($'s)</w:t>
            </w:r>
          </w:p>
        </w:tc>
        <w:tc>
          <w:tcPr>
            <w:tcW w:w="50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100%</w:t>
            </w:r>
          </w:p>
        </w:tc>
        <w:tc>
          <w:tcPr>
            <w:tcW w:w="600" w:type="dxa"/>
            <w:vAlign w:val="bottom"/>
          </w:tcPr>
          <w:p>
            <w:pPr>
              <w:jc w:val="right"/>
              <w:ind w:right="64"/>
              <w:spacing w:after="0" w:line="68" w:lineRule="exact"/>
              <w:rPr>
                <w:sz w:val="20"/>
                <w:szCs w:val="20"/>
                <w:color w:val="auto"/>
              </w:rPr>
            </w:pPr>
            <w:r>
              <w:rPr>
                <w:rFonts w:ascii="Arial" w:cs="Arial" w:eastAsia="Arial" w:hAnsi="Arial"/>
                <w:sz w:val="7"/>
                <w:szCs w:val="7"/>
                <w:b w:val="1"/>
                <w:bCs w:val="1"/>
                <w:color w:val="auto"/>
              </w:rPr>
              <w:t>SLG%</w:t>
            </w:r>
          </w:p>
        </w:tc>
        <w:tc>
          <w:tcPr>
            <w:tcW w:w="46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020" w:type="dxa"/>
            <w:vAlign w:val="bottom"/>
            <w:gridSpan w:val="6"/>
            <w:vMerge w:val="restart"/>
          </w:tcPr>
          <w:p>
            <w:pPr>
              <w:spacing w:after="0"/>
              <w:rPr>
                <w:sz w:val="20"/>
                <w:szCs w:val="20"/>
                <w:color w:val="auto"/>
              </w:rPr>
            </w:pPr>
            <w:r>
              <w:rPr>
                <w:rFonts w:ascii="Arial" w:cs="Arial" w:eastAsia="Arial" w:hAnsi="Arial"/>
                <w:sz w:val="7"/>
                <w:szCs w:val="7"/>
                <w:b w:val="1"/>
                <w:bCs w:val="1"/>
                <w:color w:val="auto"/>
              </w:rPr>
              <w:t>CONSOLIDATED PROPERTIES</w:t>
            </w: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20" w:type="dxa"/>
            <w:vAlign w:val="bottom"/>
            <w:gridSpan w:val="6"/>
            <w:vMerge w:val="continue"/>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"Same Store"</w:t>
            </w: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100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Church Street</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Downtown</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1,047,500</w:t>
            </w:r>
          </w:p>
        </w:tc>
        <w:tc>
          <w:tcPr>
            <w:tcW w:w="8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3.8</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99.5</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7"/>
                <w:szCs w:val="17"/>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Pr>
          <w:p>
            <w:pPr>
              <w:jc w:val="right"/>
              <w:spacing w:after="0"/>
              <w:rPr>
                <w:sz w:val="20"/>
                <w:szCs w:val="20"/>
                <w:color w:val="auto"/>
              </w:rPr>
            </w:pPr>
            <w:r>
              <w:rPr>
                <w:rFonts w:ascii="Arial" w:cs="Arial" w:eastAsia="Arial" w:hAnsi="Arial"/>
                <w:sz w:val="7"/>
                <w:szCs w:val="7"/>
                <w:color w:val="auto"/>
              </w:rPr>
              <w:t>40,310,628</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3.6</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3.0</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19</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110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215,400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91.8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98.5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98.5</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10,077,496</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0.9</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125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604,245</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2.2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98.7</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40,267,805</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3.6</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3.0</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24</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220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1,135,000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4.1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90.8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90.9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91.6</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48,489,196</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4.3</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3.6</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304</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Park Avenue South</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215,000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83.8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75.7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90.9</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14,125,740</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1.3</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1.0</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420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Lexington Ave (Graybar)</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Leasehold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1,188,000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4.3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97.1</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78,382,264</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6.9</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5.8</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206</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461</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Fifth Avenue (1)</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Leasehold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200,000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18,359,564</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1.6</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1.3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485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921,000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3.4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98.1</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58,701,940</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5.2</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4.3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555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West 57th Street</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 West</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941,000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3.4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99.7</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39,602,001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3.5</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2.9</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609</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160,000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0.6</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76.1</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76.1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75.6</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14,939,947</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1.3</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1.1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13</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625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Leasehold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563,000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97.2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97.1</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57,192,862</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5.1</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4.2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22</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635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Sixth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104,000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8,643,483</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0.8</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0.6</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641</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Sixth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163,000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0.6</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13,133,715</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1.2</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1.0</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711</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Third Avenue (2)</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Leasehold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524,000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2.3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68.3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66.4</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65.8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84.1</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22,586,456</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2.0</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1.7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15</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750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780,000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2.8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97.5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97.5</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46,193,391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4.1</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3.4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32</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810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692,000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2.5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92.4</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92.6</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43,858,651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3.9</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3.2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47</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919</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51.0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1,454,000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5.3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96,378,816</w:t>
            </w:r>
          </w:p>
        </w:tc>
        <w:tc>
          <w:tcPr>
            <w:tcW w:w="500" w:type="dxa"/>
            <w:vAlign w:val="bottom"/>
          </w:tcPr>
          <w:p>
            <w:pPr>
              <w:spacing w:after="0"/>
              <w:rPr>
                <w:sz w:val="19"/>
                <w:szCs w:val="19"/>
                <w:color w:val="auto"/>
              </w:rPr>
            </w:pP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3.6</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7"/>
                <w:szCs w:val="7"/>
                <w:color w:val="auto"/>
              </w:rPr>
              <w:t>1185 Avenue of the Americas</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Leasehold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1,062,000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3.9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89,083,829</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7.9</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6.5</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7"/>
                <w:szCs w:val="7"/>
                <w:color w:val="auto"/>
              </w:rPr>
              <w:t>1350 Avenue of the Americas</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562,000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99.6</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99.6</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99.4</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41,865,057</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3.7</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3.1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7"/>
                <w:szCs w:val="7"/>
                <w:color w:val="auto"/>
              </w:rPr>
              <w:t>1515 Broadway</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1,750,000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6.4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98.4</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98.4</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123,670,785</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11.0</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9.1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7"/>
                <w:szCs w:val="7"/>
                <w:color w:val="auto"/>
              </w:rPr>
              <w:t>1 Madison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1,176,900</w:t>
            </w:r>
          </w:p>
        </w:tc>
        <w:tc>
          <w:tcPr>
            <w:tcW w:w="80" w:type="dxa"/>
            <w:vAlign w:val="bottom"/>
          </w:tcPr>
          <w:p>
            <w:pPr>
              <w:spacing w:after="0"/>
              <w:rPr>
                <w:sz w:val="19"/>
                <w:szCs w:val="19"/>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4.3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68,378,145</w:t>
            </w: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6.1</w:t>
            </w:r>
          </w:p>
        </w:tc>
        <w:tc>
          <w:tcPr>
            <w:tcW w:w="6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5.0</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7"/>
                <w:szCs w:val="7"/>
                <w:b w:val="1"/>
                <w:bCs w:val="1"/>
                <w:color w:val="auto"/>
              </w:rPr>
              <w:t>Subtotal / Weighted Average</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21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15,458,045</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56.2%</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96.6%</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96.3%</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96.5%</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97.0%</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96.8%</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974,241,769</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77.8%</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68.1%</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575</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"Non Same Store"</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Arial" w:cs="Arial" w:eastAsia="Arial" w:hAnsi="Arial"/>
                <w:sz w:val="7"/>
                <w:szCs w:val="7"/>
                <w:color w:val="auto"/>
              </w:rPr>
              <w:t>11 Madison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2,314,000</w:t>
            </w:r>
          </w:p>
        </w:tc>
        <w:tc>
          <w:tcPr>
            <w:tcW w:w="8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8.4</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98.0</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73.0</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71.6</w:t>
            </w:r>
          </w:p>
        </w:tc>
        <w:tc>
          <w:tcPr>
            <w:tcW w:w="10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1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Pr>
          <w:p>
            <w:pPr>
              <w:jc w:val="right"/>
              <w:spacing w:after="0"/>
              <w:rPr>
                <w:sz w:val="20"/>
                <w:szCs w:val="20"/>
                <w:color w:val="auto"/>
              </w:rPr>
            </w:pPr>
            <w:r>
              <w:rPr>
                <w:rFonts w:ascii="Arial" w:cs="Arial" w:eastAsia="Arial" w:hAnsi="Arial"/>
                <w:sz w:val="7"/>
                <w:szCs w:val="7"/>
                <w:color w:val="auto"/>
              </w:rPr>
              <w:t>132,900,969</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11.8</w:t>
            </w: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9.8</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7"/>
                <w:szCs w:val="7"/>
                <w:color w:val="auto"/>
              </w:rPr>
              <w:t>30 East 40th Street</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60.0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Leasehold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69,446</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4,574,184</w:t>
            </w:r>
          </w:p>
        </w:tc>
        <w:tc>
          <w:tcPr>
            <w:tcW w:w="500" w:type="dxa"/>
            <w:vAlign w:val="bottom"/>
          </w:tcPr>
          <w:p>
            <w:pPr>
              <w:spacing w:after="0"/>
              <w:rPr>
                <w:sz w:val="19"/>
                <w:szCs w:val="19"/>
                <w:color w:val="auto"/>
              </w:rPr>
            </w:pP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61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110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90.0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Soho</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223,600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77.3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80.3</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78.1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84.0</w:t>
            </w: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10,341,078</w:t>
            </w:r>
          </w:p>
        </w:tc>
        <w:tc>
          <w:tcPr>
            <w:tcW w:w="500" w:type="dxa"/>
            <w:vAlign w:val="bottom"/>
          </w:tcPr>
          <w:p>
            <w:pPr>
              <w:spacing w:after="0"/>
              <w:rPr>
                <w:sz w:val="19"/>
                <w:szCs w:val="19"/>
                <w:color w:val="auto"/>
              </w:rPr>
            </w:pP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61</w:t>
            </w:r>
          </w:p>
        </w:tc>
        <w:tc>
          <w:tcPr>
            <w:tcW w:w="0" w:type="dxa"/>
            <w:vAlign w:val="bottom"/>
          </w:tcPr>
          <w:p>
            <w:pPr>
              <w:spacing w:after="0"/>
              <w:rPr>
                <w:sz w:val="1"/>
                <w:szCs w:val="1"/>
                <w:color w:val="auto"/>
              </w:rPr>
            </w:pPr>
          </w:p>
        </w:tc>
      </w:tr>
      <w:tr>
        <w:trPr>
          <w:trHeight w:val="225"/>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600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East Side</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303,515</w:t>
            </w:r>
          </w:p>
        </w:tc>
        <w:tc>
          <w:tcPr>
            <w:tcW w:w="80" w:type="dxa"/>
            <w:vAlign w:val="bottom"/>
          </w:tcPr>
          <w:p>
            <w:pPr>
              <w:spacing w:after="0"/>
              <w:rPr>
                <w:sz w:val="19"/>
                <w:szCs w:val="19"/>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95.3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89.6</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21,495,054</w:t>
            </w: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1.9</w:t>
            </w:r>
          </w:p>
        </w:tc>
        <w:tc>
          <w:tcPr>
            <w:tcW w:w="6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1.6</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33</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7"/>
                <w:szCs w:val="7"/>
                <w:b w:val="1"/>
                <w:bCs w:val="1"/>
                <w:color w:val="auto"/>
              </w:rPr>
              <w:t>Subtotal / Weighted Average</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4</w:t>
            </w: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2,910,561</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10.6%</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76.4%</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75.3%</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89.6%</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169,311,284</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13.7%</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12.2%</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164</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020" w:type="dxa"/>
            <w:vAlign w:val="bottom"/>
            <w:gridSpan w:val="6"/>
          </w:tcPr>
          <w:p>
            <w:pPr>
              <w:spacing w:after="0"/>
              <w:rPr>
                <w:sz w:val="20"/>
                <w:szCs w:val="20"/>
                <w:color w:val="auto"/>
              </w:rPr>
            </w:pPr>
            <w:r>
              <w:rPr>
                <w:rFonts w:ascii="Arial" w:cs="Arial" w:eastAsia="Arial" w:hAnsi="Arial"/>
                <w:sz w:val="7"/>
                <w:szCs w:val="7"/>
                <w:b w:val="1"/>
                <w:bCs w:val="1"/>
                <w:color w:val="auto"/>
              </w:rPr>
              <w:t>Total / Weighted Average Consolidated Properties</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25</w:t>
            </w: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18,368,606</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66.8%</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96.5%</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96.3%</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93.3%</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93.6%</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96.7%</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1,143,553,053</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91.5%</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80.3%</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739</w:t>
            </w: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020" w:type="dxa"/>
            <w:vAlign w:val="bottom"/>
            <w:gridSpan w:val="6"/>
          </w:tcPr>
          <w:p>
            <w:pPr>
              <w:spacing w:after="0"/>
              <w:rPr>
                <w:sz w:val="20"/>
                <w:szCs w:val="20"/>
                <w:color w:val="auto"/>
              </w:rPr>
            </w:pPr>
            <w:r>
              <w:rPr>
                <w:rFonts w:ascii="Arial" w:cs="Arial" w:eastAsia="Arial" w:hAnsi="Arial"/>
                <w:sz w:val="7"/>
                <w:szCs w:val="7"/>
                <w:b w:val="1"/>
                <w:bCs w:val="1"/>
                <w:color w:val="auto"/>
              </w:rPr>
              <w:t>UNCONSOLIDATED PROPERTIES</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"Same Store"</w:t>
            </w: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Arial" w:cs="Arial" w:eastAsia="Arial" w:hAnsi="Arial"/>
                <w:sz w:val="7"/>
                <w:szCs w:val="7"/>
                <w:color w:val="auto"/>
              </w:rPr>
              <w:t>3 Columbus Circle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48.9</w:t>
            </w:r>
          </w:p>
        </w:tc>
        <w:tc>
          <w:tcPr>
            <w:tcW w:w="1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Columbus Circle</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530,981</w:t>
            </w:r>
          </w:p>
        </w:tc>
        <w:tc>
          <w:tcPr>
            <w:tcW w:w="8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96.4</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95.5</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86.8</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86.8</w:t>
            </w:r>
          </w:p>
        </w:tc>
        <w:tc>
          <w:tcPr>
            <w:tcW w:w="10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83.4</w:t>
            </w:r>
          </w:p>
        </w:tc>
        <w:tc>
          <w:tcPr>
            <w:tcW w:w="80" w:type="dxa"/>
            <w:vAlign w:val="bottom"/>
          </w:tcPr>
          <w:p>
            <w:pPr>
              <w:spacing w:after="0"/>
              <w:rPr>
                <w:sz w:val="17"/>
                <w:szCs w:val="17"/>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Pr>
          <w:p>
            <w:pPr>
              <w:jc w:val="right"/>
              <w:spacing w:after="0"/>
              <w:rPr>
                <w:sz w:val="20"/>
                <w:szCs w:val="20"/>
                <w:color w:val="auto"/>
              </w:rPr>
            </w:pPr>
            <w:r>
              <w:rPr>
                <w:rFonts w:ascii="Arial" w:cs="Arial" w:eastAsia="Arial" w:hAnsi="Arial"/>
                <w:sz w:val="7"/>
                <w:szCs w:val="7"/>
                <w:color w:val="auto"/>
              </w:rPr>
              <w:t>47,549,952</w:t>
            </w:r>
          </w:p>
        </w:tc>
        <w:tc>
          <w:tcPr>
            <w:tcW w:w="500" w:type="dxa"/>
            <w:vAlign w:val="bottom"/>
          </w:tcPr>
          <w:p>
            <w:pPr>
              <w:spacing w:after="0"/>
              <w:rPr>
                <w:sz w:val="17"/>
                <w:szCs w:val="17"/>
                <w:color w:val="auto"/>
              </w:rPr>
            </w:pP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1.7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33</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100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50.0</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834,000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96.6</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96.6</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62,614,429</w:t>
            </w:r>
          </w:p>
        </w:tc>
        <w:tc>
          <w:tcPr>
            <w:tcW w:w="500" w:type="dxa"/>
            <w:vAlign w:val="bottom"/>
          </w:tcPr>
          <w:p>
            <w:pPr>
              <w:spacing w:after="0"/>
              <w:rPr>
                <w:sz w:val="19"/>
                <w:szCs w:val="19"/>
                <w:color w:val="auto"/>
              </w:rPr>
            </w:pP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2.3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40</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521</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50.5</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460,000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1.7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87.3</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91.9</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26,624,521</w:t>
            </w:r>
          </w:p>
        </w:tc>
        <w:tc>
          <w:tcPr>
            <w:tcW w:w="500" w:type="dxa"/>
            <w:vAlign w:val="bottom"/>
          </w:tcPr>
          <w:p>
            <w:pPr>
              <w:spacing w:after="0"/>
              <w:rPr>
                <w:sz w:val="19"/>
                <w:szCs w:val="19"/>
                <w:color w:val="auto"/>
              </w:rPr>
            </w:pP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1.0</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42</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800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60.5</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color w:val="auto"/>
              </w:rPr>
              <w:t>526,000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95.6</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96.1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97.2</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33,628,824</w:t>
            </w:r>
          </w:p>
        </w:tc>
        <w:tc>
          <w:tcPr>
            <w:tcW w:w="500" w:type="dxa"/>
            <w:vAlign w:val="bottom"/>
          </w:tcPr>
          <w:p>
            <w:pPr>
              <w:spacing w:after="0"/>
              <w:rPr>
                <w:sz w:val="19"/>
                <w:szCs w:val="19"/>
                <w:color w:val="auto"/>
              </w:rPr>
            </w:pPr>
          </w:p>
        </w:tc>
        <w:tc>
          <w:tcPr>
            <w:tcW w:w="600" w:type="dxa"/>
            <w:vAlign w:val="bottom"/>
          </w:tcPr>
          <w:p>
            <w:pPr>
              <w:jc w:val="right"/>
              <w:ind w:right="64"/>
              <w:spacing w:after="0"/>
              <w:rPr>
                <w:sz w:val="20"/>
                <w:szCs w:val="20"/>
                <w:color w:val="auto"/>
              </w:rPr>
            </w:pPr>
            <w:r>
              <w:rPr>
                <w:rFonts w:ascii="Arial" w:cs="Arial" w:eastAsia="Arial" w:hAnsi="Arial"/>
                <w:sz w:val="7"/>
                <w:szCs w:val="7"/>
                <w:color w:val="auto"/>
              </w:rPr>
              <w:t>1.5</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7"/>
                <w:szCs w:val="7"/>
                <w:color w:val="auto"/>
              </w:rPr>
              <w:t>1745 Broadway</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56.9</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674,000</w:t>
            </w:r>
          </w:p>
        </w:tc>
        <w:tc>
          <w:tcPr>
            <w:tcW w:w="80" w:type="dxa"/>
            <w:vAlign w:val="bottom"/>
          </w:tcPr>
          <w:p>
            <w:pPr>
              <w:spacing w:after="0"/>
              <w:rPr>
                <w:sz w:val="19"/>
                <w:szCs w:val="19"/>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2.5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41,529,618</w:t>
            </w:r>
          </w:p>
        </w:tc>
        <w:tc>
          <w:tcPr>
            <w:tcW w:w="500" w:type="dxa"/>
            <w:vAlign w:val="bottom"/>
          </w:tcPr>
          <w:p>
            <w:pPr>
              <w:spacing w:after="0"/>
              <w:rPr>
                <w:sz w:val="19"/>
                <w:szCs w:val="19"/>
                <w:color w:val="auto"/>
              </w:rPr>
            </w:pPr>
          </w:p>
        </w:tc>
        <w:tc>
          <w:tcPr>
            <w:tcW w:w="6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1.7</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7"/>
                <w:szCs w:val="7"/>
                <w:b w:val="1"/>
                <w:bCs w:val="1"/>
                <w:color w:val="auto"/>
              </w:rPr>
              <w:t>Subtotal / Weighted Average</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5</w:t>
            </w: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3,024,981</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11.0%</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96.0%</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95.6%</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94.5%</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95.0%</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211,947,345</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8.2%</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157</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"Non Same Store"</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280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940" w:type="dxa"/>
            <w:vAlign w:val="bottom"/>
            <w:gridSpan w:val="2"/>
          </w:tcPr>
          <w:p>
            <w:pPr>
              <w:jc w:val="center"/>
              <w:ind w:left="484"/>
              <w:spacing w:after="0"/>
              <w:rPr>
                <w:sz w:val="20"/>
                <w:szCs w:val="20"/>
                <w:color w:val="auto"/>
              </w:rPr>
            </w:pPr>
            <w:r>
              <w:rPr>
                <w:rFonts w:ascii="Arial" w:cs="Arial" w:eastAsia="Arial" w:hAnsi="Arial"/>
                <w:sz w:val="7"/>
                <w:szCs w:val="7"/>
                <w:color w:val="auto"/>
              </w:rPr>
              <w:t>50.0</w:t>
            </w: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920" w:type="dxa"/>
            <w:vAlign w:val="bottom"/>
            <w:gridSpan w:val="3"/>
          </w:tcPr>
          <w:p>
            <w:pPr>
              <w:ind w:left="140"/>
              <w:spacing w:after="0"/>
              <w:rPr>
                <w:sz w:val="20"/>
                <w:szCs w:val="20"/>
                <w:color w:val="auto"/>
              </w:rPr>
            </w:pPr>
            <w:r>
              <w:rPr>
                <w:rFonts w:ascii="Arial" w:cs="Arial" w:eastAsia="Arial" w:hAnsi="Arial"/>
                <w:sz w:val="7"/>
                <w:szCs w:val="7"/>
                <w:color w:val="auto"/>
              </w:rPr>
              <w:t>Fee Interest</w:t>
            </w: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w:t>
            </w: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1,219,158</w:t>
            </w:r>
          </w:p>
        </w:tc>
        <w:tc>
          <w:tcPr>
            <w:tcW w:w="80" w:type="dxa"/>
            <w:vAlign w:val="bottom"/>
          </w:tcPr>
          <w:p>
            <w:pPr>
              <w:spacing w:after="0"/>
              <w:rPr>
                <w:sz w:val="18"/>
                <w:szCs w:val="18"/>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4.4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81.7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81.0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80.7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72.9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69.3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102,208,090</w:t>
            </w:r>
          </w:p>
        </w:tc>
        <w:tc>
          <w:tcPr>
            <w:tcW w:w="500" w:type="dxa"/>
            <w:vAlign w:val="bottom"/>
          </w:tcPr>
          <w:p>
            <w:pPr>
              <w:spacing w:after="0"/>
              <w:rPr>
                <w:sz w:val="18"/>
                <w:szCs w:val="18"/>
                <w:color w:val="auto"/>
              </w:rPr>
            </w:pPr>
          </w:p>
        </w:tc>
        <w:tc>
          <w:tcPr>
            <w:tcW w:w="6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3.8</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30</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7"/>
                <w:szCs w:val="7"/>
                <w:b w:val="1"/>
                <w:bCs w:val="1"/>
                <w:color w:val="auto"/>
              </w:rPr>
              <w:t>Subtotal / Weighted Average</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1,219,158</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4.4%</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81.0%</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80.7%</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72.9%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69.3%</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102,208,090</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3.8%</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30</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020" w:type="dxa"/>
            <w:vAlign w:val="bottom"/>
            <w:gridSpan w:val="6"/>
          </w:tcPr>
          <w:p>
            <w:pPr>
              <w:spacing w:after="0"/>
              <w:rPr>
                <w:sz w:val="20"/>
                <w:szCs w:val="20"/>
                <w:color w:val="auto"/>
              </w:rPr>
            </w:pPr>
            <w:r>
              <w:rPr>
                <w:rFonts w:ascii="Arial" w:cs="Arial" w:eastAsia="Arial" w:hAnsi="Arial"/>
                <w:sz w:val="7"/>
                <w:szCs w:val="7"/>
                <w:b w:val="1"/>
                <w:bCs w:val="1"/>
                <w:color w:val="auto"/>
              </w:rPr>
              <w:t>Total / Weighted Average Unconsolidated Properties</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6</w:t>
            </w: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4,244,139</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15.4%</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91.9%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91.4%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90.6%</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88.7%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88.0%</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314,155,435</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12.0%</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187</w:t>
            </w: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0" w:type="dxa"/>
            <w:vAlign w:val="bottom"/>
            <w:shd w:val="clear" w:color="auto" w:fill="000000"/>
          </w:tcPr>
          <w:p>
            <w:pPr>
              <w:spacing w:after="0"/>
              <w:rPr>
                <w:sz w:val="24"/>
                <w:szCs w:val="24"/>
                <w:color w:val="auto"/>
              </w:rPr>
            </w:pPr>
          </w:p>
        </w:tc>
        <w:tc>
          <w:tcPr>
            <w:tcW w:w="2840" w:type="dxa"/>
            <w:vAlign w:val="bottom"/>
            <w:gridSpan w:val="8"/>
          </w:tcPr>
          <w:p>
            <w:pPr>
              <w:ind w:left="20"/>
              <w:spacing w:after="0"/>
              <w:rPr>
                <w:sz w:val="20"/>
                <w:szCs w:val="20"/>
                <w:color w:val="auto"/>
              </w:rPr>
            </w:pPr>
            <w:r>
              <w:rPr>
                <w:rFonts w:ascii="Arial" w:cs="Arial" w:eastAsia="Arial" w:hAnsi="Arial"/>
                <w:sz w:val="7"/>
                <w:szCs w:val="7"/>
                <w:b w:val="1"/>
                <w:bCs w:val="1"/>
                <w:color w:val="auto"/>
              </w:rPr>
              <w:t>Manhattan Operating Properties Grand Total / Weighted Average</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31</w:t>
            </w: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22,612,745</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82.3%</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95.6%</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92.8%</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92.6%</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94.9%</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1,457,708,488</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926</w:t>
            </w: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2840" w:type="dxa"/>
            <w:vAlign w:val="bottom"/>
            <w:gridSpan w:val="8"/>
          </w:tcPr>
          <w:p>
            <w:pPr>
              <w:ind w:left="20"/>
              <w:spacing w:after="0"/>
              <w:rPr>
                <w:sz w:val="20"/>
                <w:szCs w:val="20"/>
                <w:color w:val="auto"/>
              </w:rPr>
            </w:pPr>
            <w:r>
              <w:rPr>
                <w:rFonts w:ascii="Arial" w:cs="Arial" w:eastAsia="Arial" w:hAnsi="Arial"/>
                <w:sz w:val="7"/>
                <w:szCs w:val="7"/>
                <w:b w:val="1"/>
                <w:bCs w:val="1"/>
                <w:color w:val="auto"/>
              </w:rPr>
              <w:t>Manhattan Operating Properties Grand Total - SLG share of Annualized Rent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1,256,535,553</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92.3%</w:t>
            </w: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2840" w:type="dxa"/>
            <w:vAlign w:val="bottom"/>
            <w:gridSpan w:val="8"/>
          </w:tcPr>
          <w:p>
            <w:pPr>
              <w:ind w:left="20"/>
              <w:spacing w:after="0"/>
              <w:rPr>
                <w:sz w:val="20"/>
                <w:szCs w:val="20"/>
                <w:color w:val="auto"/>
              </w:rPr>
            </w:pPr>
            <w:r>
              <w:rPr>
                <w:rFonts w:ascii="Arial" w:cs="Arial" w:eastAsia="Arial" w:hAnsi="Arial"/>
                <w:sz w:val="7"/>
                <w:szCs w:val="7"/>
                <w:b w:val="1"/>
                <w:bCs w:val="1"/>
                <w:color w:val="auto"/>
              </w:rPr>
              <w:t>Manhattan Operating Properties Same Store Occupancy % (3)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18,483,026</w:t>
            </w:r>
          </w:p>
        </w:tc>
        <w:tc>
          <w:tcPr>
            <w:tcW w:w="8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81.7%</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96.2%</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96.2%</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760" w:hanging="111"/>
        <w:spacing w:after="0"/>
        <w:tabs>
          <w:tab w:leader="none" w:pos="760" w:val="left"/>
        </w:tabs>
        <w:numPr>
          <w:ilvl w:val="0"/>
          <w:numId w:val="24"/>
        </w:numPr>
        <w:rPr>
          <w:rFonts w:ascii="Arial" w:cs="Arial" w:eastAsia="Arial" w:hAnsi="Arial"/>
          <w:sz w:val="7"/>
          <w:szCs w:val="7"/>
          <w:color w:val="auto"/>
        </w:rPr>
      </w:pPr>
      <w:r>
        <w:rPr>
          <w:rFonts w:ascii="Arial" w:cs="Arial" w:eastAsia="Arial" w:hAnsi="Arial"/>
          <w:sz w:val="7"/>
          <w:szCs w:val="7"/>
          <w:color w:val="auto"/>
        </w:rPr>
        <w:t>The Company has an option to acquire the fee interest for a fixed price on a specific date.</w:t>
      </w:r>
    </w:p>
    <w:p>
      <w:pPr>
        <w:spacing w:after="0" w:line="39" w:lineRule="exact"/>
        <w:rPr>
          <w:rFonts w:ascii="Arial" w:cs="Arial" w:eastAsia="Arial" w:hAnsi="Arial"/>
          <w:sz w:val="7"/>
          <w:szCs w:val="7"/>
          <w:color w:val="auto"/>
        </w:rPr>
      </w:pPr>
    </w:p>
    <w:p>
      <w:pPr>
        <w:ind w:left="760" w:hanging="111"/>
        <w:spacing w:after="0"/>
        <w:tabs>
          <w:tab w:leader="none" w:pos="760" w:val="left"/>
        </w:tabs>
        <w:numPr>
          <w:ilvl w:val="0"/>
          <w:numId w:val="24"/>
        </w:numPr>
        <w:rPr>
          <w:rFonts w:ascii="Arial" w:cs="Arial" w:eastAsia="Arial" w:hAnsi="Arial"/>
          <w:sz w:val="7"/>
          <w:szCs w:val="7"/>
          <w:color w:val="auto"/>
        </w:rPr>
      </w:pPr>
      <w:r>
        <w:rPr>
          <w:rFonts w:ascii="Arial" w:cs="Arial" w:eastAsia="Arial" w:hAnsi="Arial"/>
          <w:sz w:val="7"/>
          <w:szCs w:val="7"/>
          <w:color w:val="auto"/>
        </w:rPr>
        <w:t>The Company owns 50% of the fee interest.</w:t>
      </w:r>
    </w:p>
    <w:p>
      <w:pPr>
        <w:spacing w:after="0" w:line="39" w:lineRule="exact"/>
        <w:rPr>
          <w:rFonts w:ascii="Arial" w:cs="Arial" w:eastAsia="Arial" w:hAnsi="Arial"/>
          <w:sz w:val="7"/>
          <w:szCs w:val="7"/>
          <w:color w:val="auto"/>
        </w:rPr>
      </w:pPr>
    </w:p>
    <w:p>
      <w:pPr>
        <w:ind w:left="760" w:hanging="111"/>
        <w:spacing w:after="0"/>
        <w:tabs>
          <w:tab w:leader="none" w:pos="760" w:val="left"/>
        </w:tabs>
        <w:numPr>
          <w:ilvl w:val="0"/>
          <w:numId w:val="24"/>
        </w:numPr>
        <w:rPr>
          <w:rFonts w:ascii="Arial" w:cs="Arial" w:eastAsia="Arial" w:hAnsi="Arial"/>
          <w:sz w:val="7"/>
          <w:szCs w:val="7"/>
          <w:color w:val="auto"/>
        </w:rPr>
      </w:pPr>
      <w:r>
        <w:rPr>
          <w:rFonts w:ascii="Arial" w:cs="Arial" w:eastAsia="Arial" w:hAnsi="Arial"/>
          <w:sz w:val="7"/>
          <w:szCs w:val="7"/>
          <w:color w:val="auto"/>
        </w:rPr>
        <w:t>Manhattan same-store occupancy, inclusive of 194,733 square feet of leases signed but not yet commenced, is 97.4% as of June 30, 2016, as compared to 97.1% at June 30, 2015 and 97.4% at March 31, 2016.</w:t>
      </w:r>
    </w:p>
    <w:p>
      <w:pPr>
        <w:sectPr>
          <w:pgSz w:w="11900" w:h="16838" w:orient="portrait"/>
          <w:cols w:equalWidth="0" w:num="1">
            <w:col w:w="10700"/>
          </w:cols>
          <w:pgMar w:left="300" w:top="338" w:right="899" w:bottom="1440" w:gutter="0" w:footer="0" w:header="0"/>
        </w:sectPr>
      </w:pPr>
    </w:p>
    <w:p>
      <w:pPr>
        <w:spacing w:after="0" w:line="341" w:lineRule="exact"/>
        <w:rPr>
          <w:sz w:val="20"/>
          <w:szCs w:val="20"/>
          <w:color w:val="auto"/>
        </w:rPr>
      </w:pPr>
    </w:p>
    <w:p>
      <w:pPr>
        <w:ind w:left="640"/>
        <w:spacing w:after="0"/>
        <w:tabs>
          <w:tab w:leader="none" w:pos="5560" w:val="left"/>
          <w:tab w:leader="none" w:pos="96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32</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700"/>
          </w:cols>
          <w:pgMar w:left="300" w:top="338" w:right="8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Suburban Operating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 of</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7"/>
                <w:szCs w:val="7"/>
                <w:b w:val="1"/>
                <w:bCs w:val="1"/>
                <w:color w:val="auto"/>
              </w:rPr>
              <w:t># of</w:t>
            </w:r>
          </w:p>
        </w:tc>
        <w:tc>
          <w:tcPr>
            <w:tcW w:w="120" w:type="dxa"/>
            <w:vAlign w:val="bottom"/>
          </w:tcPr>
          <w:p>
            <w:pPr>
              <w:spacing w:after="0"/>
              <w:rPr>
                <w:sz w:val="8"/>
                <w:szCs w:val="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Usable</w:t>
            </w:r>
          </w:p>
        </w:tc>
        <w:tc>
          <w:tcPr>
            <w:tcW w:w="80" w:type="dxa"/>
            <w:vAlign w:val="bottom"/>
          </w:tcPr>
          <w:p>
            <w:pPr>
              <w:spacing w:after="0"/>
              <w:rPr>
                <w:sz w:val="8"/>
                <w:szCs w:val="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Total</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3"/>
          </w:tcPr>
          <w:p>
            <w:pPr>
              <w:ind w:left="40"/>
              <w:spacing w:after="0"/>
              <w:rPr>
                <w:sz w:val="20"/>
                <w:szCs w:val="20"/>
                <w:color w:val="auto"/>
              </w:rPr>
            </w:pPr>
            <w:r>
              <w:rPr>
                <w:rFonts w:ascii="Arial" w:cs="Arial" w:eastAsia="Arial" w:hAnsi="Arial"/>
                <w:sz w:val="7"/>
                <w:szCs w:val="7"/>
                <w:b w:val="1"/>
                <w:bCs w:val="1"/>
                <w:color w:val="auto"/>
              </w:rPr>
              <w:t>Occupancy (%)</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ind w:right="164"/>
              <w:spacing w:after="0"/>
              <w:rPr>
                <w:sz w:val="20"/>
                <w:szCs w:val="20"/>
                <w:color w:val="auto"/>
              </w:rPr>
            </w:pPr>
            <w:r>
              <w:rPr>
                <w:rFonts w:ascii="Arial" w:cs="Arial" w:eastAsia="Arial" w:hAnsi="Arial"/>
                <w:sz w:val="7"/>
                <w:szCs w:val="7"/>
                <w:b w:val="1"/>
                <w:bCs w:val="1"/>
                <w:color w:val="auto"/>
              </w:rPr>
              <w:t>Annualized</w:t>
            </w: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7"/>
                <w:szCs w:val="7"/>
                <w:b w:val="1"/>
                <w:bCs w:val="1"/>
                <w:color w:val="auto"/>
              </w:rPr>
              <w:t>Annualized Cash Rent</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4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Properties</w:t>
            </w:r>
          </w:p>
        </w:tc>
        <w:tc>
          <w:tcPr>
            <w:tcW w:w="44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Interest (%)</w:t>
            </w:r>
          </w:p>
        </w:tc>
        <w:tc>
          <w:tcPr>
            <w:tcW w:w="96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SubMarket</w:t>
            </w:r>
          </w:p>
        </w:tc>
        <w:tc>
          <w:tcPr>
            <w:tcW w:w="82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Ownership</w:t>
            </w:r>
          </w:p>
        </w:tc>
        <w:tc>
          <w:tcPr>
            <w:tcW w:w="120" w:type="dxa"/>
            <w:vAlign w:val="bottom"/>
          </w:tcPr>
          <w:p>
            <w:pPr>
              <w:spacing w:after="0"/>
              <w:rPr>
                <w:sz w:val="7"/>
                <w:szCs w:val="7"/>
                <w:color w:val="auto"/>
              </w:rPr>
            </w:pPr>
          </w:p>
        </w:tc>
        <w:tc>
          <w:tcPr>
            <w:tcW w:w="320" w:type="dxa"/>
            <w:vAlign w:val="bottom"/>
            <w:gridSpan w:val="2"/>
          </w:tcPr>
          <w:p>
            <w:pPr>
              <w:jc w:val="right"/>
              <w:ind w:right="100"/>
              <w:spacing w:after="0" w:line="68" w:lineRule="exact"/>
              <w:rPr>
                <w:sz w:val="20"/>
                <w:szCs w:val="20"/>
                <w:color w:val="auto"/>
              </w:rPr>
            </w:pPr>
            <w:r>
              <w:rPr>
                <w:rFonts w:ascii="Arial" w:cs="Arial" w:eastAsia="Arial" w:hAnsi="Arial"/>
                <w:sz w:val="7"/>
                <w:szCs w:val="7"/>
                <w:b w:val="1"/>
                <w:bCs w:val="1"/>
                <w:color w:val="auto"/>
              </w:rPr>
              <w:t>Bldgs</w:t>
            </w:r>
          </w:p>
        </w:tc>
        <w:tc>
          <w:tcPr>
            <w:tcW w:w="120" w:type="dxa"/>
            <w:vAlign w:val="bottom"/>
          </w:tcPr>
          <w:p>
            <w:pPr>
              <w:spacing w:after="0"/>
              <w:rPr>
                <w:sz w:val="7"/>
                <w:szCs w:val="7"/>
                <w:color w:val="auto"/>
              </w:rPr>
            </w:pPr>
          </w:p>
        </w:tc>
        <w:tc>
          <w:tcPr>
            <w:tcW w:w="400" w:type="dxa"/>
            <w:vAlign w:val="bottom"/>
            <w:gridSpan w:val="3"/>
          </w:tcPr>
          <w:p>
            <w:pPr>
              <w:jc w:val="right"/>
              <w:ind w:right="100"/>
              <w:spacing w:after="0" w:line="68" w:lineRule="exact"/>
              <w:rPr>
                <w:sz w:val="20"/>
                <w:szCs w:val="20"/>
                <w:color w:val="auto"/>
              </w:rPr>
            </w:pPr>
            <w:r>
              <w:rPr>
                <w:rFonts w:ascii="Arial" w:cs="Arial" w:eastAsia="Arial" w:hAnsi="Arial"/>
                <w:sz w:val="7"/>
                <w:szCs w:val="7"/>
                <w:b w:val="1"/>
                <w:bCs w:val="1"/>
                <w:color w:val="auto"/>
              </w:rPr>
              <w:t>Sq. Feet</w:t>
            </w:r>
          </w:p>
        </w:tc>
        <w:tc>
          <w:tcPr>
            <w:tcW w:w="80" w:type="dxa"/>
            <w:vAlign w:val="bottom"/>
          </w:tcPr>
          <w:p>
            <w:pPr>
              <w:spacing w:after="0"/>
              <w:rPr>
                <w:sz w:val="7"/>
                <w:szCs w:val="7"/>
                <w:color w:val="auto"/>
              </w:rPr>
            </w:pPr>
          </w:p>
        </w:tc>
        <w:tc>
          <w:tcPr>
            <w:tcW w:w="460" w:type="dxa"/>
            <w:vAlign w:val="bottom"/>
            <w:gridSpan w:val="3"/>
          </w:tcPr>
          <w:p>
            <w:pPr>
              <w:jc w:val="right"/>
              <w:ind w:right="160"/>
              <w:spacing w:after="0" w:line="68" w:lineRule="exact"/>
              <w:rPr>
                <w:sz w:val="20"/>
                <w:szCs w:val="20"/>
                <w:color w:val="auto"/>
              </w:rPr>
            </w:pPr>
            <w:r>
              <w:rPr>
                <w:rFonts w:ascii="Arial" w:cs="Arial" w:eastAsia="Arial" w:hAnsi="Arial"/>
                <w:sz w:val="7"/>
                <w:szCs w:val="7"/>
                <w:b w:val="1"/>
                <w:bCs w:val="1"/>
                <w:color w:val="auto"/>
              </w:rPr>
              <w:t>Sq. Feet</w:t>
            </w:r>
          </w:p>
        </w:tc>
        <w:tc>
          <w:tcPr>
            <w:tcW w:w="50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Jun-16</w:t>
            </w:r>
          </w:p>
        </w:tc>
        <w:tc>
          <w:tcPr>
            <w:tcW w:w="400" w:type="dxa"/>
            <w:vAlign w:val="bottom"/>
          </w:tcPr>
          <w:p>
            <w:pPr>
              <w:jc w:val="right"/>
              <w:ind w:right="44"/>
              <w:spacing w:after="0" w:line="68" w:lineRule="exact"/>
              <w:rPr>
                <w:sz w:val="20"/>
                <w:szCs w:val="20"/>
                <w:color w:val="auto"/>
              </w:rPr>
            </w:pPr>
            <w:r>
              <w:rPr>
                <w:rFonts w:ascii="Arial" w:cs="Arial" w:eastAsia="Arial" w:hAnsi="Arial"/>
                <w:sz w:val="7"/>
                <w:szCs w:val="7"/>
                <w:b w:val="1"/>
                <w:bCs w:val="1"/>
                <w:color w:val="auto"/>
              </w:rPr>
              <w:t>Mar-16</w:t>
            </w:r>
          </w:p>
        </w:tc>
        <w:tc>
          <w:tcPr>
            <w:tcW w:w="80" w:type="dxa"/>
            <w:vAlign w:val="bottom"/>
          </w:tcPr>
          <w:p>
            <w:pPr>
              <w:spacing w:after="0"/>
              <w:rPr>
                <w:sz w:val="7"/>
                <w:szCs w:val="7"/>
                <w:color w:val="auto"/>
              </w:rPr>
            </w:pPr>
          </w:p>
        </w:tc>
        <w:tc>
          <w:tcPr>
            <w:tcW w:w="50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Sep-15</w:t>
            </w:r>
          </w:p>
        </w:tc>
        <w:tc>
          <w:tcPr>
            <w:tcW w:w="48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Jun-15</w:t>
            </w:r>
          </w:p>
        </w:tc>
        <w:tc>
          <w:tcPr>
            <w:tcW w:w="100" w:type="dxa"/>
            <w:vAlign w:val="bottom"/>
          </w:tcPr>
          <w:p>
            <w:pPr>
              <w:spacing w:after="0"/>
              <w:rPr>
                <w:sz w:val="7"/>
                <w:szCs w:val="7"/>
                <w:color w:val="auto"/>
              </w:rPr>
            </w:pPr>
          </w:p>
        </w:tc>
        <w:tc>
          <w:tcPr>
            <w:tcW w:w="680" w:type="dxa"/>
            <w:vAlign w:val="bottom"/>
          </w:tcPr>
          <w:p>
            <w:pPr>
              <w:jc w:val="right"/>
              <w:ind w:right="84"/>
              <w:spacing w:after="0" w:line="68" w:lineRule="exact"/>
              <w:rPr>
                <w:sz w:val="20"/>
                <w:szCs w:val="20"/>
                <w:color w:val="auto"/>
              </w:rPr>
            </w:pPr>
            <w:r>
              <w:rPr>
                <w:rFonts w:ascii="Arial" w:cs="Arial" w:eastAsia="Arial" w:hAnsi="Arial"/>
                <w:sz w:val="7"/>
                <w:szCs w:val="7"/>
                <w:b w:val="1"/>
                <w:bCs w:val="1"/>
                <w:color w:val="auto"/>
              </w:rPr>
              <w:t>Cash Rent ($'s)</w:t>
            </w:r>
          </w:p>
        </w:tc>
        <w:tc>
          <w:tcPr>
            <w:tcW w:w="640" w:type="dxa"/>
            <w:vAlign w:val="bottom"/>
          </w:tcPr>
          <w:p>
            <w:pPr>
              <w:jc w:val="right"/>
              <w:ind w:right="124"/>
              <w:spacing w:after="0" w:line="68" w:lineRule="exact"/>
              <w:rPr>
                <w:sz w:val="20"/>
                <w:szCs w:val="20"/>
                <w:color w:val="auto"/>
              </w:rPr>
            </w:pPr>
            <w:r>
              <w:rPr>
                <w:rFonts w:ascii="Arial" w:cs="Arial" w:eastAsia="Arial" w:hAnsi="Arial"/>
                <w:sz w:val="7"/>
                <w:szCs w:val="7"/>
                <w:b w:val="1"/>
                <w:bCs w:val="1"/>
                <w:color w:val="auto"/>
              </w:rPr>
              <w:t>100%</w:t>
            </w:r>
          </w:p>
        </w:tc>
        <w:tc>
          <w:tcPr>
            <w:tcW w:w="460" w:type="dxa"/>
            <w:vAlign w:val="bottom"/>
          </w:tcPr>
          <w:p>
            <w:pPr>
              <w:ind w:left="160"/>
              <w:spacing w:after="0" w:line="68" w:lineRule="exact"/>
              <w:rPr>
                <w:sz w:val="20"/>
                <w:szCs w:val="20"/>
                <w:color w:val="auto"/>
              </w:rPr>
            </w:pPr>
            <w:r>
              <w:rPr>
                <w:rFonts w:ascii="Arial" w:cs="Arial" w:eastAsia="Arial" w:hAnsi="Arial"/>
                <w:sz w:val="7"/>
                <w:szCs w:val="7"/>
                <w:b w:val="1"/>
                <w:bCs w:val="1"/>
                <w:color w:val="auto"/>
              </w:rPr>
              <w:t>SLG%</w:t>
            </w:r>
          </w:p>
        </w:tc>
        <w:tc>
          <w:tcPr>
            <w:tcW w:w="46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CONSOLIDATED PROPERTIES</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Westchester, New York</w:t>
            </w: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- 1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8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74.8</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74.8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74.8</w:t>
            </w:r>
          </w:p>
        </w:tc>
        <w:tc>
          <w:tcPr>
            <w:tcW w:w="10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17"/>
                <w:szCs w:val="17"/>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Pr>
          <w:p>
            <w:pPr>
              <w:jc w:val="right"/>
              <w:spacing w:after="0"/>
              <w:rPr>
                <w:sz w:val="20"/>
                <w:szCs w:val="20"/>
                <w:color w:val="auto"/>
              </w:rPr>
            </w:pPr>
            <w:r>
              <w:rPr>
                <w:rFonts w:ascii="Arial" w:cs="Arial" w:eastAsia="Arial" w:hAnsi="Arial"/>
                <w:sz w:val="7"/>
                <w:szCs w:val="7"/>
                <w:color w:val="auto"/>
              </w:rPr>
              <w:t>1,834,632</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- 2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59.2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59.2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59.2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30.3</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30.3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1,377,860</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- 3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52.2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52.2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5.8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21.7</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1,039,659</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- 4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85.8</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2,147,293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60" w:type="dxa"/>
            <w:vAlign w:val="bottom"/>
          </w:tcPr>
          <w:p>
            <w:pPr>
              <w:ind w:left="260"/>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- 5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87.7</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87.7</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1,961,461</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- 6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56.7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56.7</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56.7</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1,524,007</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520 White Plains Road</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Tarrytown,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180,000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94.4</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98.3</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98.3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4,176,038</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0.4</w:t>
            </w: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115-117 Stevens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Valhalla,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178,000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0.6</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49.5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78.7</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77.2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75.1</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75.6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1,588,204</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100 Summit Lake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Valhalla,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250,000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52.2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52.2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47.1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72.9</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72.9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3,427,664</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200 Summit Lake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Valhalla,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245,000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94.5</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82.7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81.2</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5,757,253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0.5</w:t>
            </w:r>
          </w:p>
        </w:tc>
        <w:tc>
          <w:tcPr>
            <w:tcW w:w="460" w:type="dxa"/>
            <w:vAlign w:val="bottom"/>
          </w:tcPr>
          <w:p>
            <w:pPr>
              <w:ind w:left="260"/>
              <w:spacing w:after="0"/>
              <w:rPr>
                <w:sz w:val="20"/>
                <w:szCs w:val="20"/>
                <w:color w:val="auto"/>
              </w:rPr>
            </w:pPr>
            <w:r>
              <w:rPr>
                <w:rFonts w:ascii="Arial" w:cs="Arial" w:eastAsia="Arial" w:hAnsi="Arial"/>
                <w:sz w:val="7"/>
                <w:szCs w:val="7"/>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500 Summit Lake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Valhalla,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228,000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5,328,780</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0.5</w:t>
            </w:r>
          </w:p>
        </w:tc>
        <w:tc>
          <w:tcPr>
            <w:tcW w:w="460" w:type="dxa"/>
            <w:vAlign w:val="bottom"/>
          </w:tcPr>
          <w:p>
            <w:pPr>
              <w:ind w:left="260"/>
              <w:spacing w:after="0"/>
              <w:rPr>
                <w:sz w:val="20"/>
                <w:szCs w:val="20"/>
                <w:color w:val="auto"/>
              </w:rPr>
            </w:pPr>
            <w:r>
              <w:rPr>
                <w:rFonts w:ascii="Arial" w:cs="Arial" w:eastAsia="Arial" w:hAnsi="Arial"/>
                <w:sz w:val="7"/>
                <w:szCs w:val="7"/>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360 Hamilton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White Plains,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384,000</w:t>
            </w:r>
          </w:p>
        </w:tc>
        <w:tc>
          <w:tcPr>
            <w:tcW w:w="80" w:type="dxa"/>
            <w:vAlign w:val="bottom"/>
          </w:tcPr>
          <w:p>
            <w:pPr>
              <w:spacing w:after="0"/>
              <w:rPr>
                <w:sz w:val="19"/>
                <w:szCs w:val="19"/>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94.7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92.3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14,341,151</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1.3</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1.1</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6"/>
          </w:tcPr>
          <w:p>
            <w:pPr>
              <w:ind w:left="280"/>
              <w:spacing w:after="0"/>
              <w:rPr>
                <w:sz w:val="20"/>
                <w:szCs w:val="20"/>
                <w:color w:val="auto"/>
              </w:rPr>
            </w:pPr>
            <w:r>
              <w:rPr>
                <w:rFonts w:ascii="Arial" w:cs="Arial" w:eastAsia="Arial" w:hAnsi="Arial"/>
                <w:sz w:val="7"/>
                <w:szCs w:val="7"/>
                <w:b w:val="1"/>
                <w:bCs w:val="1"/>
                <w:color w:val="auto"/>
              </w:rPr>
              <w:t>"Same Store" Westchester, New York Subtotal/Weighted Average</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12</w:t>
            </w: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2,005,000</w:t>
            </w:r>
          </w:p>
        </w:tc>
        <w:tc>
          <w:tcPr>
            <w:tcW w:w="80" w:type="dxa"/>
            <w:vAlign w:val="bottom"/>
          </w:tcPr>
          <w:p>
            <w:pPr>
              <w:spacing w:after="0"/>
              <w:rPr>
                <w:sz w:val="16"/>
                <w:szCs w:val="16"/>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8.3%</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79.5%</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82.5%</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77.5%</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79.7%</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79.5%</w:t>
            </w:r>
          </w:p>
        </w:tc>
        <w:tc>
          <w:tcPr>
            <w:tcW w:w="80" w:type="dxa"/>
            <w:vAlign w:val="bottom"/>
          </w:tcPr>
          <w:p>
            <w:pPr>
              <w:spacing w:after="0"/>
              <w:rPr>
                <w:sz w:val="16"/>
                <w:szCs w:val="16"/>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44,504,002</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3.9%</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3.3%</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96</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Connecticut</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312,000</w:t>
            </w:r>
          </w:p>
        </w:tc>
        <w:tc>
          <w:tcPr>
            <w:tcW w:w="8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1.1</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88.2</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92.5</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94.6</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98.3</w:t>
            </w:r>
          </w:p>
        </w:tc>
        <w:tc>
          <w:tcPr>
            <w:tcW w:w="10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95.9</w:t>
            </w:r>
          </w:p>
        </w:tc>
        <w:tc>
          <w:tcPr>
            <w:tcW w:w="80" w:type="dxa"/>
            <w:vAlign w:val="bottom"/>
          </w:tcPr>
          <w:p>
            <w:pPr>
              <w:spacing w:after="0"/>
              <w:rPr>
                <w:sz w:val="17"/>
                <w:szCs w:val="17"/>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Pr>
          <w:p>
            <w:pPr>
              <w:jc w:val="right"/>
              <w:spacing w:after="0"/>
              <w:rPr>
                <w:sz w:val="20"/>
                <w:szCs w:val="20"/>
                <w:color w:val="auto"/>
              </w:rPr>
            </w:pPr>
            <w:r>
              <w:rPr>
                <w:rFonts w:ascii="Arial" w:cs="Arial" w:eastAsia="Arial" w:hAnsi="Arial"/>
                <w:sz w:val="7"/>
                <w:szCs w:val="7"/>
                <w:color w:val="auto"/>
              </w:rPr>
              <w:t>8,742,606</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0.8</w:t>
            </w:r>
          </w:p>
        </w:tc>
        <w:tc>
          <w:tcPr>
            <w:tcW w:w="460" w:type="dxa"/>
            <w:vAlign w:val="bottom"/>
          </w:tcPr>
          <w:p>
            <w:pPr>
              <w:ind w:left="260"/>
              <w:spacing w:after="0"/>
              <w:rPr>
                <w:sz w:val="20"/>
                <w:szCs w:val="20"/>
                <w:color w:val="auto"/>
              </w:rPr>
            </w:pPr>
            <w:r>
              <w:rPr>
                <w:rFonts w:ascii="Arial" w:cs="Arial" w:eastAsia="Arial" w:hAnsi="Arial"/>
                <w:sz w:val="7"/>
                <w:szCs w:val="7"/>
                <w:color w:val="auto"/>
              </w:rPr>
              <w:t>0.6</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2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46,000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73.9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73.9</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76.5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76.5</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76.5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753,773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3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130,000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76.4</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73.0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69.1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59.0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59.0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3,278,888</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60" w:type="dxa"/>
            <w:vAlign w:val="bottom"/>
          </w:tcPr>
          <w:p>
            <w:pPr>
              <w:ind w:left="260"/>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4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105,000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92.4</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92.4</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86.5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86.5</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3,266,083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60" w:type="dxa"/>
            <w:vAlign w:val="bottom"/>
          </w:tcPr>
          <w:p>
            <w:pPr>
              <w:ind w:left="260"/>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5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61,000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99.3</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1,049,119</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6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172,000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0.6</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91.9</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86.0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4,064,063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0.4</w:t>
            </w: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7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36,800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728,423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680 Washington Boulevard</w:t>
            </w:r>
          </w:p>
        </w:tc>
        <w:tc>
          <w:tcPr>
            <w:tcW w:w="400" w:type="dxa"/>
            <w:vAlign w:val="bottom"/>
          </w:tcPr>
          <w:p>
            <w:pPr>
              <w:jc w:val="center"/>
              <w:spacing w:after="0"/>
              <w:rPr>
                <w:sz w:val="20"/>
                <w:szCs w:val="20"/>
                <w:color w:val="auto"/>
              </w:rPr>
            </w:pPr>
            <w:r>
              <w:rPr>
                <w:rFonts w:ascii="Arial" w:cs="Arial" w:eastAsia="Arial" w:hAnsi="Arial"/>
                <w:sz w:val="7"/>
                <w:szCs w:val="7"/>
                <w:color w:val="auto"/>
              </w:rPr>
              <w:t>51.0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133,000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87.6</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88.9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88.9</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5,151,462</w:t>
            </w:r>
          </w:p>
        </w:tc>
        <w:tc>
          <w:tcPr>
            <w:tcW w:w="64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750 Washington Boulevard</w:t>
            </w:r>
          </w:p>
        </w:tc>
        <w:tc>
          <w:tcPr>
            <w:tcW w:w="400" w:type="dxa"/>
            <w:vAlign w:val="bottom"/>
          </w:tcPr>
          <w:p>
            <w:pPr>
              <w:jc w:val="center"/>
              <w:spacing w:after="0"/>
              <w:rPr>
                <w:sz w:val="20"/>
                <w:szCs w:val="20"/>
                <w:color w:val="auto"/>
              </w:rPr>
            </w:pPr>
            <w:r>
              <w:rPr>
                <w:rFonts w:ascii="Arial" w:cs="Arial" w:eastAsia="Arial" w:hAnsi="Arial"/>
                <w:sz w:val="7"/>
                <w:szCs w:val="7"/>
                <w:color w:val="auto"/>
              </w:rPr>
              <w:t>51.0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192,000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96.4</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97.9</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99.1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7,961,168</w:t>
            </w:r>
          </w:p>
        </w:tc>
        <w:tc>
          <w:tcPr>
            <w:tcW w:w="64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1055 Washington Boulevard</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Leasehold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182,000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79.6</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75.6</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74.7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80.4</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5,319,754</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0.5</w:t>
            </w:r>
          </w:p>
        </w:tc>
        <w:tc>
          <w:tcPr>
            <w:tcW w:w="460" w:type="dxa"/>
            <w:vAlign w:val="bottom"/>
          </w:tcPr>
          <w:p>
            <w:pPr>
              <w:ind w:left="260"/>
              <w:spacing w:after="0"/>
              <w:rPr>
                <w:sz w:val="20"/>
                <w:szCs w:val="20"/>
                <w:color w:val="auto"/>
              </w:rPr>
            </w:pPr>
            <w:r>
              <w:rPr>
                <w:rFonts w:ascii="Arial" w:cs="Arial" w:eastAsia="Arial" w:hAnsi="Arial"/>
                <w:sz w:val="7"/>
                <w:szCs w:val="7"/>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1010 Washington Boulevard</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143,400</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79.3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76.9</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75.3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73.8</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75.6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3,662,830</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500 West Putnam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Greenwich, Connecticut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121,500</w:t>
            </w:r>
          </w:p>
        </w:tc>
        <w:tc>
          <w:tcPr>
            <w:tcW w:w="80" w:type="dxa"/>
            <w:vAlign w:val="bottom"/>
          </w:tcPr>
          <w:p>
            <w:pPr>
              <w:spacing w:after="0"/>
              <w:rPr>
                <w:sz w:val="19"/>
                <w:szCs w:val="19"/>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0.4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53.8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53.8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53.8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53.8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53.8</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3,093,417</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0.3</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0.2</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6"/>
          </w:tcPr>
          <w:p>
            <w:pPr>
              <w:ind w:left="260"/>
              <w:spacing w:after="0"/>
              <w:rPr>
                <w:sz w:val="20"/>
                <w:szCs w:val="20"/>
                <w:color w:val="auto"/>
              </w:rPr>
            </w:pPr>
            <w:r>
              <w:rPr>
                <w:rFonts w:ascii="Arial" w:cs="Arial" w:eastAsia="Arial" w:hAnsi="Arial"/>
                <w:sz w:val="7"/>
                <w:szCs w:val="7"/>
                <w:b w:val="1"/>
                <w:bCs w:val="1"/>
                <w:color w:val="auto"/>
              </w:rPr>
              <w:t>"Same Store" Connecticut Subtotal/Weighted Average</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12</w:t>
            </w: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1,634,700</w:t>
            </w:r>
          </w:p>
        </w:tc>
        <w:tc>
          <w:tcPr>
            <w:tcW w:w="80" w:type="dxa"/>
            <w:vAlign w:val="bottom"/>
          </w:tcPr>
          <w:p>
            <w:pPr>
              <w:spacing w:after="0"/>
              <w:rPr>
                <w:sz w:val="16"/>
                <w:szCs w:val="16"/>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4.9%</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85.0%</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84.8%</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84.1%</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84.3%</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84.9%</w:t>
            </w:r>
          </w:p>
        </w:tc>
        <w:tc>
          <w:tcPr>
            <w:tcW w:w="80" w:type="dxa"/>
            <w:vAlign w:val="bottom"/>
          </w:tcPr>
          <w:p>
            <w:pPr>
              <w:spacing w:after="0"/>
              <w:rPr>
                <w:sz w:val="16"/>
                <w:szCs w:val="16"/>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47,071,587</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3.0%</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3.0%</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195</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New Jersey</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125 Chubb Way</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Lyndhurst, New Jersey</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278,000</w:t>
            </w:r>
          </w:p>
        </w:tc>
        <w:tc>
          <w:tcPr>
            <w:tcW w:w="80" w:type="dxa"/>
            <w:vAlign w:val="bottom"/>
          </w:tcPr>
          <w:p>
            <w:pPr>
              <w:spacing w:after="0"/>
              <w:rPr>
                <w:sz w:val="18"/>
                <w:szCs w:val="18"/>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4,379,383</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0.4</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0.3</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6"/>
          </w:tcPr>
          <w:p>
            <w:pPr>
              <w:ind w:left="260"/>
              <w:spacing w:after="0"/>
              <w:rPr>
                <w:sz w:val="20"/>
                <w:szCs w:val="20"/>
                <w:color w:val="auto"/>
              </w:rPr>
            </w:pPr>
            <w:r>
              <w:rPr>
                <w:rFonts w:ascii="Arial" w:cs="Arial" w:eastAsia="Arial" w:hAnsi="Arial"/>
                <w:sz w:val="7"/>
                <w:szCs w:val="7"/>
                <w:b w:val="1"/>
                <w:bCs w:val="1"/>
                <w:color w:val="auto"/>
              </w:rPr>
              <w:t>"Same Store" New Jersey Subtotal/Weighted Average</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278,000</w:t>
            </w:r>
          </w:p>
        </w:tc>
        <w:tc>
          <w:tcPr>
            <w:tcW w:w="80" w:type="dxa"/>
            <w:vAlign w:val="bottom"/>
          </w:tcPr>
          <w:p>
            <w:pPr>
              <w:spacing w:after="0"/>
              <w:rPr>
                <w:sz w:val="16"/>
                <w:szCs w:val="16"/>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66.2%</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66.2%</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66.2%</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4,379,383</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0.4%</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6</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Brooklyn, New York</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16 Court Street</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Brooklyn,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317,600</w:t>
            </w:r>
          </w:p>
        </w:tc>
        <w:tc>
          <w:tcPr>
            <w:tcW w:w="80" w:type="dxa"/>
            <w:vAlign w:val="bottom"/>
          </w:tcPr>
          <w:p>
            <w:pPr>
              <w:spacing w:after="0"/>
              <w:rPr>
                <w:sz w:val="18"/>
                <w:szCs w:val="18"/>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97.3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95.6</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12,961,524</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1.1</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1.0</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6"/>
          </w:tcPr>
          <w:p>
            <w:pPr>
              <w:ind w:left="260"/>
              <w:spacing w:after="0"/>
              <w:rPr>
                <w:sz w:val="20"/>
                <w:szCs w:val="20"/>
                <w:color w:val="auto"/>
              </w:rPr>
            </w:pPr>
            <w:r>
              <w:rPr>
                <w:rFonts w:ascii="Arial" w:cs="Arial" w:eastAsia="Arial" w:hAnsi="Arial"/>
                <w:sz w:val="7"/>
                <w:szCs w:val="7"/>
                <w:b w:val="1"/>
                <w:bCs w:val="1"/>
                <w:color w:val="auto"/>
              </w:rPr>
              <w:t>"Same Store" Brooklyn, New York Subtotal/Weighted Average</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317,600</w:t>
            </w:r>
          </w:p>
        </w:tc>
        <w:tc>
          <w:tcPr>
            <w:tcW w:w="80" w:type="dxa"/>
            <w:vAlign w:val="bottom"/>
          </w:tcPr>
          <w:p>
            <w:pPr>
              <w:spacing w:after="0"/>
              <w:rPr>
                <w:sz w:val="16"/>
                <w:szCs w:val="16"/>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1.2%</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97.3%</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95.5%</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94.6%</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95.6%</w:t>
            </w:r>
          </w:p>
        </w:tc>
        <w:tc>
          <w:tcPr>
            <w:tcW w:w="80" w:type="dxa"/>
            <w:vAlign w:val="bottom"/>
          </w:tcPr>
          <w:p>
            <w:pPr>
              <w:spacing w:after="0"/>
              <w:rPr>
                <w:sz w:val="16"/>
                <w:szCs w:val="16"/>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12,961,524</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1.1%</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1.0%</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70</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Arial" w:cs="Arial" w:eastAsia="Arial" w:hAnsi="Arial"/>
                <w:sz w:val="7"/>
                <w:szCs w:val="7"/>
                <w:b w:val="1"/>
                <w:bCs w:val="1"/>
                <w:color w:val="auto"/>
              </w:rPr>
              <w:t>Total / Weighted Average Consolidated Properties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26</w:t>
            </w: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4,235,300</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15.4%</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82.1%</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83.4%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80.6%</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81.9%</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108,916,496</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8.5%</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7.5%</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367</w:t>
            </w: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7"/>
                <w:szCs w:val="7"/>
                <w:b w:val="1"/>
                <w:bCs w:val="1"/>
                <w:color w:val="auto"/>
              </w:rPr>
              <w:t>UNCONSOLIDATED PROPERTIES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"Non Same Store"</w:t>
            </w: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Jericho Plaza</w:t>
            </w:r>
          </w:p>
        </w:tc>
        <w:tc>
          <w:tcPr>
            <w:tcW w:w="400" w:type="dxa"/>
            <w:vAlign w:val="bottom"/>
          </w:tcPr>
          <w:p>
            <w:pPr>
              <w:jc w:val="center"/>
              <w:spacing w:after="0"/>
              <w:rPr>
                <w:sz w:val="20"/>
                <w:szCs w:val="20"/>
                <w:color w:val="auto"/>
              </w:rPr>
            </w:pPr>
            <w:r>
              <w:rPr>
                <w:rFonts w:ascii="Arial" w:cs="Arial" w:eastAsia="Arial" w:hAnsi="Arial"/>
                <w:sz w:val="7"/>
                <w:szCs w:val="7"/>
                <w:color w:val="auto"/>
              </w:rPr>
              <w:t>11.67</w:t>
            </w:r>
          </w:p>
        </w:tc>
        <w:tc>
          <w:tcPr>
            <w:tcW w:w="4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7"/>
                <w:szCs w:val="7"/>
                <w:color w:val="auto"/>
              </w:rPr>
              <w:t>Jericho,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640,000</w:t>
            </w:r>
          </w:p>
        </w:tc>
        <w:tc>
          <w:tcPr>
            <w:tcW w:w="80" w:type="dxa"/>
            <w:vAlign w:val="bottom"/>
          </w:tcPr>
          <w:p>
            <w:pPr>
              <w:spacing w:after="0"/>
              <w:rPr>
                <w:sz w:val="18"/>
                <w:szCs w:val="18"/>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2.3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71.0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71.0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66.9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70.0</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15,881,340</w:t>
            </w: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0.1</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gridSpan w:val="6"/>
          </w:tcPr>
          <w:p>
            <w:pPr>
              <w:ind w:left="260"/>
              <w:spacing w:after="0"/>
              <w:rPr>
                <w:sz w:val="20"/>
                <w:szCs w:val="20"/>
                <w:color w:val="auto"/>
              </w:rPr>
            </w:pPr>
            <w:r>
              <w:rPr>
                <w:rFonts w:ascii="Arial" w:cs="Arial" w:eastAsia="Arial" w:hAnsi="Arial"/>
                <w:sz w:val="7"/>
                <w:szCs w:val="7"/>
                <w:b w:val="1"/>
                <w:bCs w:val="1"/>
                <w:color w:val="auto"/>
              </w:rPr>
              <w:t>"Non Same Store" Subtotal/Weighted Average</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w:t>
            </w:r>
          </w:p>
        </w:tc>
        <w:tc>
          <w:tcPr>
            <w:tcW w:w="10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640,000</w:t>
            </w:r>
          </w:p>
        </w:tc>
        <w:tc>
          <w:tcPr>
            <w:tcW w:w="8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2.3%</w:t>
            </w: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71.0%</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71.0%</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66.9%</w:t>
            </w: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66.8%</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70.0%</w:t>
            </w:r>
          </w:p>
        </w:tc>
        <w:tc>
          <w:tcPr>
            <w:tcW w:w="80" w:type="dxa"/>
            <w:vAlign w:val="bottom"/>
          </w:tcPr>
          <w:p>
            <w:pPr>
              <w:spacing w:after="0"/>
              <w:rPr>
                <w:sz w:val="17"/>
                <w:szCs w:val="17"/>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15,881,340</w:t>
            </w:r>
          </w:p>
        </w:tc>
        <w:tc>
          <w:tcPr>
            <w:tcW w:w="640" w:type="dxa"/>
            <w:vAlign w:val="bottom"/>
          </w:tcPr>
          <w:p>
            <w:pPr>
              <w:spacing w:after="0"/>
              <w:rPr>
                <w:sz w:val="17"/>
                <w:szCs w:val="17"/>
                <w:color w:val="auto"/>
              </w:rPr>
            </w:pP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34</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6"/>
          </w:tcPr>
          <w:p>
            <w:pPr>
              <w:ind w:left="220"/>
              <w:spacing w:after="0"/>
              <w:rPr>
                <w:sz w:val="20"/>
                <w:szCs w:val="20"/>
                <w:color w:val="auto"/>
              </w:rPr>
            </w:pPr>
            <w:r>
              <w:rPr>
                <w:rFonts w:ascii="Arial" w:cs="Arial" w:eastAsia="Arial" w:hAnsi="Arial"/>
                <w:sz w:val="7"/>
                <w:szCs w:val="7"/>
                <w:b w:val="1"/>
                <w:bCs w:val="1"/>
                <w:color w:val="auto"/>
              </w:rPr>
              <w:t>Total / Weighted Average Unconsolidated Properties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w:t>
            </w: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640,000</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2.3%</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71.0%</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71.0%</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68.9%</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68.9%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71.8%</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15,881,340</w:t>
            </w:r>
          </w:p>
        </w:tc>
        <w:tc>
          <w:tcPr>
            <w:tcW w:w="64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34</w:t>
            </w: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0" w:type="dxa"/>
            <w:vAlign w:val="bottom"/>
            <w:shd w:val="clear" w:color="auto" w:fill="000000"/>
          </w:tcPr>
          <w:p>
            <w:pPr>
              <w:spacing w:after="0"/>
              <w:rPr>
                <w:sz w:val="24"/>
                <w:szCs w:val="24"/>
                <w:color w:val="auto"/>
              </w:rPr>
            </w:pPr>
          </w:p>
        </w:tc>
        <w:tc>
          <w:tcPr>
            <w:tcW w:w="2940" w:type="dxa"/>
            <w:vAlign w:val="bottom"/>
            <w:gridSpan w:val="7"/>
          </w:tcPr>
          <w:p>
            <w:pPr>
              <w:ind w:left="20"/>
              <w:spacing w:after="0"/>
              <w:rPr>
                <w:sz w:val="20"/>
                <w:szCs w:val="20"/>
                <w:color w:val="auto"/>
              </w:rPr>
            </w:pPr>
            <w:r>
              <w:rPr>
                <w:rFonts w:ascii="Arial" w:cs="Arial" w:eastAsia="Arial" w:hAnsi="Arial"/>
                <w:sz w:val="7"/>
                <w:szCs w:val="7"/>
                <w:b w:val="1"/>
                <w:bCs w:val="1"/>
                <w:color w:val="auto"/>
              </w:rPr>
              <w:t>Suburban Operating Properties Grand Total / Weighted Average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28</w:t>
            </w: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4,875,300</w:t>
            </w:r>
          </w:p>
        </w:tc>
        <w:tc>
          <w:tcPr>
            <w:tcW w:w="8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17.7%</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80.6%</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81.7%</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78.8%</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79.8%</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80.4%</w:t>
            </w:r>
          </w:p>
        </w:tc>
        <w:tc>
          <w:tcPr>
            <w:tcW w:w="8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124,797,836</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401</w:t>
            </w: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2940" w:type="dxa"/>
            <w:vAlign w:val="bottom"/>
            <w:gridSpan w:val="7"/>
          </w:tcPr>
          <w:p>
            <w:pPr>
              <w:ind w:left="20"/>
              <w:spacing w:after="0"/>
              <w:rPr>
                <w:sz w:val="20"/>
                <w:szCs w:val="20"/>
                <w:color w:val="auto"/>
              </w:rPr>
            </w:pPr>
            <w:r>
              <w:rPr>
                <w:rFonts w:ascii="Arial" w:cs="Arial" w:eastAsia="Arial" w:hAnsi="Arial"/>
                <w:sz w:val="7"/>
                <w:szCs w:val="7"/>
                <w:b w:val="1"/>
                <w:bCs w:val="1"/>
                <w:color w:val="auto"/>
              </w:rPr>
              <w:t>Suburban Operating Properties Grand Total - SLG share of Annualized Rent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ind w:right="4"/>
              <w:spacing w:after="0"/>
              <w:rPr>
                <w:sz w:val="20"/>
                <w:szCs w:val="20"/>
                <w:color w:val="auto"/>
              </w:rPr>
            </w:pPr>
            <w:r>
              <w:rPr>
                <w:rFonts w:ascii="Arial" w:cs="Arial" w:eastAsia="Arial" w:hAnsi="Arial"/>
                <w:sz w:val="7"/>
                <w:szCs w:val="7"/>
                <w:b w:val="1"/>
                <w:bCs w:val="1"/>
                <w:color w:val="auto"/>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104,344,659</w:t>
            </w:r>
          </w:p>
        </w:tc>
        <w:tc>
          <w:tcPr>
            <w:tcW w:w="64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7.7%</w:t>
            </w: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2940" w:type="dxa"/>
            <w:vAlign w:val="bottom"/>
            <w:gridSpan w:val="7"/>
          </w:tcPr>
          <w:p>
            <w:pPr>
              <w:ind w:left="20"/>
              <w:spacing w:after="0"/>
              <w:rPr>
                <w:sz w:val="20"/>
                <w:szCs w:val="20"/>
                <w:color w:val="auto"/>
              </w:rPr>
            </w:pPr>
            <w:r>
              <w:rPr>
                <w:rFonts w:ascii="Arial" w:cs="Arial" w:eastAsia="Arial" w:hAnsi="Arial"/>
                <w:sz w:val="7"/>
                <w:szCs w:val="7"/>
                <w:b w:val="1"/>
                <w:bCs w:val="1"/>
                <w:color w:val="auto"/>
              </w:rPr>
              <w:t>Suburban Operating Properties Same Store Occupancy % (1)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4,235,300</w:t>
            </w:r>
          </w:p>
        </w:tc>
        <w:tc>
          <w:tcPr>
            <w:tcW w:w="8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86.9%</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82.1%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83.4%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80.6%</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shd w:val="clear" w:color="auto" w:fill="000000"/>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0"/>
        <w:spacing w:after="0"/>
        <w:rPr>
          <w:sz w:val="20"/>
          <w:szCs w:val="20"/>
          <w:color w:val="auto"/>
        </w:rPr>
      </w:pPr>
      <w:r>
        <w:rPr>
          <w:rFonts w:ascii="Arial" w:cs="Arial" w:eastAsia="Arial" w:hAnsi="Arial"/>
          <w:sz w:val="7"/>
          <w:szCs w:val="7"/>
          <w:color w:val="auto"/>
        </w:rPr>
        <w:t>(1) Suburban same-store occupancy, inclusive of 38,815 square feet of leases signed but not yet commenced, is 83.0% as of June 30, 2016, as compared to 83.6% at June 30, 2015 and 84.0% at March 31, 2016.</w:t>
      </w:r>
    </w:p>
    <w:p>
      <w:pPr>
        <w:sectPr>
          <w:pgSz w:w="11900" w:h="16838" w:orient="portrait"/>
          <w:cols w:equalWidth="0" w:num="1">
            <w:col w:w="10100"/>
          </w:cols>
          <w:pgMar w:left="900" w:top="338" w:right="89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33</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and Residential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7"/>
                <w:szCs w:val="7"/>
                <w:b w:val="1"/>
                <w:bCs w:val="1"/>
                <w:color w:val="auto"/>
              </w:rPr>
              <w:t># of</w:t>
            </w:r>
          </w:p>
        </w:tc>
        <w:tc>
          <w:tcPr>
            <w:tcW w:w="60" w:type="dxa"/>
            <w:vAlign w:val="bottom"/>
          </w:tcPr>
          <w:p>
            <w:pPr>
              <w:spacing w:after="0"/>
              <w:rPr>
                <w:sz w:val="8"/>
                <w:szCs w:val="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Usable</w:t>
            </w:r>
          </w:p>
        </w:tc>
        <w:tc>
          <w:tcPr>
            <w:tcW w:w="60" w:type="dxa"/>
            <w:vAlign w:val="bottom"/>
          </w:tcPr>
          <w:p>
            <w:pPr>
              <w:spacing w:after="0"/>
              <w:rPr>
                <w:sz w:val="8"/>
                <w:szCs w:val="8"/>
                <w:color w:val="auto"/>
              </w:rPr>
            </w:pPr>
          </w:p>
        </w:tc>
        <w:tc>
          <w:tcPr>
            <w:tcW w:w="54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4"/>
          </w:tcPr>
          <w:p>
            <w:pPr>
              <w:ind w:left="100"/>
              <w:spacing w:after="0"/>
              <w:rPr>
                <w:sz w:val="20"/>
                <w:szCs w:val="20"/>
                <w:color w:val="auto"/>
              </w:rPr>
            </w:pPr>
            <w:r>
              <w:rPr>
                <w:rFonts w:ascii="Arial" w:cs="Arial" w:eastAsia="Arial" w:hAnsi="Arial"/>
                <w:sz w:val="7"/>
                <w:szCs w:val="7"/>
                <w:b w:val="1"/>
                <w:bCs w:val="1"/>
                <w:color w:val="auto"/>
              </w:rPr>
              <w:t>Occupancy (%)</w:t>
            </w: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center"/>
              <w:ind w:right="24"/>
              <w:spacing w:after="0"/>
              <w:rPr>
                <w:sz w:val="20"/>
                <w:szCs w:val="20"/>
                <w:color w:val="auto"/>
              </w:rPr>
            </w:pPr>
            <w:r>
              <w:rPr>
                <w:rFonts w:ascii="Arial" w:cs="Arial" w:eastAsia="Arial" w:hAnsi="Arial"/>
                <w:sz w:val="7"/>
                <w:szCs w:val="7"/>
                <w:b w:val="1"/>
                <w:bCs w:val="1"/>
                <w:color w:val="auto"/>
              </w:rPr>
              <w:t>Annualized</w:t>
            </w:r>
          </w:p>
        </w:tc>
        <w:tc>
          <w:tcPr>
            <w:tcW w:w="80" w:type="dxa"/>
            <w:vAlign w:val="bottom"/>
          </w:tcPr>
          <w:p>
            <w:pPr>
              <w:spacing w:after="0"/>
              <w:rPr>
                <w:sz w:val="8"/>
                <w:szCs w:val="8"/>
                <w:color w:val="auto"/>
              </w:rPr>
            </w:pPr>
          </w:p>
        </w:tc>
        <w:tc>
          <w:tcPr>
            <w:tcW w:w="720" w:type="dxa"/>
            <w:vAlign w:val="bottom"/>
          </w:tcPr>
          <w:p>
            <w:pPr>
              <w:jc w:val="center"/>
              <w:ind w:right="44"/>
              <w:spacing w:after="0"/>
              <w:rPr>
                <w:sz w:val="20"/>
                <w:szCs w:val="20"/>
                <w:color w:val="auto"/>
              </w:rPr>
            </w:pPr>
            <w:r>
              <w:rPr>
                <w:rFonts w:ascii="Arial" w:cs="Arial" w:eastAsia="Arial" w:hAnsi="Arial"/>
                <w:sz w:val="7"/>
                <w:szCs w:val="7"/>
                <w:b w:val="1"/>
                <w:bCs w:val="1"/>
                <w:color w:val="auto"/>
              </w:rPr>
              <w:t>Annualized</w:t>
            </w:r>
          </w:p>
        </w:tc>
        <w:tc>
          <w:tcPr>
            <w:tcW w:w="80" w:type="dxa"/>
            <w:vAlign w:val="bottom"/>
          </w:tcPr>
          <w:p>
            <w:pPr>
              <w:spacing w:after="0"/>
              <w:rPr>
                <w:sz w:val="8"/>
                <w:szCs w:val="8"/>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Gross Total RE</w:t>
            </w:r>
          </w:p>
        </w:tc>
        <w:tc>
          <w:tcPr>
            <w:tcW w:w="40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3"/>
          </w:tcPr>
          <w:p>
            <w:pPr>
              <w:spacing w:after="0" w:line="68" w:lineRule="exact"/>
              <w:rPr>
                <w:sz w:val="20"/>
                <w:szCs w:val="20"/>
                <w:color w:val="auto"/>
              </w:rPr>
            </w:pPr>
            <w:r>
              <w:rPr>
                <w:rFonts w:ascii="Arial" w:cs="Arial" w:eastAsia="Arial" w:hAnsi="Arial"/>
                <w:sz w:val="7"/>
                <w:szCs w:val="7"/>
                <w:b w:val="1"/>
                <w:bCs w:val="1"/>
                <w:color w:val="auto"/>
              </w:rPr>
              <w:t>Properties</w:t>
            </w:r>
          </w:p>
        </w:tc>
        <w:tc>
          <w:tcPr>
            <w:tcW w:w="620" w:type="dxa"/>
            <w:vAlign w:val="bottom"/>
            <w:gridSpan w:val="3"/>
          </w:tcPr>
          <w:p>
            <w:pPr>
              <w:jc w:val="center"/>
              <w:ind w:left="4"/>
              <w:spacing w:after="0" w:line="68" w:lineRule="exact"/>
              <w:rPr>
                <w:sz w:val="20"/>
                <w:szCs w:val="20"/>
                <w:color w:val="auto"/>
              </w:rPr>
            </w:pPr>
            <w:r>
              <w:rPr>
                <w:rFonts w:ascii="Arial" w:cs="Arial" w:eastAsia="Arial" w:hAnsi="Arial"/>
                <w:sz w:val="7"/>
                <w:szCs w:val="7"/>
                <w:b w:val="1"/>
                <w:bCs w:val="1"/>
                <w:color w:val="auto"/>
                <w:w w:val="99"/>
              </w:rPr>
              <w:t>Interest (%)</w:t>
            </w:r>
          </w:p>
        </w:tc>
        <w:tc>
          <w:tcPr>
            <w:tcW w:w="92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SubMarket</w:t>
            </w:r>
          </w:p>
        </w:tc>
        <w:tc>
          <w:tcPr>
            <w:tcW w:w="680" w:type="dxa"/>
            <w:vAlign w:val="bottom"/>
            <w:gridSpan w:val="3"/>
          </w:tcPr>
          <w:p>
            <w:pPr>
              <w:ind w:left="40"/>
              <w:spacing w:after="0" w:line="68" w:lineRule="exact"/>
              <w:rPr>
                <w:sz w:val="20"/>
                <w:szCs w:val="20"/>
                <w:color w:val="auto"/>
              </w:rPr>
            </w:pPr>
            <w:r>
              <w:rPr>
                <w:rFonts w:ascii="Arial" w:cs="Arial" w:eastAsia="Arial" w:hAnsi="Arial"/>
                <w:sz w:val="7"/>
                <w:szCs w:val="7"/>
                <w:b w:val="1"/>
                <w:bCs w:val="1"/>
                <w:color w:val="auto"/>
              </w:rPr>
              <w:t>Ownership</w:t>
            </w:r>
          </w:p>
        </w:tc>
        <w:tc>
          <w:tcPr>
            <w:tcW w:w="320" w:type="dxa"/>
            <w:vAlign w:val="bottom"/>
            <w:gridSpan w:val="3"/>
          </w:tcPr>
          <w:p>
            <w:pPr>
              <w:jc w:val="right"/>
              <w:ind w:right="40"/>
              <w:spacing w:after="0" w:line="68" w:lineRule="exact"/>
              <w:rPr>
                <w:sz w:val="20"/>
                <w:szCs w:val="20"/>
                <w:color w:val="auto"/>
              </w:rPr>
            </w:pPr>
            <w:r>
              <w:rPr>
                <w:rFonts w:ascii="Arial" w:cs="Arial" w:eastAsia="Arial" w:hAnsi="Arial"/>
                <w:sz w:val="7"/>
                <w:szCs w:val="7"/>
                <w:b w:val="1"/>
                <w:bCs w:val="1"/>
                <w:color w:val="auto"/>
              </w:rPr>
              <w:t>Bldgs</w:t>
            </w:r>
          </w:p>
        </w:tc>
        <w:tc>
          <w:tcPr>
            <w:tcW w:w="60" w:type="dxa"/>
            <w:vAlign w:val="bottom"/>
          </w:tcPr>
          <w:p>
            <w:pPr>
              <w:spacing w:after="0"/>
              <w:rPr>
                <w:sz w:val="7"/>
                <w:szCs w:val="7"/>
                <w:color w:val="auto"/>
              </w:rPr>
            </w:pPr>
          </w:p>
        </w:tc>
        <w:tc>
          <w:tcPr>
            <w:tcW w:w="420" w:type="dxa"/>
            <w:vAlign w:val="bottom"/>
            <w:gridSpan w:val="3"/>
          </w:tcPr>
          <w:p>
            <w:pPr>
              <w:jc w:val="right"/>
              <w:ind w:right="120"/>
              <w:spacing w:after="0" w:line="68" w:lineRule="exact"/>
              <w:rPr>
                <w:sz w:val="20"/>
                <w:szCs w:val="20"/>
                <w:color w:val="auto"/>
              </w:rPr>
            </w:pPr>
            <w:r>
              <w:rPr>
                <w:rFonts w:ascii="Arial" w:cs="Arial" w:eastAsia="Arial" w:hAnsi="Arial"/>
                <w:sz w:val="7"/>
                <w:szCs w:val="7"/>
                <w:b w:val="1"/>
                <w:bCs w:val="1"/>
                <w:color w:val="auto"/>
              </w:rPr>
              <w:t>Sq. Feet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3"/>
          </w:tcPr>
          <w:p>
            <w:pPr>
              <w:jc w:val="right"/>
              <w:ind w:right="180"/>
              <w:spacing w:after="0" w:line="68" w:lineRule="exact"/>
              <w:rPr>
                <w:sz w:val="20"/>
                <w:szCs w:val="20"/>
                <w:color w:val="auto"/>
              </w:rPr>
            </w:pPr>
            <w:r>
              <w:rPr>
                <w:rFonts w:ascii="Arial" w:cs="Arial" w:eastAsia="Arial" w:hAnsi="Arial"/>
                <w:sz w:val="7"/>
                <w:szCs w:val="7"/>
                <w:b w:val="1"/>
                <w:bCs w:val="1"/>
                <w:color w:val="auto"/>
                <w:w w:val="95"/>
              </w:rPr>
              <w:t>Sq. Feet</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Jun-16</w:t>
            </w:r>
          </w:p>
        </w:tc>
        <w:tc>
          <w:tcPr>
            <w:tcW w:w="400" w:type="dxa"/>
            <w:vAlign w:val="bottom"/>
          </w:tcPr>
          <w:p>
            <w:pPr>
              <w:jc w:val="right"/>
              <w:ind w:right="44"/>
              <w:spacing w:after="0" w:line="68" w:lineRule="exact"/>
              <w:rPr>
                <w:sz w:val="20"/>
                <w:szCs w:val="20"/>
                <w:color w:val="auto"/>
              </w:rPr>
            </w:pPr>
            <w:r>
              <w:rPr>
                <w:rFonts w:ascii="Arial" w:cs="Arial" w:eastAsia="Arial" w:hAnsi="Arial"/>
                <w:sz w:val="7"/>
                <w:szCs w:val="7"/>
                <w:b w:val="1"/>
                <w:bCs w:val="1"/>
                <w:color w:val="auto"/>
              </w:rPr>
              <w:t>Mar-16</w:t>
            </w:r>
          </w:p>
        </w:tc>
        <w:tc>
          <w:tcPr>
            <w:tcW w:w="100" w:type="dxa"/>
            <w:vAlign w:val="bottom"/>
          </w:tcPr>
          <w:p>
            <w:pPr>
              <w:spacing w:after="0"/>
              <w:rPr>
                <w:sz w:val="7"/>
                <w:szCs w:val="7"/>
                <w:color w:val="auto"/>
              </w:rPr>
            </w:pPr>
          </w:p>
        </w:tc>
        <w:tc>
          <w:tcPr>
            <w:tcW w:w="560" w:type="dxa"/>
            <w:vAlign w:val="bottom"/>
            <w:gridSpan w:val="3"/>
          </w:tcPr>
          <w:p>
            <w:pPr>
              <w:jc w:val="right"/>
              <w:ind w:right="240"/>
              <w:spacing w:after="0" w:line="68" w:lineRule="exact"/>
              <w:rPr>
                <w:sz w:val="20"/>
                <w:szCs w:val="20"/>
                <w:color w:val="auto"/>
              </w:rPr>
            </w:pPr>
            <w:r>
              <w:rPr>
                <w:rFonts w:ascii="Arial" w:cs="Arial" w:eastAsia="Arial" w:hAnsi="Arial"/>
                <w:sz w:val="7"/>
                <w:szCs w:val="7"/>
                <w:b w:val="1"/>
                <w:bCs w:val="1"/>
                <w:color w:val="auto"/>
              </w:rPr>
              <w:t>Dec-15</w:t>
            </w:r>
          </w:p>
        </w:tc>
        <w:tc>
          <w:tcPr>
            <w:tcW w:w="440" w:type="dxa"/>
            <w:vAlign w:val="bottom"/>
            <w:gridSpan w:val="2"/>
          </w:tcPr>
          <w:p>
            <w:pPr>
              <w:jc w:val="right"/>
              <w:ind w:right="180"/>
              <w:spacing w:after="0" w:line="68" w:lineRule="exact"/>
              <w:rPr>
                <w:sz w:val="20"/>
                <w:szCs w:val="20"/>
                <w:color w:val="auto"/>
              </w:rPr>
            </w:pPr>
            <w:r>
              <w:rPr>
                <w:rFonts w:ascii="Arial" w:cs="Arial" w:eastAsia="Arial" w:hAnsi="Arial"/>
                <w:sz w:val="7"/>
                <w:szCs w:val="7"/>
                <w:b w:val="1"/>
                <w:bCs w:val="1"/>
                <w:color w:val="auto"/>
              </w:rPr>
              <w:t>Sep-15</w:t>
            </w:r>
          </w:p>
        </w:tc>
        <w:tc>
          <w:tcPr>
            <w:tcW w:w="500" w:type="dxa"/>
            <w:vAlign w:val="bottom"/>
            <w:gridSpan w:val="2"/>
          </w:tcPr>
          <w:p>
            <w:pPr>
              <w:jc w:val="right"/>
              <w:ind w:right="180"/>
              <w:spacing w:after="0" w:line="68" w:lineRule="exact"/>
              <w:rPr>
                <w:sz w:val="20"/>
                <w:szCs w:val="20"/>
                <w:color w:val="auto"/>
              </w:rPr>
            </w:pPr>
            <w:r>
              <w:rPr>
                <w:rFonts w:ascii="Arial" w:cs="Arial" w:eastAsia="Arial" w:hAnsi="Arial"/>
                <w:sz w:val="7"/>
                <w:szCs w:val="7"/>
                <w:b w:val="1"/>
                <w:bCs w:val="1"/>
                <w:color w:val="auto"/>
              </w:rPr>
              <w:t>Jun-15</w:t>
            </w:r>
          </w:p>
        </w:tc>
        <w:tc>
          <w:tcPr>
            <w:tcW w:w="60" w:type="dxa"/>
            <w:vAlign w:val="bottom"/>
          </w:tcPr>
          <w:p>
            <w:pPr>
              <w:spacing w:after="0"/>
              <w:rPr>
                <w:sz w:val="7"/>
                <w:szCs w:val="7"/>
                <w:color w:val="auto"/>
              </w:rPr>
            </w:pPr>
          </w:p>
        </w:tc>
        <w:tc>
          <w:tcPr>
            <w:tcW w:w="760" w:type="dxa"/>
            <w:vAlign w:val="bottom"/>
          </w:tcPr>
          <w:p>
            <w:pPr>
              <w:jc w:val="center"/>
              <w:ind w:right="24"/>
              <w:spacing w:after="0" w:line="68" w:lineRule="exact"/>
              <w:rPr>
                <w:sz w:val="20"/>
                <w:szCs w:val="20"/>
                <w:color w:val="auto"/>
              </w:rPr>
            </w:pPr>
            <w:r>
              <w:rPr>
                <w:rFonts w:ascii="Arial" w:cs="Arial" w:eastAsia="Arial" w:hAnsi="Arial"/>
                <w:sz w:val="7"/>
                <w:szCs w:val="7"/>
                <w:b w:val="1"/>
                <w:bCs w:val="1"/>
                <w:color w:val="auto"/>
              </w:rPr>
              <w:t>Cash Rent ($'s)</w:t>
            </w:r>
          </w:p>
        </w:tc>
        <w:tc>
          <w:tcPr>
            <w:tcW w:w="80" w:type="dxa"/>
            <w:vAlign w:val="bottom"/>
          </w:tcPr>
          <w:p>
            <w:pPr>
              <w:spacing w:after="0"/>
              <w:rPr>
                <w:sz w:val="7"/>
                <w:szCs w:val="7"/>
                <w:color w:val="auto"/>
              </w:rPr>
            </w:pPr>
          </w:p>
        </w:tc>
        <w:tc>
          <w:tcPr>
            <w:tcW w:w="720" w:type="dxa"/>
            <w:vAlign w:val="bottom"/>
          </w:tcPr>
          <w:p>
            <w:pPr>
              <w:jc w:val="center"/>
              <w:ind w:right="44"/>
              <w:spacing w:after="0" w:line="68" w:lineRule="exact"/>
              <w:rPr>
                <w:sz w:val="20"/>
                <w:szCs w:val="20"/>
                <w:color w:val="auto"/>
              </w:rPr>
            </w:pPr>
            <w:r>
              <w:rPr>
                <w:rFonts w:ascii="Arial" w:cs="Arial" w:eastAsia="Arial" w:hAnsi="Arial"/>
                <w:sz w:val="7"/>
                <w:szCs w:val="7"/>
                <w:b w:val="1"/>
                <w:bCs w:val="1"/>
                <w:color w:val="auto"/>
              </w:rPr>
              <w:t>Cash Rent (SLG%)</w:t>
            </w:r>
          </w:p>
        </w:tc>
        <w:tc>
          <w:tcPr>
            <w:tcW w:w="80" w:type="dxa"/>
            <w:vAlign w:val="bottom"/>
          </w:tcPr>
          <w:p>
            <w:pPr>
              <w:spacing w:after="0"/>
              <w:rPr>
                <w:sz w:val="7"/>
                <w:szCs w:val="7"/>
                <w:color w:val="auto"/>
              </w:rPr>
            </w:pPr>
          </w:p>
        </w:tc>
        <w:tc>
          <w:tcPr>
            <w:tcW w:w="58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Book Value</w:t>
            </w:r>
          </w:p>
        </w:tc>
        <w:tc>
          <w:tcPr>
            <w:tcW w:w="40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22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"Same Store" Retail</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11 West 34th Street</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30.0</w:t>
            </w:r>
          </w:p>
        </w:tc>
        <w:tc>
          <w:tcPr>
            <w:tcW w:w="10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Herald Square/Penn Station</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7"/>
                <w:szCs w:val="17"/>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17,150</w:t>
            </w:r>
          </w:p>
        </w:tc>
        <w:tc>
          <w:tcPr>
            <w:tcW w:w="80" w:type="dxa"/>
            <w:vAlign w:val="bottom"/>
          </w:tcPr>
          <w:p>
            <w:pPr>
              <w:spacing w:after="0"/>
              <w:rPr>
                <w:sz w:val="17"/>
                <w:szCs w:val="17"/>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2,586,670</w:t>
            </w:r>
          </w:p>
        </w:tc>
        <w:tc>
          <w:tcPr>
            <w:tcW w:w="80" w:type="dxa"/>
            <w:vAlign w:val="bottom"/>
          </w:tcPr>
          <w:p>
            <w:pPr>
              <w:spacing w:after="0"/>
              <w:rPr>
                <w:sz w:val="17"/>
                <w:szCs w:val="17"/>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1.1</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15,482,404</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19-21 East 65th Street (1)</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90.0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Leasehold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2</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23,610</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77.5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77.5</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60.5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66.0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66.0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1,145,068</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7,550,881</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21 East 66th Street</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32.3</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13,069</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3,672,295</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1.7</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81,646,928</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121</w:t>
            </w:r>
          </w:p>
        </w:tc>
        <w:tc>
          <w:tcPr>
            <w:tcW w:w="108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50.0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Soho</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7,131</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1,369,639</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28,255,044</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315</w:t>
            </w:r>
          </w:p>
        </w:tc>
        <w:tc>
          <w:tcPr>
            <w:tcW w:w="1080" w:type="dxa"/>
            <w:vAlign w:val="bottom"/>
            <w:gridSpan w:val="2"/>
          </w:tcPr>
          <w:p>
            <w:pPr>
              <w:spacing w:after="0"/>
              <w:rPr>
                <w:sz w:val="20"/>
                <w:szCs w:val="20"/>
                <w:color w:val="auto"/>
              </w:rPr>
            </w:pPr>
            <w:r>
              <w:rPr>
                <w:rFonts w:ascii="Arial" w:cs="Arial" w:eastAsia="Arial" w:hAnsi="Arial"/>
                <w:sz w:val="7"/>
                <w:szCs w:val="7"/>
                <w:color w:val="auto"/>
              </w:rPr>
              <w:t>West 33rd Street - The Olivia</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Penn Station</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270,132</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33.0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14,903,527</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21.1</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215,650,986</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717</w:t>
            </w:r>
          </w:p>
        </w:tc>
        <w:tc>
          <w:tcPr>
            <w:tcW w:w="10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10.9</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Midtown/Plaza District</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119,550</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15.0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81.1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39,634,729</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6.1</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279,917,006</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724</w:t>
            </w:r>
          </w:p>
        </w:tc>
        <w:tc>
          <w:tcPr>
            <w:tcW w:w="10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50.0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65,010</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8.0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90.1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83.1</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22,678,212</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16.0</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226,658,547</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752-760 Madison Avenue</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21,124</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12,954,824</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18.3</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295,426,572</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762</w:t>
            </w:r>
          </w:p>
        </w:tc>
        <w:tc>
          <w:tcPr>
            <w:tcW w:w="1080" w:type="dxa"/>
            <w:vAlign w:val="bottom"/>
            <w:gridSpan w:val="2"/>
          </w:tcPr>
          <w:p>
            <w:pPr>
              <w:spacing w:after="0"/>
              <w:rPr>
                <w:sz w:val="20"/>
                <w:szCs w:val="20"/>
                <w:color w:val="auto"/>
              </w:rPr>
            </w:pPr>
            <w:r>
              <w:rPr>
                <w:rFonts w:ascii="Arial" w:cs="Arial" w:eastAsia="Arial" w:hAnsi="Arial"/>
                <w:sz w:val="7"/>
                <w:szCs w:val="7"/>
                <w:color w:val="auto"/>
              </w:rPr>
              <w:t>Madison Avenue (1)</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90.0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6,109</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1,786,880</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2.3</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16,704,723</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Williamsburg Terrace</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52,000</w:t>
            </w:r>
          </w:p>
        </w:tc>
        <w:tc>
          <w:tcPr>
            <w:tcW w:w="80" w:type="dxa"/>
            <w:vAlign w:val="bottom"/>
          </w:tcPr>
          <w:p>
            <w:pPr>
              <w:spacing w:after="0"/>
              <w:rPr>
                <w:sz w:val="19"/>
                <w:szCs w:val="19"/>
                <w:color w:val="auto"/>
              </w:rPr>
            </w:pPr>
          </w:p>
        </w:tc>
        <w:tc>
          <w:tcPr>
            <w:tcW w:w="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6.0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1,786,484</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2.5</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16,357,696</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4"/>
          </w:tcPr>
          <w:p>
            <w:pPr>
              <w:ind w:left="280"/>
              <w:spacing w:after="0"/>
              <w:rPr>
                <w:sz w:val="20"/>
                <w:szCs w:val="20"/>
                <w:color w:val="auto"/>
              </w:rPr>
            </w:pPr>
            <w:r>
              <w:rPr>
                <w:rFonts w:ascii="Arial" w:cs="Arial" w:eastAsia="Arial" w:hAnsi="Arial"/>
                <w:sz w:val="7"/>
                <w:szCs w:val="7"/>
                <w:b w:val="1"/>
                <w:bCs w:val="1"/>
                <w:color w:val="auto"/>
              </w:rPr>
              <w:t>Subtotal/Weighted Average</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gridSpan w:val="2"/>
          </w:tcPr>
          <w:p>
            <w:pPr>
              <w:jc w:val="center"/>
              <w:spacing w:after="0"/>
              <w:rPr>
                <w:sz w:val="20"/>
                <w:szCs w:val="20"/>
                <w:color w:val="auto"/>
              </w:rPr>
            </w:pPr>
            <w:r>
              <w:rPr>
                <w:rFonts w:ascii="Arial" w:cs="Arial" w:eastAsia="Arial" w:hAnsi="Arial"/>
                <w:sz w:val="7"/>
                <w:szCs w:val="7"/>
                <w:b w:val="1"/>
                <w:bCs w:val="1"/>
                <w:color w:val="auto"/>
              </w:rPr>
              <w:t>11</w:t>
            </w:r>
          </w:p>
        </w:tc>
        <w:tc>
          <w:tcPr>
            <w:tcW w:w="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594,885</w:t>
            </w:r>
          </w:p>
        </w:tc>
        <w:tc>
          <w:tcPr>
            <w:tcW w:w="80" w:type="dxa"/>
            <w:vAlign w:val="bottom"/>
          </w:tcPr>
          <w:p>
            <w:pPr>
              <w:spacing w:after="0"/>
              <w:rPr>
                <w:sz w:val="16"/>
                <w:szCs w:val="16"/>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7"/>
                <w:szCs w:val="7"/>
                <w:b w:val="1"/>
                <w:bCs w:val="1"/>
                <w:color w:val="auto"/>
              </w:rPr>
              <w:t>73.0%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94.2%</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94.3%</w:t>
            </w:r>
          </w:p>
        </w:tc>
        <w:tc>
          <w:tcPr>
            <w:tcW w:w="52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93.6%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ind w:right="4"/>
              <w:spacing w:after="0"/>
              <w:rPr>
                <w:sz w:val="20"/>
                <w:szCs w:val="20"/>
                <w:color w:val="auto"/>
              </w:rPr>
            </w:pPr>
            <w:r>
              <w:rPr>
                <w:rFonts w:ascii="Arial" w:cs="Arial" w:eastAsia="Arial" w:hAnsi="Arial"/>
                <w:sz w:val="7"/>
                <w:szCs w:val="7"/>
                <w:b w:val="1"/>
                <w:bCs w:val="1"/>
                <w:color w:val="auto"/>
              </w:rPr>
              <w:t>93.8%</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94.7%</w:t>
            </w:r>
          </w:p>
        </w:tc>
        <w:tc>
          <w:tcPr>
            <w:tcW w:w="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102,518,328</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71.5%</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1,183,650,787</w:t>
            </w:r>
          </w:p>
        </w:tc>
        <w:tc>
          <w:tcPr>
            <w:tcW w:w="400" w:type="dxa"/>
            <w:vAlign w:val="bottom"/>
          </w:tcPr>
          <w:p>
            <w:pPr>
              <w:jc w:val="right"/>
              <w:ind w:right="4"/>
              <w:spacing w:after="0"/>
              <w:rPr>
                <w:sz w:val="20"/>
                <w:szCs w:val="20"/>
                <w:color w:val="auto"/>
              </w:rPr>
            </w:pPr>
            <w:r>
              <w:rPr>
                <w:rFonts w:ascii="Arial" w:cs="Arial" w:eastAsia="Arial" w:hAnsi="Arial"/>
                <w:sz w:val="7"/>
                <w:szCs w:val="7"/>
                <w:b w:val="1"/>
                <w:bCs w:val="1"/>
                <w:color w:val="auto"/>
              </w:rPr>
              <w:t>52</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"Non Same Store" Retail</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5-7 Dey Street</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7"/>
                <w:szCs w:val="17"/>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70,000</w:t>
            </w:r>
          </w:p>
        </w:tc>
        <w:tc>
          <w:tcPr>
            <w:tcW w:w="80" w:type="dxa"/>
            <w:vAlign w:val="bottom"/>
          </w:tcPr>
          <w:p>
            <w:pPr>
              <w:spacing w:after="0"/>
              <w:rPr>
                <w:sz w:val="17"/>
                <w:szCs w:val="17"/>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9.0</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59.4</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69.6</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75.4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90.0</w:t>
            </w:r>
          </w:p>
        </w:tc>
        <w:tc>
          <w:tcPr>
            <w:tcW w:w="8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60" w:type="dxa"/>
            <w:vAlign w:val="bottom"/>
          </w:tcPr>
          <w:p>
            <w:pPr>
              <w:jc w:val="right"/>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1,490,427</w:t>
            </w:r>
          </w:p>
        </w:tc>
        <w:tc>
          <w:tcPr>
            <w:tcW w:w="80" w:type="dxa"/>
            <w:vAlign w:val="bottom"/>
          </w:tcPr>
          <w:p>
            <w:pPr>
              <w:spacing w:after="0"/>
              <w:rPr>
                <w:sz w:val="17"/>
                <w:szCs w:val="17"/>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2.1</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49,708,863</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22</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183</w:t>
            </w:r>
          </w:p>
        </w:tc>
        <w:tc>
          <w:tcPr>
            <w:tcW w:w="1080" w:type="dxa"/>
            <w:vAlign w:val="bottom"/>
            <w:gridSpan w:val="2"/>
          </w:tcPr>
          <w:p>
            <w:pPr>
              <w:spacing w:after="0"/>
              <w:rPr>
                <w:sz w:val="20"/>
                <w:szCs w:val="20"/>
                <w:color w:val="auto"/>
              </w:rPr>
            </w:pPr>
            <w:r>
              <w:rPr>
                <w:rFonts w:ascii="Arial" w:cs="Arial" w:eastAsia="Arial" w:hAnsi="Arial"/>
                <w:sz w:val="7"/>
                <w:szCs w:val="7"/>
                <w:color w:val="auto"/>
              </w:rPr>
              <w:t>Broadway</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9,100</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58.3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58.3</w:t>
            </w:r>
          </w:p>
        </w:tc>
        <w:tc>
          <w:tcPr>
            <w:tcW w:w="10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7"/>
                <w:szCs w:val="7"/>
                <w:color w:val="auto"/>
              </w:rPr>
              <w:t>N/A</w:t>
            </w:r>
          </w:p>
        </w:tc>
        <w:tc>
          <w:tcPr>
            <w:tcW w:w="44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447,420</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0.6</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29,600,000</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187</w:t>
            </w:r>
          </w:p>
        </w:tc>
        <w:tc>
          <w:tcPr>
            <w:tcW w:w="1080" w:type="dxa"/>
            <w:vAlign w:val="bottom"/>
            <w:gridSpan w:val="2"/>
          </w:tcPr>
          <w:p>
            <w:pPr>
              <w:spacing w:after="0"/>
              <w:rPr>
                <w:sz w:val="20"/>
                <w:szCs w:val="20"/>
                <w:color w:val="auto"/>
              </w:rPr>
            </w:pPr>
            <w:r>
              <w:rPr>
                <w:rFonts w:ascii="Arial" w:cs="Arial" w:eastAsia="Arial" w:hAnsi="Arial"/>
                <w:sz w:val="7"/>
                <w:szCs w:val="7"/>
                <w:color w:val="auto"/>
              </w:rPr>
              <w:t>Broadway</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3,600</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625,900</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13,447,452</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102</w:t>
            </w:r>
          </w:p>
        </w:tc>
        <w:tc>
          <w:tcPr>
            <w:tcW w:w="108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Soho</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9,200</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360,000</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34,586,359</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115</w:t>
            </w:r>
          </w:p>
        </w:tc>
        <w:tc>
          <w:tcPr>
            <w:tcW w:w="1080" w:type="dxa"/>
            <w:vAlign w:val="bottom"/>
            <w:gridSpan w:val="2"/>
          </w:tcPr>
          <w:p>
            <w:pPr>
              <w:spacing w:after="0"/>
              <w:rPr>
                <w:sz w:val="20"/>
                <w:szCs w:val="20"/>
                <w:color w:val="auto"/>
              </w:rPr>
            </w:pPr>
            <w:r>
              <w:rPr>
                <w:rFonts w:ascii="Arial" w:cs="Arial" w:eastAsia="Arial" w:hAnsi="Arial"/>
                <w:sz w:val="7"/>
                <w:szCs w:val="7"/>
                <w:color w:val="auto"/>
              </w:rPr>
              <w:t>Spring Street</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Soho</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5,218</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2,800,000</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4.0</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53,606,046</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131-137 Spring Street</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20.0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Soho</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2</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68,342</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8.0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93.9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11,676,003</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3.3</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277,736,039</w:t>
            </w:r>
          </w:p>
        </w:tc>
        <w:tc>
          <w:tcPr>
            <w:tcW w:w="40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1552-1560 Broadway</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50.0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2</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57,718</w:t>
            </w:r>
          </w:p>
        </w:tc>
        <w:tc>
          <w:tcPr>
            <w:tcW w:w="80" w:type="dxa"/>
            <w:vAlign w:val="bottom"/>
          </w:tcPr>
          <w:p>
            <w:pPr>
              <w:spacing w:after="0"/>
              <w:rPr>
                <w:sz w:val="19"/>
                <w:szCs w:val="19"/>
                <w:color w:val="auto"/>
              </w:rPr>
            </w:pPr>
          </w:p>
        </w:tc>
        <w:tc>
          <w:tcPr>
            <w:tcW w:w="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7.0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24,252,528</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17.1</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254,797,584</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4"/>
          </w:tcPr>
          <w:p>
            <w:pPr>
              <w:ind w:left="280"/>
              <w:spacing w:after="0"/>
              <w:rPr>
                <w:sz w:val="20"/>
                <w:szCs w:val="20"/>
                <w:color w:val="auto"/>
              </w:rPr>
            </w:pPr>
            <w:r>
              <w:rPr>
                <w:rFonts w:ascii="Arial" w:cs="Arial" w:eastAsia="Arial" w:hAnsi="Arial"/>
                <w:sz w:val="7"/>
                <w:szCs w:val="7"/>
                <w:b w:val="1"/>
                <w:bCs w:val="1"/>
                <w:color w:val="auto"/>
              </w:rPr>
              <w:t>Subtotal/Weighted Average</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gridSpan w:val="2"/>
          </w:tcPr>
          <w:p>
            <w:pPr>
              <w:jc w:val="center"/>
              <w:spacing w:after="0"/>
              <w:rPr>
                <w:sz w:val="20"/>
                <w:szCs w:val="20"/>
                <w:color w:val="auto"/>
              </w:rPr>
            </w:pPr>
            <w:r>
              <w:rPr>
                <w:rFonts w:ascii="Arial" w:cs="Arial" w:eastAsia="Arial" w:hAnsi="Arial"/>
                <w:sz w:val="7"/>
                <w:szCs w:val="7"/>
                <w:b w:val="1"/>
                <w:bCs w:val="1"/>
                <w:color w:val="auto"/>
              </w:rPr>
              <w:t>9</w:t>
            </w:r>
          </w:p>
        </w:tc>
        <w:tc>
          <w:tcPr>
            <w:tcW w:w="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223,178</w:t>
            </w:r>
          </w:p>
        </w:tc>
        <w:tc>
          <w:tcPr>
            <w:tcW w:w="80" w:type="dxa"/>
            <w:vAlign w:val="bottom"/>
          </w:tcPr>
          <w:p>
            <w:pPr>
              <w:spacing w:after="0"/>
              <w:rPr>
                <w:sz w:val="16"/>
                <w:szCs w:val="16"/>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7"/>
                <w:szCs w:val="7"/>
                <w:b w:val="1"/>
                <w:bCs w:val="1"/>
                <w:color w:val="auto"/>
              </w:rPr>
              <w:t>27.0%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73.4%</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74.4%</w:t>
            </w:r>
          </w:p>
        </w:tc>
        <w:tc>
          <w:tcPr>
            <w:tcW w:w="52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79.3%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ind w:right="4"/>
              <w:spacing w:after="0"/>
              <w:rPr>
                <w:sz w:val="20"/>
                <w:szCs w:val="20"/>
                <w:color w:val="auto"/>
              </w:rPr>
            </w:pPr>
            <w:r>
              <w:rPr>
                <w:rFonts w:ascii="Arial" w:cs="Arial" w:eastAsia="Arial" w:hAnsi="Arial"/>
                <w:sz w:val="7"/>
                <w:szCs w:val="7"/>
                <w:b w:val="1"/>
                <w:bCs w:val="1"/>
                <w:color w:val="auto"/>
              </w:rPr>
              <w:t>86.0%</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83.7%</w:t>
            </w:r>
          </w:p>
        </w:tc>
        <w:tc>
          <w:tcPr>
            <w:tcW w:w="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41,652,278</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28.5%</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713,482,343</w:t>
            </w:r>
          </w:p>
        </w:tc>
        <w:tc>
          <w:tcPr>
            <w:tcW w:w="400" w:type="dxa"/>
            <w:vAlign w:val="bottom"/>
          </w:tcPr>
          <w:p>
            <w:pPr>
              <w:jc w:val="right"/>
              <w:ind w:right="4"/>
              <w:spacing w:after="0"/>
              <w:rPr>
                <w:sz w:val="20"/>
                <w:szCs w:val="20"/>
                <w:color w:val="auto"/>
              </w:rPr>
            </w:pPr>
            <w:r>
              <w:rPr>
                <w:rFonts w:ascii="Arial" w:cs="Arial" w:eastAsia="Arial" w:hAnsi="Arial"/>
                <w:sz w:val="7"/>
                <w:szCs w:val="7"/>
                <w:b w:val="1"/>
                <w:bCs w:val="1"/>
                <w:color w:val="auto"/>
              </w:rPr>
              <w:t>39</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840" w:type="dxa"/>
            <w:vAlign w:val="bottom"/>
            <w:gridSpan w:val="6"/>
          </w:tcPr>
          <w:p>
            <w:pPr>
              <w:spacing w:after="0"/>
              <w:rPr>
                <w:sz w:val="20"/>
                <w:szCs w:val="20"/>
                <w:color w:val="auto"/>
              </w:rPr>
            </w:pPr>
            <w:r>
              <w:rPr>
                <w:rFonts w:ascii="Arial" w:cs="Arial" w:eastAsia="Arial" w:hAnsi="Arial"/>
                <w:sz w:val="7"/>
                <w:szCs w:val="7"/>
                <w:b w:val="1"/>
                <w:bCs w:val="1"/>
                <w:color w:val="auto"/>
              </w:rPr>
              <w:t>Total / Weighted Average Retail Properties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7"/>
                <w:szCs w:val="7"/>
                <w:b w:val="1"/>
                <w:bCs w:val="1"/>
                <w:color w:val="auto"/>
              </w:rPr>
              <w:t>20</w:t>
            </w:r>
          </w:p>
        </w:tc>
        <w:tc>
          <w:tcPr>
            <w:tcW w:w="60" w:type="dxa"/>
            <w:vAlign w:val="bottom"/>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818,063</w:t>
            </w:r>
          </w:p>
        </w:tc>
        <w:tc>
          <w:tcPr>
            <w:tcW w:w="8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88.6%</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88.8%</w:t>
            </w:r>
          </w:p>
        </w:tc>
        <w:tc>
          <w:tcPr>
            <w:tcW w:w="52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89.8%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4"/>
              <w:spacing w:after="0"/>
              <w:rPr>
                <w:sz w:val="20"/>
                <w:szCs w:val="20"/>
                <w:color w:val="auto"/>
              </w:rPr>
            </w:pPr>
            <w:r>
              <w:rPr>
                <w:rFonts w:ascii="Arial" w:cs="Arial" w:eastAsia="Arial" w:hAnsi="Arial"/>
                <w:sz w:val="7"/>
                <w:szCs w:val="7"/>
                <w:b w:val="1"/>
                <w:bCs w:val="1"/>
                <w:color w:val="auto"/>
              </w:rPr>
              <w:t>91.7%</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92.6%</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144,170,605</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1,897,133,131</w:t>
            </w:r>
          </w:p>
        </w:tc>
        <w:tc>
          <w:tcPr>
            <w:tcW w:w="400" w:type="dxa"/>
            <w:vAlign w:val="bottom"/>
          </w:tcPr>
          <w:p>
            <w:pPr>
              <w:jc w:val="right"/>
              <w:ind w:right="4"/>
              <w:spacing w:after="0"/>
              <w:rPr>
                <w:sz w:val="20"/>
                <w:szCs w:val="20"/>
                <w:color w:val="auto"/>
              </w:rPr>
            </w:pPr>
            <w:r>
              <w:rPr>
                <w:rFonts w:ascii="Arial" w:cs="Arial" w:eastAsia="Arial" w:hAnsi="Arial"/>
                <w:sz w:val="7"/>
                <w:szCs w:val="7"/>
                <w:b w:val="1"/>
                <w:bCs w:val="1"/>
                <w:color w:val="auto"/>
              </w:rPr>
              <w:t>91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shd w:val="clear" w:color="auto" w:fill="00497F"/>
          </w:tcPr>
          <w:p>
            <w:pPr>
              <w:spacing w:after="0"/>
              <w:rPr>
                <w:sz w:val="8"/>
                <w:szCs w:val="8"/>
                <w:color w:val="auto"/>
              </w:rPr>
            </w:pPr>
          </w:p>
        </w:tc>
        <w:tc>
          <w:tcPr>
            <w:tcW w:w="360" w:type="dxa"/>
            <w:vAlign w:val="bottom"/>
            <w:gridSpan w:val="2"/>
            <w:shd w:val="clear" w:color="auto" w:fill="00497F"/>
          </w:tcPr>
          <w:p>
            <w:pPr>
              <w:spacing w:after="0"/>
              <w:rPr>
                <w:sz w:val="8"/>
                <w:szCs w:val="8"/>
                <w:color w:val="auto"/>
              </w:rPr>
            </w:pPr>
          </w:p>
        </w:tc>
        <w:tc>
          <w:tcPr>
            <w:tcW w:w="860" w:type="dxa"/>
            <w:vAlign w:val="bottom"/>
            <w:shd w:val="clear" w:color="auto" w:fill="00497F"/>
          </w:tcPr>
          <w:p>
            <w:pPr>
              <w:spacing w:after="0"/>
              <w:rPr>
                <w:sz w:val="8"/>
                <w:szCs w:val="8"/>
                <w:color w:val="auto"/>
              </w:rPr>
            </w:pPr>
          </w:p>
        </w:tc>
        <w:tc>
          <w:tcPr>
            <w:tcW w:w="14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360" w:type="dxa"/>
            <w:vAlign w:val="bottom"/>
            <w:shd w:val="clear" w:color="auto" w:fill="00497F"/>
          </w:tcPr>
          <w:p>
            <w:pPr>
              <w:spacing w:after="0"/>
              <w:rPr>
                <w:sz w:val="8"/>
                <w:szCs w:val="8"/>
                <w:color w:val="auto"/>
              </w:rPr>
            </w:pPr>
          </w:p>
        </w:tc>
        <w:tc>
          <w:tcPr>
            <w:tcW w:w="56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360" w:type="dxa"/>
            <w:vAlign w:val="bottom"/>
            <w:shd w:val="clear" w:color="auto" w:fill="00497F"/>
          </w:tcPr>
          <w:p>
            <w:pPr>
              <w:spacing w:after="0"/>
              <w:rPr>
                <w:sz w:val="8"/>
                <w:szCs w:val="8"/>
                <w:color w:val="auto"/>
              </w:rPr>
            </w:pPr>
          </w:p>
        </w:tc>
        <w:tc>
          <w:tcPr>
            <w:tcW w:w="28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20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30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28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42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36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42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76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72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58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Residential Properties</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7"/>
                <w:szCs w:val="7"/>
                <w:b w:val="1"/>
                <w:bCs w:val="1"/>
                <w:color w:val="auto"/>
              </w:rPr>
              <w:t># of</w:t>
            </w:r>
          </w:p>
        </w:tc>
        <w:tc>
          <w:tcPr>
            <w:tcW w:w="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Useable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ind w:left="60"/>
              <w:spacing w:after="0"/>
              <w:rPr>
                <w:sz w:val="20"/>
                <w:szCs w:val="20"/>
                <w:color w:val="auto"/>
              </w:rPr>
            </w:pPr>
            <w:r>
              <w:rPr>
                <w:rFonts w:ascii="Arial" w:cs="Arial" w:eastAsia="Arial" w:hAnsi="Arial"/>
                <w:sz w:val="7"/>
                <w:szCs w:val="7"/>
                <w:b w:val="1"/>
                <w:bCs w:val="1"/>
                <w:color w:val="auto"/>
              </w:rPr>
              <w:t>Occupancy (%)</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center"/>
              <w:ind w:right="44"/>
              <w:spacing w:after="0"/>
              <w:rPr>
                <w:sz w:val="20"/>
                <w:szCs w:val="20"/>
                <w:color w:val="auto"/>
              </w:rPr>
            </w:pPr>
            <w:r>
              <w:rPr>
                <w:rFonts w:ascii="Arial" w:cs="Arial" w:eastAsia="Arial" w:hAnsi="Arial"/>
                <w:sz w:val="7"/>
                <w:szCs w:val="7"/>
                <w:b w:val="1"/>
                <w:bCs w:val="1"/>
                <w:color w:val="auto"/>
              </w:rPr>
              <w:t xml:space="preserve">Average Monthly </w:t>
            </w:r>
            <w:r>
              <w:rPr>
                <w:rFonts w:ascii="Arial" w:cs="Arial" w:eastAsia="Arial" w:hAnsi="Arial"/>
                <w:sz w:val="6"/>
                <w:szCs w:val="6"/>
                <w:b w:val="1"/>
                <w:bCs w:val="1"/>
                <w:color w:val="auto"/>
              </w:rPr>
              <w:t>(2)</w:t>
            </w:r>
          </w:p>
        </w:tc>
        <w:tc>
          <w:tcPr>
            <w:tcW w:w="80" w:type="dxa"/>
            <w:vAlign w:val="bottom"/>
          </w:tcPr>
          <w:p>
            <w:pPr>
              <w:spacing w:after="0"/>
              <w:rPr>
                <w:sz w:val="18"/>
                <w:szCs w:val="18"/>
                <w:color w:val="auto"/>
              </w:rPr>
            </w:pPr>
          </w:p>
        </w:tc>
        <w:tc>
          <w:tcPr>
            <w:tcW w:w="720" w:type="dxa"/>
            <w:vAlign w:val="bottom"/>
          </w:tcPr>
          <w:p>
            <w:pPr>
              <w:jc w:val="center"/>
              <w:ind w:right="44"/>
              <w:spacing w:after="0"/>
              <w:rPr>
                <w:sz w:val="20"/>
                <w:szCs w:val="20"/>
                <w:color w:val="auto"/>
              </w:rPr>
            </w:pPr>
            <w:r>
              <w:rPr>
                <w:rFonts w:ascii="Arial" w:cs="Arial" w:eastAsia="Arial" w:hAnsi="Arial"/>
                <w:sz w:val="7"/>
                <w:szCs w:val="7"/>
                <w:b w:val="1"/>
                <w:bCs w:val="1"/>
                <w:color w:val="auto"/>
              </w:rPr>
              <w:t>Annualized</w:t>
            </w:r>
          </w:p>
        </w:tc>
        <w:tc>
          <w:tcPr>
            <w:tcW w:w="80" w:type="dxa"/>
            <w:vAlign w:val="bottom"/>
          </w:tcPr>
          <w:p>
            <w:pPr>
              <w:spacing w:after="0"/>
              <w:rPr>
                <w:sz w:val="18"/>
                <w:szCs w:val="18"/>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Gross Total RE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80"/>
              <w:spacing w:after="0"/>
              <w:rPr>
                <w:sz w:val="20"/>
                <w:szCs w:val="20"/>
                <w:color w:val="auto"/>
              </w:rPr>
            </w:pPr>
            <w:r>
              <w:rPr>
                <w:rFonts w:ascii="Arial" w:cs="Arial" w:eastAsia="Arial" w:hAnsi="Arial"/>
                <w:sz w:val="7"/>
                <w:szCs w:val="7"/>
                <w:b w:val="1"/>
                <w:bCs w:val="1"/>
                <w:color w:val="auto"/>
              </w:rPr>
              <w:t>Jun-16</w:t>
            </w:r>
          </w:p>
        </w:tc>
        <w:tc>
          <w:tcPr>
            <w:tcW w:w="400" w:type="dxa"/>
            <w:vAlign w:val="bottom"/>
          </w:tcPr>
          <w:p>
            <w:pPr>
              <w:jc w:val="right"/>
              <w:ind w:right="44"/>
              <w:spacing w:after="0"/>
              <w:rPr>
                <w:sz w:val="20"/>
                <w:szCs w:val="20"/>
                <w:color w:val="auto"/>
              </w:rPr>
            </w:pPr>
            <w:r>
              <w:rPr>
                <w:rFonts w:ascii="Arial" w:cs="Arial" w:eastAsia="Arial" w:hAnsi="Arial"/>
                <w:sz w:val="7"/>
                <w:szCs w:val="7"/>
                <w:b w:val="1"/>
                <w:bCs w:val="1"/>
                <w:color w:val="auto"/>
              </w:rPr>
              <w:t>Mar-16</w:t>
            </w:r>
          </w:p>
        </w:tc>
        <w:tc>
          <w:tcPr>
            <w:tcW w:w="100" w:type="dxa"/>
            <w:vAlign w:val="bottom"/>
          </w:tcPr>
          <w:p>
            <w:pPr>
              <w:spacing w:after="0"/>
              <w:rPr>
                <w:sz w:val="9"/>
                <w:szCs w:val="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7"/>
                <w:szCs w:val="7"/>
                <w:b w:val="1"/>
                <w:bCs w:val="1"/>
                <w:color w:val="auto"/>
              </w:rPr>
              <w:t>Dec-15</w:t>
            </w: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Sep-15</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Jun-15</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20" w:type="dxa"/>
            <w:vAlign w:val="bottom"/>
            <w:gridSpan w:val="3"/>
          </w:tcPr>
          <w:p>
            <w:pPr>
              <w:spacing w:after="0"/>
              <w:rPr>
                <w:sz w:val="20"/>
                <w:szCs w:val="20"/>
                <w:color w:val="auto"/>
              </w:rPr>
            </w:pPr>
            <w:r>
              <w:rPr>
                <w:rFonts w:ascii="Arial" w:cs="Arial" w:eastAsia="Arial" w:hAnsi="Arial"/>
                <w:sz w:val="7"/>
                <w:szCs w:val="7"/>
                <w:b w:val="1"/>
                <w:bCs w:val="1"/>
                <w:color w:val="auto"/>
              </w:rPr>
              <w:t>Properties</w:t>
            </w:r>
          </w:p>
        </w:tc>
        <w:tc>
          <w:tcPr>
            <w:tcW w:w="620" w:type="dxa"/>
            <w:vAlign w:val="bottom"/>
            <w:gridSpan w:val="3"/>
          </w:tcPr>
          <w:p>
            <w:pPr>
              <w:jc w:val="center"/>
              <w:ind w:left="4"/>
              <w:spacing w:after="0"/>
              <w:rPr>
                <w:sz w:val="20"/>
                <w:szCs w:val="20"/>
                <w:color w:val="auto"/>
              </w:rPr>
            </w:pPr>
            <w:r>
              <w:rPr>
                <w:rFonts w:ascii="Arial" w:cs="Arial" w:eastAsia="Arial" w:hAnsi="Arial"/>
                <w:sz w:val="7"/>
                <w:szCs w:val="7"/>
                <w:b w:val="1"/>
                <w:bCs w:val="1"/>
                <w:color w:val="auto"/>
                <w:w w:val="99"/>
              </w:rPr>
              <w:t>Interest (%)</w:t>
            </w:r>
          </w:p>
        </w:tc>
        <w:tc>
          <w:tcPr>
            <w:tcW w:w="920" w:type="dxa"/>
            <w:vAlign w:val="bottom"/>
            <w:gridSpan w:val="2"/>
          </w:tcPr>
          <w:p>
            <w:pPr>
              <w:spacing w:after="0"/>
              <w:rPr>
                <w:sz w:val="20"/>
                <w:szCs w:val="20"/>
                <w:color w:val="auto"/>
              </w:rPr>
            </w:pPr>
            <w:r>
              <w:rPr>
                <w:rFonts w:ascii="Arial" w:cs="Arial" w:eastAsia="Arial" w:hAnsi="Arial"/>
                <w:sz w:val="7"/>
                <w:szCs w:val="7"/>
                <w:b w:val="1"/>
                <w:bCs w:val="1"/>
                <w:color w:val="auto"/>
              </w:rPr>
              <w:t>SubMarket</w:t>
            </w:r>
          </w:p>
        </w:tc>
        <w:tc>
          <w:tcPr>
            <w:tcW w:w="680" w:type="dxa"/>
            <w:vAlign w:val="bottom"/>
            <w:gridSpan w:val="3"/>
          </w:tcPr>
          <w:p>
            <w:pPr>
              <w:ind w:left="40"/>
              <w:spacing w:after="0"/>
              <w:rPr>
                <w:sz w:val="20"/>
                <w:szCs w:val="20"/>
                <w:color w:val="auto"/>
              </w:rPr>
            </w:pPr>
            <w:r>
              <w:rPr>
                <w:rFonts w:ascii="Arial" w:cs="Arial" w:eastAsia="Arial" w:hAnsi="Arial"/>
                <w:sz w:val="7"/>
                <w:szCs w:val="7"/>
                <w:b w:val="1"/>
                <w:bCs w:val="1"/>
                <w:color w:val="auto"/>
              </w:rPr>
              <w:t>Ownership</w:t>
            </w:r>
          </w:p>
        </w:tc>
        <w:tc>
          <w:tcPr>
            <w:tcW w:w="32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Bldgs</w:t>
            </w:r>
          </w:p>
        </w:tc>
        <w:tc>
          <w:tcPr>
            <w:tcW w:w="60" w:type="dxa"/>
            <w:vAlign w:val="bottom"/>
          </w:tcPr>
          <w:p>
            <w:pPr>
              <w:spacing w:after="0"/>
              <w:rPr>
                <w:sz w:val="7"/>
                <w:szCs w:val="7"/>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Sq. Feet</w:t>
            </w:r>
          </w:p>
        </w:tc>
        <w:tc>
          <w:tcPr>
            <w:tcW w:w="60" w:type="dxa"/>
            <w:vAlign w:val="bottom"/>
          </w:tcPr>
          <w:p>
            <w:pPr>
              <w:spacing w:after="0"/>
              <w:rPr>
                <w:sz w:val="7"/>
                <w:szCs w:val="7"/>
                <w:color w:val="auto"/>
              </w:rPr>
            </w:pPr>
          </w:p>
        </w:tc>
        <w:tc>
          <w:tcPr>
            <w:tcW w:w="54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w w:val="93"/>
              </w:rPr>
              <w:t>Total Units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jc w:val="center"/>
              <w:ind w:right="24"/>
              <w:spacing w:after="0"/>
              <w:rPr>
                <w:sz w:val="20"/>
                <w:szCs w:val="20"/>
                <w:color w:val="auto"/>
              </w:rPr>
            </w:pPr>
            <w:r>
              <w:rPr>
                <w:rFonts w:ascii="Arial" w:cs="Arial" w:eastAsia="Arial" w:hAnsi="Arial"/>
                <w:sz w:val="7"/>
                <w:szCs w:val="7"/>
                <w:b w:val="1"/>
                <w:bCs w:val="1"/>
                <w:color w:val="auto"/>
              </w:rPr>
              <w:t>Rent Per Unit ($'s)</w:t>
            </w:r>
          </w:p>
        </w:tc>
        <w:tc>
          <w:tcPr>
            <w:tcW w:w="80" w:type="dxa"/>
            <w:vAlign w:val="bottom"/>
          </w:tcPr>
          <w:p>
            <w:pPr>
              <w:spacing w:after="0"/>
              <w:rPr>
                <w:sz w:val="7"/>
                <w:szCs w:val="7"/>
                <w:color w:val="auto"/>
              </w:rPr>
            </w:pPr>
          </w:p>
        </w:tc>
        <w:tc>
          <w:tcPr>
            <w:tcW w:w="720" w:type="dxa"/>
            <w:vAlign w:val="bottom"/>
          </w:tcPr>
          <w:p>
            <w:pPr>
              <w:jc w:val="center"/>
              <w:ind w:right="44"/>
              <w:spacing w:after="0"/>
              <w:rPr>
                <w:sz w:val="20"/>
                <w:szCs w:val="20"/>
                <w:color w:val="auto"/>
              </w:rPr>
            </w:pPr>
            <w:r>
              <w:rPr>
                <w:rFonts w:ascii="Arial" w:cs="Arial" w:eastAsia="Arial" w:hAnsi="Arial"/>
                <w:sz w:val="7"/>
                <w:szCs w:val="7"/>
                <w:b w:val="1"/>
                <w:bCs w:val="1"/>
                <w:color w:val="auto"/>
              </w:rPr>
              <w:t>Cash Rent ($'s)</w:t>
            </w:r>
          </w:p>
        </w:tc>
        <w:tc>
          <w:tcPr>
            <w:tcW w:w="80" w:type="dxa"/>
            <w:vAlign w:val="bottom"/>
          </w:tcPr>
          <w:p>
            <w:pPr>
              <w:spacing w:after="0"/>
              <w:rPr>
                <w:sz w:val="7"/>
                <w:szCs w:val="7"/>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Book Value</w:t>
            </w: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"Same Store" Residential</w:t>
            </w: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315</w:t>
            </w:r>
          </w:p>
        </w:tc>
        <w:tc>
          <w:tcPr>
            <w:tcW w:w="1080" w:type="dxa"/>
            <w:vAlign w:val="bottom"/>
            <w:gridSpan w:val="2"/>
          </w:tcPr>
          <w:p>
            <w:pPr>
              <w:spacing w:after="0"/>
              <w:rPr>
                <w:sz w:val="20"/>
                <w:szCs w:val="20"/>
                <w:color w:val="auto"/>
              </w:rPr>
            </w:pPr>
            <w:r>
              <w:rPr>
                <w:rFonts w:ascii="Arial" w:cs="Arial" w:eastAsia="Arial" w:hAnsi="Arial"/>
                <w:sz w:val="7"/>
                <w:szCs w:val="7"/>
                <w:color w:val="auto"/>
              </w:rPr>
              <w:t>West 33rd Street - The Olivia</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Penn Station</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222,855</w:t>
            </w:r>
          </w:p>
        </w:tc>
        <w:tc>
          <w:tcPr>
            <w:tcW w:w="80" w:type="dxa"/>
            <w:vAlign w:val="bottom"/>
          </w:tcPr>
          <w:p>
            <w:pPr>
              <w:spacing w:after="0"/>
              <w:rPr>
                <w:sz w:val="17"/>
                <w:szCs w:val="17"/>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333</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92.8</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95.2</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89.5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91.0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4,059</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15,001,116</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177,908,950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400</w:t>
            </w:r>
          </w:p>
        </w:tc>
        <w:tc>
          <w:tcPr>
            <w:tcW w:w="1080" w:type="dxa"/>
            <w:vAlign w:val="bottom"/>
            <w:gridSpan w:val="2"/>
          </w:tcPr>
          <w:p>
            <w:pPr>
              <w:spacing w:after="0"/>
              <w:rPr>
                <w:sz w:val="20"/>
                <w:szCs w:val="20"/>
                <w:color w:val="auto"/>
              </w:rPr>
            </w:pPr>
            <w:r>
              <w:rPr>
                <w:rFonts w:ascii="Arial" w:cs="Arial" w:eastAsia="Arial" w:hAnsi="Arial"/>
                <w:sz w:val="7"/>
                <w:szCs w:val="7"/>
                <w:color w:val="auto"/>
              </w:rPr>
              <w:t>East 57th Street (1)</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90.0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Upper East Side</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290,482</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261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92.7</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92.3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94.6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3,340</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11,104,820</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125,367,235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400</w:t>
            </w:r>
          </w:p>
        </w:tc>
        <w:tc>
          <w:tcPr>
            <w:tcW w:w="1080" w:type="dxa"/>
            <w:vAlign w:val="bottom"/>
            <w:gridSpan w:val="2"/>
          </w:tcPr>
          <w:p>
            <w:pPr>
              <w:spacing w:after="0"/>
              <w:rPr>
                <w:sz w:val="20"/>
                <w:szCs w:val="20"/>
                <w:color w:val="auto"/>
              </w:rPr>
            </w:pPr>
            <w:r>
              <w:rPr>
                <w:rFonts w:ascii="Arial" w:cs="Arial" w:eastAsia="Arial" w:hAnsi="Arial"/>
                <w:sz w:val="7"/>
                <w:szCs w:val="7"/>
                <w:color w:val="auto"/>
              </w:rPr>
              <w:t>East 58th Street (1)</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90.0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Upper East Side</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140,000</w:t>
            </w: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126</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92.8</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95.2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95.2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3,292</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5,124,412</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55,078,789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1080 Amsterdam (1)</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92.5</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Upper West Side</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Leasehold Interest</w:t>
            </w:r>
          </w:p>
        </w:tc>
        <w:tc>
          <w:tcPr>
            <w:tcW w:w="26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82,250</w:t>
            </w:r>
          </w:p>
        </w:tc>
        <w:tc>
          <w:tcPr>
            <w:tcW w:w="80" w:type="dxa"/>
            <w:vAlign w:val="bottom"/>
          </w:tcPr>
          <w:p>
            <w:pPr>
              <w:spacing w:after="0"/>
              <w:rPr>
                <w:sz w:val="19"/>
                <w:szCs w:val="19"/>
                <w:color w:val="auto"/>
              </w:rPr>
            </w:pPr>
          </w:p>
        </w:tc>
        <w:tc>
          <w:tcPr>
            <w:tcW w:w="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96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96.9</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96.9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96.9</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3,803</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4,267,500</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46,592,216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4"/>
          </w:tcPr>
          <w:p>
            <w:pPr>
              <w:ind w:left="280"/>
              <w:spacing w:after="0"/>
              <w:rPr>
                <w:sz w:val="20"/>
                <w:szCs w:val="20"/>
                <w:color w:val="auto"/>
              </w:rPr>
            </w:pPr>
            <w:r>
              <w:rPr>
                <w:rFonts w:ascii="Arial" w:cs="Arial" w:eastAsia="Arial" w:hAnsi="Arial"/>
                <w:sz w:val="7"/>
                <w:szCs w:val="7"/>
                <w:b w:val="1"/>
                <w:bCs w:val="1"/>
                <w:color w:val="auto"/>
              </w:rPr>
              <w:t>Subtotal/Weighted Average</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gridSpan w:val="2"/>
          </w:tcPr>
          <w:p>
            <w:pPr>
              <w:jc w:val="center"/>
              <w:spacing w:after="0"/>
              <w:rPr>
                <w:sz w:val="20"/>
                <w:szCs w:val="20"/>
                <w:color w:val="auto"/>
              </w:rPr>
            </w:pPr>
            <w:r>
              <w:rPr>
                <w:rFonts w:ascii="Arial" w:cs="Arial" w:eastAsia="Arial" w:hAnsi="Arial"/>
                <w:sz w:val="7"/>
                <w:szCs w:val="7"/>
                <w:b w:val="1"/>
                <w:bCs w:val="1"/>
                <w:color w:val="auto"/>
              </w:rPr>
              <w:t>3</w:t>
            </w:r>
          </w:p>
        </w:tc>
        <w:tc>
          <w:tcPr>
            <w:tcW w:w="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735,587</w:t>
            </w:r>
          </w:p>
        </w:tc>
        <w:tc>
          <w:tcPr>
            <w:tcW w:w="80" w:type="dxa"/>
            <w:vAlign w:val="bottom"/>
          </w:tcPr>
          <w:p>
            <w:pPr>
              <w:spacing w:after="0"/>
              <w:rPr>
                <w:sz w:val="16"/>
                <w:szCs w:val="16"/>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b w:val="1"/>
                <w:bCs w:val="1"/>
                <w:color w:val="auto"/>
              </w:rPr>
              <w:t>816</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92.9%</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94.2%</w:t>
            </w:r>
          </w:p>
        </w:tc>
        <w:tc>
          <w:tcPr>
            <w:tcW w:w="52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92.2%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ind w:right="4"/>
              <w:spacing w:after="0"/>
              <w:rPr>
                <w:sz w:val="20"/>
                <w:szCs w:val="20"/>
                <w:color w:val="auto"/>
              </w:rPr>
            </w:pPr>
            <w:r>
              <w:rPr>
                <w:rFonts w:ascii="Arial" w:cs="Arial" w:eastAsia="Arial" w:hAnsi="Arial"/>
                <w:sz w:val="7"/>
                <w:szCs w:val="7"/>
                <w:b w:val="1"/>
                <w:bCs w:val="1"/>
                <w:color w:val="auto"/>
              </w:rPr>
              <w:t>93.5%</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95.3%</w:t>
            </w:r>
          </w:p>
        </w:tc>
        <w:tc>
          <w:tcPr>
            <w:tcW w:w="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3,679</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20" w:type="dxa"/>
            <w:vAlign w:val="bottom"/>
          </w:tcPr>
          <w:p>
            <w:pPr>
              <w:jc w:val="right"/>
              <w:ind w:right="44"/>
              <w:spacing w:after="0"/>
              <w:rPr>
                <w:sz w:val="20"/>
                <w:szCs w:val="20"/>
                <w:color w:val="auto"/>
              </w:rPr>
            </w:pPr>
            <w:r>
              <w:rPr>
                <w:rFonts w:ascii="Arial" w:cs="Arial" w:eastAsia="Arial" w:hAnsi="Arial"/>
                <w:sz w:val="7"/>
                <w:szCs w:val="7"/>
                <w:b w:val="1"/>
                <w:bCs w:val="1"/>
                <w:color w:val="auto"/>
              </w:rPr>
              <w:t>35,497,848</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404,947,190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"Non Same Store" Residential</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Upper East Side Residential</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95.1</w:t>
            </w:r>
          </w:p>
        </w:tc>
        <w:tc>
          <w:tcPr>
            <w:tcW w:w="10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Upper East Side</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7"/>
                <w:szCs w:val="17"/>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27,000</w:t>
            </w:r>
          </w:p>
        </w:tc>
        <w:tc>
          <w:tcPr>
            <w:tcW w:w="80" w:type="dxa"/>
            <w:vAlign w:val="bottom"/>
          </w:tcPr>
          <w:p>
            <w:pPr>
              <w:spacing w:after="0"/>
              <w:rPr>
                <w:sz w:val="17"/>
                <w:szCs w:val="17"/>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7"/>
                <w:szCs w:val="7"/>
                <w:color w:val="auto"/>
              </w:rPr>
              <w:t>28</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42.9</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42.9</w:t>
            </w:r>
          </w:p>
        </w:tc>
        <w:tc>
          <w:tcPr>
            <w:tcW w:w="520" w:type="dxa"/>
            <w:vAlign w:val="bottom"/>
            <w:gridSpan w:val="2"/>
          </w:tcPr>
          <w:p>
            <w:pPr>
              <w:jc w:val="right"/>
              <w:ind w:right="64"/>
              <w:spacing w:after="0"/>
              <w:rPr>
                <w:sz w:val="20"/>
                <w:szCs w:val="20"/>
                <w:color w:val="auto"/>
              </w:rPr>
            </w:pPr>
            <w:r>
              <w:rPr>
                <w:rFonts w:ascii="Arial" w:cs="Arial" w:eastAsia="Arial" w:hAnsi="Arial"/>
                <w:sz w:val="7"/>
                <w:szCs w:val="7"/>
                <w:color w:val="auto"/>
              </w:rPr>
              <w:t>85.7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ind w:right="64"/>
              <w:spacing w:after="0"/>
              <w:rPr>
                <w:sz w:val="20"/>
                <w:szCs w:val="20"/>
                <w:color w:val="auto"/>
              </w:rPr>
            </w:pPr>
            <w:r>
              <w:rPr>
                <w:rFonts w:ascii="Arial" w:cs="Arial" w:eastAsia="Arial" w:hAnsi="Arial"/>
                <w:sz w:val="7"/>
                <w:szCs w:val="7"/>
                <w:color w:val="auto"/>
              </w:rPr>
              <w:t>85.7</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1,379</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648,395</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48,883,635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605</w:t>
            </w:r>
          </w:p>
        </w:tc>
        <w:tc>
          <w:tcPr>
            <w:tcW w:w="1080" w:type="dxa"/>
            <w:vAlign w:val="bottom"/>
            <w:gridSpan w:val="2"/>
          </w:tcPr>
          <w:p>
            <w:pPr>
              <w:spacing w:after="0"/>
              <w:rPr>
                <w:sz w:val="20"/>
                <w:szCs w:val="20"/>
                <w:color w:val="auto"/>
              </w:rPr>
            </w:pPr>
            <w:r>
              <w:rPr>
                <w:rFonts w:ascii="Arial" w:cs="Arial" w:eastAsia="Arial" w:hAnsi="Arial"/>
                <w:sz w:val="7"/>
                <w:szCs w:val="7"/>
                <w:color w:val="auto"/>
              </w:rPr>
              <w:t>West 42nd Street</w:t>
            </w:r>
          </w:p>
        </w:tc>
        <w:tc>
          <w:tcPr>
            <w:tcW w:w="520" w:type="dxa"/>
            <w:vAlign w:val="bottom"/>
            <w:gridSpan w:val="2"/>
          </w:tcPr>
          <w:p>
            <w:pPr>
              <w:jc w:val="center"/>
              <w:ind w:left="104"/>
              <w:spacing w:after="0"/>
              <w:rPr>
                <w:sz w:val="20"/>
                <w:szCs w:val="20"/>
                <w:color w:val="auto"/>
              </w:rPr>
            </w:pPr>
            <w:r>
              <w:rPr>
                <w:rFonts w:ascii="Arial" w:cs="Arial" w:eastAsia="Arial" w:hAnsi="Arial"/>
                <w:sz w:val="7"/>
                <w:szCs w:val="7"/>
                <w:color w:val="auto"/>
              </w:rPr>
              <w:t>20.0</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7"/>
                <w:szCs w:val="7"/>
                <w:color w:val="auto"/>
              </w:rPr>
              <w:t>Midtown West</w:t>
            </w: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color w:val="auto"/>
              </w:rPr>
              <w:t>927,358</w:t>
            </w: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7"/>
                <w:szCs w:val="7"/>
                <w:color w:val="auto"/>
              </w:rPr>
              <w:t>1,176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7"/>
                <w:szCs w:val="7"/>
                <w:color w:val="auto"/>
              </w:rPr>
              <w:t>N/A</w:t>
            </w:r>
          </w:p>
        </w:tc>
        <w:tc>
          <w:tcPr>
            <w:tcW w:w="44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680,008,718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7"/>
                <w:szCs w:val="7"/>
                <w:color w:val="auto"/>
              </w:rPr>
              <w:t>Stonehenge Portfolio</w:t>
            </w:r>
          </w:p>
        </w:tc>
        <w:tc>
          <w:tcPr>
            <w:tcW w:w="140" w:type="dxa"/>
            <w:vAlign w:val="bottom"/>
          </w:tcPr>
          <w:p>
            <w:pPr>
              <w:spacing w:after="0"/>
              <w:rPr>
                <w:sz w:val="19"/>
                <w:szCs w:val="19"/>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7"/>
                <w:szCs w:val="7"/>
                <w:color w:val="auto"/>
              </w:rPr>
              <w:t>Various</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26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16</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2,029,924</w:t>
            </w:r>
          </w:p>
        </w:tc>
        <w:tc>
          <w:tcPr>
            <w:tcW w:w="80" w:type="dxa"/>
            <w:vAlign w:val="bottom"/>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color w:val="auto"/>
              </w:rPr>
              <w:t>2,191</w:t>
            </w: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94.3</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94.6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96.9</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3,722</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103,304,402</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975,954,101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4"/>
          </w:tcPr>
          <w:p>
            <w:pPr>
              <w:ind w:left="280"/>
              <w:spacing w:after="0"/>
              <w:rPr>
                <w:sz w:val="20"/>
                <w:szCs w:val="20"/>
                <w:color w:val="auto"/>
              </w:rPr>
            </w:pPr>
            <w:r>
              <w:rPr>
                <w:rFonts w:ascii="Arial" w:cs="Arial" w:eastAsia="Arial" w:hAnsi="Arial"/>
                <w:sz w:val="7"/>
                <w:szCs w:val="7"/>
                <w:b w:val="1"/>
                <w:bCs w:val="1"/>
                <w:color w:val="auto"/>
              </w:rPr>
              <w:t>Subtotal/Weighted Average</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gridSpan w:val="2"/>
          </w:tcPr>
          <w:p>
            <w:pPr>
              <w:jc w:val="center"/>
              <w:spacing w:after="0"/>
              <w:rPr>
                <w:sz w:val="20"/>
                <w:szCs w:val="20"/>
                <w:color w:val="auto"/>
              </w:rPr>
            </w:pPr>
            <w:r>
              <w:rPr>
                <w:rFonts w:ascii="Arial" w:cs="Arial" w:eastAsia="Arial" w:hAnsi="Arial"/>
                <w:sz w:val="7"/>
                <w:szCs w:val="7"/>
                <w:b w:val="1"/>
                <w:bCs w:val="1"/>
                <w:color w:val="auto"/>
              </w:rPr>
              <w:t>18</w:t>
            </w:r>
          </w:p>
        </w:tc>
        <w:tc>
          <w:tcPr>
            <w:tcW w:w="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2,984,282</w:t>
            </w:r>
          </w:p>
        </w:tc>
        <w:tc>
          <w:tcPr>
            <w:tcW w:w="8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7"/>
                <w:szCs w:val="7"/>
                <w:b w:val="1"/>
                <w:bCs w:val="1"/>
                <w:color w:val="auto"/>
              </w:rPr>
              <w:t>3,395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61.4%</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94.1%</w:t>
            </w:r>
          </w:p>
        </w:tc>
        <w:tc>
          <w:tcPr>
            <w:tcW w:w="52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94.2%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ind w:right="4"/>
              <w:spacing w:after="0"/>
              <w:rPr>
                <w:sz w:val="20"/>
                <w:szCs w:val="20"/>
                <w:color w:val="auto"/>
              </w:rPr>
            </w:pPr>
            <w:r>
              <w:rPr>
                <w:rFonts w:ascii="Arial" w:cs="Arial" w:eastAsia="Arial" w:hAnsi="Arial"/>
                <w:sz w:val="7"/>
                <w:szCs w:val="7"/>
                <w:b w:val="1"/>
                <w:bCs w:val="1"/>
                <w:color w:val="auto"/>
              </w:rPr>
              <w:t>94.5%</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96.9%</w:t>
            </w:r>
          </w:p>
        </w:tc>
        <w:tc>
          <w:tcPr>
            <w:tcW w:w="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3,708</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20" w:type="dxa"/>
            <w:vAlign w:val="bottom"/>
          </w:tcPr>
          <w:p>
            <w:pPr>
              <w:jc w:val="right"/>
              <w:ind w:right="44"/>
              <w:spacing w:after="0"/>
              <w:rPr>
                <w:sz w:val="20"/>
                <w:szCs w:val="20"/>
                <w:color w:val="auto"/>
              </w:rPr>
            </w:pPr>
            <w:r>
              <w:rPr>
                <w:rFonts w:ascii="Arial" w:cs="Arial" w:eastAsia="Arial" w:hAnsi="Arial"/>
                <w:sz w:val="7"/>
                <w:szCs w:val="7"/>
                <w:b w:val="1"/>
                <w:bCs w:val="1"/>
                <w:color w:val="auto"/>
              </w:rPr>
              <w:t>103,952,797</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1,704,846,454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840" w:type="dxa"/>
            <w:vAlign w:val="bottom"/>
            <w:gridSpan w:val="6"/>
          </w:tcPr>
          <w:p>
            <w:pPr>
              <w:spacing w:after="0"/>
              <w:rPr>
                <w:sz w:val="20"/>
                <w:szCs w:val="20"/>
                <w:color w:val="auto"/>
              </w:rPr>
            </w:pPr>
            <w:r>
              <w:rPr>
                <w:rFonts w:ascii="Arial" w:cs="Arial" w:eastAsia="Arial" w:hAnsi="Arial"/>
                <w:sz w:val="7"/>
                <w:szCs w:val="7"/>
                <w:b w:val="1"/>
                <w:bCs w:val="1"/>
                <w:color w:val="auto"/>
              </w:rPr>
              <w:t>Total / Weighted Average Residential Properties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7"/>
                <w:szCs w:val="7"/>
                <w:b w:val="1"/>
                <w:bCs w:val="1"/>
                <w:color w:val="auto"/>
              </w:rPr>
              <w:t>21</w:t>
            </w:r>
          </w:p>
        </w:tc>
        <w:tc>
          <w:tcPr>
            <w:tcW w:w="60" w:type="dxa"/>
            <w:vAlign w:val="bottom"/>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3,719,869</w:t>
            </w:r>
          </w:p>
        </w:tc>
        <w:tc>
          <w:tcPr>
            <w:tcW w:w="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7"/>
                <w:szCs w:val="7"/>
                <w:b w:val="1"/>
                <w:bCs w:val="1"/>
                <w:color w:val="auto"/>
              </w:rPr>
              <w:t>4,211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67.5%</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94.2%</w:t>
            </w:r>
          </w:p>
        </w:tc>
        <w:tc>
          <w:tcPr>
            <w:tcW w:w="52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93.6%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4"/>
              <w:spacing w:after="0"/>
              <w:rPr>
                <w:sz w:val="20"/>
                <w:szCs w:val="20"/>
                <w:color w:val="auto"/>
              </w:rPr>
            </w:pPr>
            <w:r>
              <w:rPr>
                <w:rFonts w:ascii="Arial" w:cs="Arial" w:eastAsia="Arial" w:hAnsi="Arial"/>
                <w:sz w:val="7"/>
                <w:szCs w:val="7"/>
                <w:b w:val="1"/>
                <w:bCs w:val="1"/>
                <w:color w:val="auto"/>
              </w:rPr>
              <w:t>94.2%</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96.5%</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3,701</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20" w:type="dxa"/>
            <w:vAlign w:val="bottom"/>
          </w:tcPr>
          <w:p>
            <w:pPr>
              <w:jc w:val="right"/>
              <w:ind w:right="44"/>
              <w:spacing w:after="0"/>
              <w:rPr>
                <w:sz w:val="20"/>
                <w:szCs w:val="20"/>
                <w:color w:val="auto"/>
              </w:rPr>
            </w:pPr>
            <w:r>
              <w:rPr>
                <w:rFonts w:ascii="Arial" w:cs="Arial" w:eastAsia="Arial" w:hAnsi="Arial"/>
                <w:sz w:val="7"/>
                <w:szCs w:val="7"/>
                <w:b w:val="1"/>
                <w:bCs w:val="1"/>
                <w:color w:val="auto"/>
              </w:rPr>
              <w:t>139,450,644</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2,109,793,644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80" w:hanging="115"/>
        <w:spacing w:after="0"/>
        <w:tabs>
          <w:tab w:leader="none" w:pos="180" w:val="left"/>
        </w:tabs>
        <w:numPr>
          <w:ilvl w:val="0"/>
          <w:numId w:val="25"/>
        </w:numPr>
        <w:rPr>
          <w:rFonts w:ascii="Arial" w:cs="Arial" w:eastAsia="Arial" w:hAnsi="Arial"/>
          <w:sz w:val="7"/>
          <w:szCs w:val="7"/>
          <w:color w:val="auto"/>
        </w:rPr>
      </w:pPr>
      <w:r>
        <w:rPr>
          <w:rFonts w:ascii="Arial" w:cs="Arial" w:eastAsia="Arial" w:hAnsi="Arial"/>
          <w:sz w:val="7"/>
          <w:szCs w:val="7"/>
          <w:color w:val="auto"/>
        </w:rPr>
        <w:t>Stonehenge Portfolio Property.</w:t>
      </w:r>
    </w:p>
    <w:p>
      <w:pPr>
        <w:spacing w:after="0" w:line="138" w:lineRule="exact"/>
        <w:rPr>
          <w:rFonts w:ascii="Arial" w:cs="Arial" w:eastAsia="Arial" w:hAnsi="Arial"/>
          <w:sz w:val="7"/>
          <w:szCs w:val="7"/>
          <w:color w:val="auto"/>
        </w:rPr>
      </w:pPr>
    </w:p>
    <w:p>
      <w:pPr>
        <w:ind w:left="180" w:hanging="115"/>
        <w:spacing w:after="0"/>
        <w:tabs>
          <w:tab w:leader="none" w:pos="180" w:val="left"/>
        </w:tabs>
        <w:numPr>
          <w:ilvl w:val="0"/>
          <w:numId w:val="25"/>
        </w:numPr>
        <w:rPr>
          <w:rFonts w:ascii="Arial" w:cs="Arial" w:eastAsia="Arial" w:hAnsi="Arial"/>
          <w:sz w:val="7"/>
          <w:szCs w:val="7"/>
          <w:color w:val="auto"/>
        </w:rPr>
      </w:pPr>
      <w:r>
        <w:rPr>
          <w:rFonts w:ascii="Arial" w:cs="Arial" w:eastAsia="Arial" w:hAnsi="Arial"/>
          <w:sz w:val="7"/>
          <w:szCs w:val="7"/>
          <w:color w:val="auto"/>
        </w:rPr>
        <w:t>Calculated based on occupied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34</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8" w:right="919" w:bottom="1440" w:gutter="0" w:footer="0" w:header="0"/>
        </w:sectPr>
      </w:pPr>
    </w:p>
    <w:bookmarkStart w:id="51" w:name="page52"/>
    <w:bookmarkEnd w:id="5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Development / Redevelopment and Land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 of</w:t>
            </w: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580" w:type="dxa"/>
            <w:vAlign w:val="bottom"/>
            <w:gridSpan w:val="4"/>
          </w:tcPr>
          <w:p>
            <w:pPr>
              <w:ind w:left="80"/>
              <w:spacing w:after="0"/>
              <w:rPr>
                <w:sz w:val="20"/>
                <w:szCs w:val="20"/>
                <w:color w:val="auto"/>
              </w:rPr>
            </w:pPr>
            <w:r>
              <w:rPr>
                <w:rFonts w:ascii="Arial" w:cs="Arial" w:eastAsia="Arial" w:hAnsi="Arial"/>
                <w:sz w:val="7"/>
                <w:szCs w:val="7"/>
                <w:b w:val="1"/>
                <w:bCs w:val="1"/>
                <w:color w:val="auto"/>
              </w:rPr>
              <w:t>% of Total</w:t>
            </w: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4"/>
          </w:tcPr>
          <w:p>
            <w:pPr>
              <w:ind w:left="80"/>
              <w:spacing w:after="0"/>
              <w:rPr>
                <w:sz w:val="20"/>
                <w:szCs w:val="20"/>
                <w:color w:val="auto"/>
              </w:rPr>
            </w:pPr>
            <w:r>
              <w:rPr>
                <w:rFonts w:ascii="Arial" w:cs="Arial" w:eastAsia="Arial" w:hAnsi="Arial"/>
                <w:sz w:val="7"/>
                <w:szCs w:val="7"/>
                <w:b w:val="1"/>
                <w:bCs w:val="1"/>
                <w:color w:val="auto"/>
              </w:rPr>
              <w:t>Occupancy (%)</w:t>
            </w: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184"/>
              <w:spacing w:after="0"/>
              <w:rPr>
                <w:sz w:val="20"/>
                <w:szCs w:val="20"/>
                <w:color w:val="auto"/>
              </w:rPr>
            </w:pPr>
            <w:r>
              <w:rPr>
                <w:rFonts w:ascii="Arial" w:cs="Arial" w:eastAsia="Arial" w:hAnsi="Arial"/>
                <w:sz w:val="7"/>
                <w:szCs w:val="7"/>
                <w:b w:val="1"/>
                <w:bCs w:val="1"/>
                <w:color w:val="auto"/>
              </w:rPr>
              <w:t>Annualized</w:t>
            </w:r>
          </w:p>
        </w:tc>
        <w:tc>
          <w:tcPr>
            <w:tcW w:w="840" w:type="dxa"/>
            <w:vAlign w:val="bottom"/>
          </w:tcPr>
          <w:p>
            <w:pPr>
              <w:jc w:val="right"/>
              <w:ind w:right="204"/>
              <w:spacing w:after="0"/>
              <w:rPr>
                <w:sz w:val="20"/>
                <w:szCs w:val="20"/>
                <w:color w:val="auto"/>
              </w:rPr>
            </w:pPr>
            <w:r>
              <w:rPr>
                <w:rFonts w:ascii="Arial" w:cs="Arial" w:eastAsia="Arial" w:hAnsi="Arial"/>
                <w:sz w:val="7"/>
                <w:szCs w:val="7"/>
                <w:b w:val="1"/>
                <w:bCs w:val="1"/>
                <w:color w:val="auto"/>
              </w:rPr>
              <w:t>Annualized</w:t>
            </w:r>
          </w:p>
        </w:tc>
        <w:tc>
          <w:tcPr>
            <w:tcW w:w="1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Gross Total RE</w:t>
            </w: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87"/>
        </w:trPr>
        <w:tc>
          <w:tcPr>
            <w:tcW w:w="1320" w:type="dxa"/>
            <w:vAlign w:val="bottom"/>
            <w:gridSpan w:val="3"/>
          </w:tcPr>
          <w:p>
            <w:pPr>
              <w:ind w:left="20"/>
              <w:spacing w:after="0" w:line="68" w:lineRule="exact"/>
              <w:rPr>
                <w:sz w:val="20"/>
                <w:szCs w:val="20"/>
                <w:color w:val="auto"/>
              </w:rPr>
            </w:pPr>
            <w:r>
              <w:rPr>
                <w:rFonts w:ascii="Arial" w:cs="Arial" w:eastAsia="Arial" w:hAnsi="Arial"/>
                <w:sz w:val="7"/>
                <w:szCs w:val="7"/>
                <w:b w:val="1"/>
                <w:bCs w:val="1"/>
                <w:color w:val="auto"/>
              </w:rPr>
              <w:t>Properties</w:t>
            </w:r>
          </w:p>
        </w:tc>
        <w:tc>
          <w:tcPr>
            <w:tcW w:w="50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Interest (%)</w:t>
            </w:r>
          </w:p>
        </w:tc>
        <w:tc>
          <w:tcPr>
            <w:tcW w:w="66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SubMarket</w:t>
            </w:r>
          </w:p>
        </w:tc>
        <w:tc>
          <w:tcPr>
            <w:tcW w:w="82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Ownership</w:t>
            </w:r>
          </w:p>
        </w:tc>
        <w:tc>
          <w:tcPr>
            <w:tcW w:w="120" w:type="dxa"/>
            <w:vAlign w:val="bottom"/>
          </w:tcPr>
          <w:p>
            <w:pPr>
              <w:spacing w:after="0"/>
              <w:rPr>
                <w:sz w:val="7"/>
                <w:szCs w:val="7"/>
                <w:color w:val="auto"/>
              </w:rPr>
            </w:pPr>
          </w:p>
        </w:tc>
        <w:tc>
          <w:tcPr>
            <w:tcW w:w="340" w:type="dxa"/>
            <w:vAlign w:val="bottom"/>
            <w:gridSpan w:val="2"/>
          </w:tcPr>
          <w:p>
            <w:pPr>
              <w:jc w:val="right"/>
              <w:ind w:right="140"/>
              <w:spacing w:after="0" w:line="68" w:lineRule="exact"/>
              <w:rPr>
                <w:sz w:val="20"/>
                <w:szCs w:val="20"/>
                <w:color w:val="auto"/>
              </w:rPr>
            </w:pPr>
            <w:r>
              <w:rPr>
                <w:rFonts w:ascii="Arial" w:cs="Arial" w:eastAsia="Arial" w:hAnsi="Arial"/>
                <w:sz w:val="7"/>
                <w:szCs w:val="7"/>
                <w:b w:val="1"/>
                <w:bCs w:val="1"/>
                <w:color w:val="auto"/>
                <w:w w:val="92"/>
              </w:rPr>
              <w:t>Bldgs</w:t>
            </w:r>
          </w:p>
        </w:tc>
        <w:tc>
          <w:tcPr>
            <w:tcW w:w="420" w:type="dxa"/>
            <w:vAlign w:val="bottom"/>
            <w:gridSpan w:val="3"/>
          </w:tcPr>
          <w:p>
            <w:pPr>
              <w:ind w:left="20"/>
              <w:spacing w:after="0" w:line="68" w:lineRule="exact"/>
              <w:rPr>
                <w:sz w:val="20"/>
                <w:szCs w:val="20"/>
                <w:color w:val="auto"/>
              </w:rPr>
            </w:pPr>
            <w:r>
              <w:rPr>
                <w:rFonts w:ascii="Arial" w:cs="Arial" w:eastAsia="Arial" w:hAnsi="Arial"/>
                <w:sz w:val="7"/>
                <w:szCs w:val="7"/>
                <w:b w:val="1"/>
                <w:bCs w:val="1"/>
                <w:color w:val="auto"/>
              </w:rPr>
              <w:t>Sq. Feet</w:t>
            </w:r>
          </w:p>
        </w:tc>
        <w:tc>
          <w:tcPr>
            <w:tcW w:w="580" w:type="dxa"/>
            <w:vAlign w:val="bottom"/>
            <w:gridSpan w:val="4"/>
          </w:tcPr>
          <w:p>
            <w:pPr>
              <w:ind w:left="120"/>
              <w:spacing w:after="0" w:line="68" w:lineRule="exact"/>
              <w:rPr>
                <w:sz w:val="20"/>
                <w:szCs w:val="20"/>
                <w:color w:val="auto"/>
              </w:rPr>
            </w:pPr>
            <w:r>
              <w:rPr>
                <w:rFonts w:ascii="Arial" w:cs="Arial" w:eastAsia="Arial" w:hAnsi="Arial"/>
                <w:sz w:val="7"/>
                <w:szCs w:val="7"/>
                <w:b w:val="1"/>
                <w:bCs w:val="1"/>
                <w:color w:val="auto"/>
              </w:rPr>
              <w:t>Sq. Feet</w:t>
            </w:r>
          </w:p>
        </w:tc>
        <w:tc>
          <w:tcPr>
            <w:tcW w:w="50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Jun-16</w:t>
            </w:r>
          </w:p>
        </w:tc>
        <w:tc>
          <w:tcPr>
            <w:tcW w:w="420" w:type="dxa"/>
            <w:vAlign w:val="bottom"/>
          </w:tcPr>
          <w:p>
            <w:pPr>
              <w:jc w:val="right"/>
              <w:ind w:right="44"/>
              <w:spacing w:after="0" w:line="68" w:lineRule="exact"/>
              <w:rPr>
                <w:sz w:val="20"/>
                <w:szCs w:val="20"/>
                <w:color w:val="auto"/>
              </w:rPr>
            </w:pPr>
            <w:r>
              <w:rPr>
                <w:rFonts w:ascii="Arial" w:cs="Arial" w:eastAsia="Arial" w:hAnsi="Arial"/>
                <w:sz w:val="7"/>
                <w:szCs w:val="7"/>
                <w:b w:val="1"/>
                <w:bCs w:val="1"/>
                <w:color w:val="auto"/>
              </w:rPr>
              <w:t>Mar-16</w:t>
            </w:r>
          </w:p>
        </w:tc>
        <w:tc>
          <w:tcPr>
            <w:tcW w:w="80" w:type="dxa"/>
            <w:vAlign w:val="bottom"/>
          </w:tcPr>
          <w:p>
            <w:pPr>
              <w:spacing w:after="0"/>
              <w:rPr>
                <w:sz w:val="7"/>
                <w:szCs w:val="7"/>
                <w:color w:val="auto"/>
              </w:rPr>
            </w:pPr>
          </w:p>
        </w:tc>
        <w:tc>
          <w:tcPr>
            <w:tcW w:w="560" w:type="dxa"/>
            <w:vAlign w:val="bottom"/>
            <w:gridSpan w:val="3"/>
          </w:tcPr>
          <w:p>
            <w:pPr>
              <w:ind w:left="100"/>
              <w:spacing w:after="0" w:line="68" w:lineRule="exact"/>
              <w:rPr>
                <w:sz w:val="20"/>
                <w:szCs w:val="20"/>
                <w:color w:val="auto"/>
              </w:rPr>
            </w:pPr>
            <w:r>
              <w:rPr>
                <w:rFonts w:ascii="Arial" w:cs="Arial" w:eastAsia="Arial" w:hAnsi="Arial"/>
                <w:sz w:val="7"/>
                <w:szCs w:val="7"/>
                <w:b w:val="1"/>
                <w:bCs w:val="1"/>
                <w:color w:val="auto"/>
              </w:rPr>
              <w:t>Dec-15</w:t>
            </w:r>
          </w:p>
        </w:tc>
        <w:tc>
          <w:tcPr>
            <w:tcW w:w="46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auto"/>
              </w:rPr>
              <w:t>Sep-15</w:t>
            </w:r>
          </w:p>
        </w:tc>
        <w:tc>
          <w:tcPr>
            <w:tcW w:w="500" w:type="dxa"/>
            <w:vAlign w:val="bottom"/>
            <w:gridSpan w:val="2"/>
          </w:tcPr>
          <w:p>
            <w:pPr>
              <w:jc w:val="right"/>
              <w:ind w:right="180"/>
              <w:spacing w:after="0" w:line="68" w:lineRule="exact"/>
              <w:rPr>
                <w:sz w:val="20"/>
                <w:szCs w:val="20"/>
                <w:color w:val="auto"/>
              </w:rPr>
            </w:pPr>
            <w:r>
              <w:rPr>
                <w:rFonts w:ascii="Arial" w:cs="Arial" w:eastAsia="Arial" w:hAnsi="Arial"/>
                <w:sz w:val="7"/>
                <w:szCs w:val="7"/>
                <w:b w:val="1"/>
                <w:bCs w:val="1"/>
                <w:color w:val="auto"/>
              </w:rPr>
              <w:t>Jun-15</w:t>
            </w:r>
          </w:p>
        </w:tc>
        <w:tc>
          <w:tcPr>
            <w:tcW w:w="80" w:type="dxa"/>
            <w:vAlign w:val="bottom"/>
          </w:tcPr>
          <w:p>
            <w:pPr>
              <w:spacing w:after="0"/>
              <w:rPr>
                <w:sz w:val="7"/>
                <w:szCs w:val="7"/>
                <w:color w:val="auto"/>
              </w:rPr>
            </w:pPr>
          </w:p>
        </w:tc>
        <w:tc>
          <w:tcPr>
            <w:tcW w:w="700" w:type="dxa"/>
            <w:vAlign w:val="bottom"/>
          </w:tcPr>
          <w:p>
            <w:pPr>
              <w:jc w:val="right"/>
              <w:ind w:right="104"/>
              <w:spacing w:after="0" w:line="68" w:lineRule="exact"/>
              <w:rPr>
                <w:sz w:val="20"/>
                <w:szCs w:val="20"/>
                <w:color w:val="auto"/>
              </w:rPr>
            </w:pPr>
            <w:r>
              <w:rPr>
                <w:rFonts w:ascii="Arial" w:cs="Arial" w:eastAsia="Arial" w:hAnsi="Arial"/>
                <w:sz w:val="7"/>
                <w:szCs w:val="7"/>
                <w:b w:val="1"/>
                <w:bCs w:val="1"/>
                <w:color w:val="auto"/>
              </w:rPr>
              <w:t>Cash Rent ($'s)</w:t>
            </w:r>
          </w:p>
        </w:tc>
        <w:tc>
          <w:tcPr>
            <w:tcW w:w="840" w:type="dxa"/>
            <w:vAlign w:val="bottom"/>
          </w:tcPr>
          <w:p>
            <w:pPr>
              <w:jc w:val="right"/>
              <w:ind w:right="84"/>
              <w:spacing w:after="0" w:line="68" w:lineRule="exact"/>
              <w:rPr>
                <w:sz w:val="20"/>
                <w:szCs w:val="20"/>
                <w:color w:val="auto"/>
              </w:rPr>
            </w:pPr>
            <w:r>
              <w:rPr>
                <w:rFonts w:ascii="Arial" w:cs="Arial" w:eastAsia="Arial" w:hAnsi="Arial"/>
                <w:sz w:val="7"/>
                <w:szCs w:val="7"/>
                <w:b w:val="1"/>
                <w:bCs w:val="1"/>
                <w:color w:val="auto"/>
              </w:rPr>
              <w:t>Cash Rent (SLG%)</w:t>
            </w:r>
          </w:p>
        </w:tc>
        <w:tc>
          <w:tcPr>
            <w:tcW w:w="120" w:type="dxa"/>
            <w:vAlign w:val="bottom"/>
          </w:tcPr>
          <w:p>
            <w:pPr>
              <w:spacing w:after="0"/>
              <w:rPr>
                <w:sz w:val="7"/>
                <w:szCs w:val="7"/>
                <w:color w:val="auto"/>
              </w:rPr>
            </w:pPr>
          </w:p>
        </w:tc>
        <w:tc>
          <w:tcPr>
            <w:tcW w:w="60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Book Value</w:t>
            </w:r>
          </w:p>
        </w:tc>
        <w:tc>
          <w:tcPr>
            <w:tcW w:w="42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32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Development / Redevelopment</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Borders>
              <w:bottom w:val="single" w:sz="8" w:color="auto"/>
            </w:tcBorders>
            <w:gridSpan w:val="3"/>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One Vanderbilt</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2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Pr>
          <w:p>
            <w:pPr>
              <w:spacing w:after="0"/>
              <w:rPr>
                <w:sz w:val="17"/>
                <w:szCs w:val="17"/>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7"/>
                <w:szCs w:val="17"/>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70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12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600" w:type="dxa"/>
            <w:vAlign w:val="bottom"/>
          </w:tcPr>
          <w:p>
            <w:pPr>
              <w:jc w:val="right"/>
              <w:spacing w:after="0"/>
              <w:rPr>
                <w:sz w:val="20"/>
                <w:szCs w:val="20"/>
                <w:color w:val="auto"/>
              </w:rPr>
            </w:pPr>
            <w:r>
              <w:rPr>
                <w:rFonts w:ascii="Arial" w:cs="Arial" w:eastAsia="Arial" w:hAnsi="Arial"/>
                <w:sz w:val="7"/>
                <w:szCs w:val="7"/>
                <w:color w:val="auto"/>
              </w:rPr>
              <w:t>293,388,907</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9"/>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10 East 53rd Street</w:t>
            </w:r>
          </w:p>
        </w:tc>
        <w:tc>
          <w:tcPr>
            <w:tcW w:w="380" w:type="dxa"/>
            <w:vAlign w:val="bottom"/>
          </w:tcPr>
          <w:p>
            <w:pPr>
              <w:jc w:val="center"/>
              <w:spacing w:after="0"/>
              <w:rPr>
                <w:sz w:val="20"/>
                <w:szCs w:val="20"/>
                <w:color w:val="auto"/>
              </w:rPr>
            </w:pPr>
            <w:r>
              <w:rPr>
                <w:rFonts w:ascii="Arial" w:cs="Arial" w:eastAsia="Arial" w:hAnsi="Arial"/>
                <w:sz w:val="7"/>
                <w:szCs w:val="7"/>
                <w:color w:val="auto"/>
              </w:rPr>
              <w:t>55.0</w:t>
            </w:r>
          </w:p>
        </w:tc>
        <w:tc>
          <w:tcPr>
            <w:tcW w:w="1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2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354,300</w:t>
            </w:r>
          </w:p>
        </w:tc>
        <w:tc>
          <w:tcPr>
            <w:tcW w:w="10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46.0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46.1</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45.9</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41.6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43.9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31.1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24"/>
              <w:spacing w:after="0"/>
              <w:rPr>
                <w:sz w:val="20"/>
                <w:szCs w:val="20"/>
                <w:color w:val="auto"/>
              </w:rPr>
            </w:pPr>
            <w:r>
              <w:rPr>
                <w:rFonts w:ascii="Arial" w:cs="Arial" w:eastAsia="Arial" w:hAnsi="Arial"/>
                <w:sz w:val="7"/>
                <w:szCs w:val="7"/>
                <w:color w:val="auto"/>
              </w:rPr>
              <w:t>14,224,892</w:t>
            </w: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68.2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335,847,105</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17</w:t>
            </w:r>
          </w:p>
        </w:tc>
        <w:tc>
          <w:tcPr>
            <w:tcW w:w="0" w:type="dxa"/>
            <w:vAlign w:val="bottom"/>
          </w:tcPr>
          <w:p>
            <w:pPr>
              <w:spacing w:after="0"/>
              <w:rPr>
                <w:sz w:val="1"/>
                <w:szCs w:val="1"/>
                <w:color w:val="auto"/>
              </w:rPr>
            </w:pPr>
          </w:p>
        </w:tc>
      </w:tr>
      <w:tr>
        <w:trPr>
          <w:trHeight w:val="219"/>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562 Fifth Avenue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2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42,635</w:t>
            </w:r>
          </w:p>
        </w:tc>
        <w:tc>
          <w:tcPr>
            <w:tcW w:w="10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5.0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24"/>
              <w:spacing w:after="0"/>
              <w:rPr>
                <w:sz w:val="20"/>
                <w:szCs w:val="20"/>
                <w:color w:val="auto"/>
              </w:rPr>
            </w:pPr>
            <w:r>
              <w:rPr>
                <w:rFonts w:ascii="Arial" w:cs="Arial" w:eastAsia="Arial" w:hAnsi="Arial"/>
                <w:sz w:val="7"/>
                <w:szCs w:val="7"/>
                <w:color w:val="auto"/>
              </w:rPr>
              <w:t>2,100,000</w:t>
            </w: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18.3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68,753,742</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650 Fifth Avenue</w:t>
            </w:r>
          </w:p>
        </w:tc>
        <w:tc>
          <w:tcPr>
            <w:tcW w:w="380" w:type="dxa"/>
            <w:vAlign w:val="bottom"/>
          </w:tcPr>
          <w:p>
            <w:pPr>
              <w:jc w:val="center"/>
              <w:spacing w:after="0"/>
              <w:rPr>
                <w:sz w:val="20"/>
                <w:szCs w:val="20"/>
                <w:color w:val="auto"/>
              </w:rPr>
            </w:pPr>
            <w:r>
              <w:rPr>
                <w:rFonts w:ascii="Arial" w:cs="Arial" w:eastAsia="Arial" w:hAnsi="Arial"/>
                <w:sz w:val="7"/>
                <w:szCs w:val="7"/>
                <w:color w:val="auto"/>
              </w:rPr>
              <w:t>50.0</w:t>
            </w:r>
          </w:p>
        </w:tc>
        <w:tc>
          <w:tcPr>
            <w:tcW w:w="1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Leasehold Interest</w:t>
            </w:r>
          </w:p>
        </w:tc>
        <w:tc>
          <w:tcPr>
            <w:tcW w:w="32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32,324</w:t>
            </w:r>
          </w:p>
        </w:tc>
        <w:tc>
          <w:tcPr>
            <w:tcW w:w="10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4.0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24"/>
              <w:spacing w:after="0"/>
              <w:rPr>
                <w:sz w:val="20"/>
                <w:szCs w:val="20"/>
                <w:color w:val="auto"/>
              </w:rPr>
            </w:pPr>
            <w:r>
              <w:rPr>
                <w:rFonts w:ascii="Arial" w:cs="Arial" w:eastAsia="Arial" w:hAnsi="Arial"/>
                <w:sz w:val="7"/>
                <w:szCs w:val="7"/>
                <w:color w:val="auto"/>
              </w:rPr>
              <w:t>1,341,662</w:t>
            </w: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5.9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294,609,513</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719 Seventh Avenue</w:t>
            </w:r>
          </w:p>
        </w:tc>
        <w:tc>
          <w:tcPr>
            <w:tcW w:w="380" w:type="dxa"/>
            <w:vAlign w:val="bottom"/>
          </w:tcPr>
          <w:p>
            <w:pPr>
              <w:jc w:val="center"/>
              <w:spacing w:after="0"/>
              <w:rPr>
                <w:sz w:val="20"/>
                <w:szCs w:val="20"/>
                <w:color w:val="auto"/>
              </w:rPr>
            </w:pPr>
            <w:r>
              <w:rPr>
                <w:rFonts w:ascii="Arial" w:cs="Arial" w:eastAsia="Arial" w:hAnsi="Arial"/>
                <w:sz w:val="7"/>
                <w:szCs w:val="7"/>
                <w:color w:val="auto"/>
              </w:rPr>
              <w:t>75.0</w:t>
            </w:r>
          </w:p>
        </w:tc>
        <w:tc>
          <w:tcPr>
            <w:tcW w:w="1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2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Pr>
          <w:p>
            <w:pPr>
              <w:spacing w:after="0"/>
              <w:rPr>
                <w:sz w:val="19"/>
                <w:szCs w:val="19"/>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70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55,666,108</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9"/>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175-225 Third Street</w:t>
            </w:r>
          </w:p>
        </w:tc>
        <w:tc>
          <w:tcPr>
            <w:tcW w:w="380" w:type="dxa"/>
            <w:vAlign w:val="bottom"/>
          </w:tcPr>
          <w:p>
            <w:pPr>
              <w:jc w:val="center"/>
              <w:spacing w:after="0"/>
              <w:rPr>
                <w:sz w:val="20"/>
                <w:szCs w:val="20"/>
                <w:color w:val="auto"/>
              </w:rPr>
            </w:pPr>
            <w:r>
              <w:rPr>
                <w:rFonts w:ascii="Arial" w:cs="Arial" w:eastAsia="Arial" w:hAnsi="Arial"/>
                <w:sz w:val="7"/>
                <w:szCs w:val="7"/>
                <w:color w:val="auto"/>
              </w:rPr>
              <w:t>95.0</w:t>
            </w:r>
          </w:p>
        </w:tc>
        <w:tc>
          <w:tcPr>
            <w:tcW w:w="1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2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Pr>
          <w:p>
            <w:pPr>
              <w:spacing w:after="0"/>
              <w:rPr>
                <w:sz w:val="19"/>
                <w:szCs w:val="19"/>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70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77,872,928</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9"/>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55 West 46th Street</w:t>
            </w:r>
          </w:p>
        </w:tc>
        <w:tc>
          <w:tcPr>
            <w:tcW w:w="380" w:type="dxa"/>
            <w:vAlign w:val="bottom"/>
          </w:tcPr>
          <w:p>
            <w:pPr>
              <w:jc w:val="center"/>
              <w:spacing w:after="0"/>
              <w:rPr>
                <w:sz w:val="20"/>
                <w:szCs w:val="20"/>
                <w:color w:val="auto"/>
              </w:rPr>
            </w:pPr>
            <w:r>
              <w:rPr>
                <w:rFonts w:ascii="Arial" w:cs="Arial" w:eastAsia="Arial" w:hAnsi="Arial"/>
                <w:sz w:val="7"/>
                <w:szCs w:val="7"/>
                <w:color w:val="auto"/>
              </w:rPr>
              <w:t>25.0</w:t>
            </w:r>
          </w:p>
        </w:tc>
        <w:tc>
          <w:tcPr>
            <w:tcW w:w="1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Midtown</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2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347,000</w:t>
            </w:r>
          </w:p>
        </w:tc>
        <w:tc>
          <w:tcPr>
            <w:tcW w:w="10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45.0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17.1</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8.1</w:t>
            </w:r>
          </w:p>
        </w:tc>
        <w:tc>
          <w:tcPr>
            <w:tcW w:w="8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700" w:type="dxa"/>
            <w:vAlign w:val="bottom"/>
          </w:tcPr>
          <w:p>
            <w:pPr>
              <w:jc w:val="right"/>
              <w:ind w:right="24"/>
              <w:spacing w:after="0"/>
              <w:rPr>
                <w:sz w:val="20"/>
                <w:szCs w:val="20"/>
                <w:color w:val="auto"/>
              </w:rPr>
            </w:pPr>
            <w:r>
              <w:rPr>
                <w:rFonts w:ascii="Arial" w:cs="Arial" w:eastAsia="Arial" w:hAnsi="Arial"/>
                <w:sz w:val="7"/>
                <w:szCs w:val="7"/>
                <w:color w:val="auto"/>
              </w:rPr>
              <w:t>3,135,698</w:t>
            </w: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6.8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316,693,905</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25"/>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1640 Flatbush Avenue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85,152</w:t>
            </w: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0.7</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6,654,208</w:t>
            </w: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92"/>
        </w:trPr>
        <w:tc>
          <w:tcPr>
            <w:tcW w:w="2480" w:type="dxa"/>
            <w:vAlign w:val="bottom"/>
            <w:gridSpan w:val="7"/>
          </w:tcPr>
          <w:p>
            <w:pPr>
              <w:ind w:left="20"/>
              <w:spacing w:after="0"/>
              <w:rPr>
                <w:sz w:val="20"/>
                <w:szCs w:val="20"/>
                <w:color w:val="auto"/>
              </w:rPr>
            </w:pPr>
            <w:r>
              <w:rPr>
                <w:rFonts w:ascii="Arial" w:cs="Arial" w:eastAsia="Arial" w:hAnsi="Arial"/>
                <w:sz w:val="7"/>
                <w:szCs w:val="7"/>
                <w:b w:val="1"/>
                <w:bCs w:val="1"/>
                <w:color w:val="auto"/>
              </w:rPr>
              <w:t>Total / Weighted Average Development / Redevelopment Properties</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7"/>
                <w:szCs w:val="7"/>
                <w:b w:val="1"/>
                <w:bCs w:val="1"/>
                <w:color w:val="auto"/>
              </w:rPr>
              <w:t>8</w:t>
            </w:r>
          </w:p>
        </w:tc>
        <w:tc>
          <w:tcPr>
            <w:tcW w:w="14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777,259</w:t>
            </w:r>
          </w:p>
        </w:tc>
        <w:tc>
          <w:tcPr>
            <w:tcW w:w="100" w:type="dxa"/>
            <w:vAlign w:val="bottom"/>
          </w:tcPr>
          <w:p>
            <w:pPr>
              <w:spacing w:after="0"/>
              <w:rPr>
                <w:sz w:val="16"/>
                <w:szCs w:val="16"/>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34.7%</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30.6%</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25.0%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26.1%</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20.2%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ind w:right="24"/>
              <w:spacing w:after="0"/>
              <w:rPr>
                <w:sz w:val="20"/>
                <w:szCs w:val="20"/>
                <w:color w:val="auto"/>
              </w:rPr>
            </w:pPr>
            <w:r>
              <w:rPr>
                <w:rFonts w:ascii="Arial" w:cs="Arial" w:eastAsia="Arial" w:hAnsi="Arial"/>
                <w:sz w:val="7"/>
                <w:szCs w:val="7"/>
                <w:b w:val="1"/>
                <w:bCs w:val="1"/>
                <w:color w:val="auto"/>
              </w:rPr>
              <w:t>20,887,404</w:t>
            </w:r>
          </w:p>
        </w:tc>
        <w:tc>
          <w:tcPr>
            <w:tcW w:w="84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120" w:type="dxa"/>
            <w:vAlign w:val="bottom"/>
          </w:tcPr>
          <w:p>
            <w:pPr>
              <w:jc w:val="right"/>
              <w:ind w:right="2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1,449,486,415</w:t>
            </w: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24</w:t>
            </w: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6"/>
        </w:trPr>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Land</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gridSpan w:val="3"/>
          </w:tcPr>
          <w:p>
            <w:pPr>
              <w:ind w:left="20"/>
              <w:spacing w:after="0"/>
              <w:rPr>
                <w:sz w:val="20"/>
                <w:szCs w:val="20"/>
                <w:color w:val="auto"/>
              </w:rPr>
            </w:pPr>
            <w:r>
              <w:rPr>
                <w:rFonts w:ascii="Arial" w:cs="Arial" w:eastAsia="Arial" w:hAnsi="Arial"/>
                <w:sz w:val="7"/>
                <w:szCs w:val="7"/>
                <w:color w:val="auto"/>
              </w:rPr>
              <w:t>635 Madison Avenue (1)</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20" w:type="dxa"/>
            <w:vAlign w:val="bottom"/>
            <w:gridSpan w:val="3"/>
          </w:tcPr>
          <w:p>
            <w:pPr>
              <w:ind w:left="60"/>
              <w:spacing w:after="0"/>
              <w:rPr>
                <w:sz w:val="20"/>
                <w:szCs w:val="20"/>
                <w:color w:val="auto"/>
              </w:rPr>
            </w:pPr>
            <w:r>
              <w:rPr>
                <w:rFonts w:ascii="Arial" w:cs="Arial" w:eastAsia="Arial" w:hAnsi="Arial"/>
                <w:sz w:val="7"/>
                <w:szCs w:val="7"/>
                <w:color w:val="auto"/>
              </w:rPr>
              <w:t>Fee Interest</w:t>
            </w:r>
          </w:p>
        </w:tc>
        <w:tc>
          <w:tcPr>
            <w:tcW w:w="3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7"/>
                <w:szCs w:val="7"/>
                <w:color w:val="auto"/>
              </w:rPr>
              <w:t>1</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176,530</w:t>
            </w: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7"/>
                <w:szCs w:val="7"/>
                <w:color w:val="auto"/>
              </w:rPr>
              <w:t>100.0</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3,677,574</w:t>
            </w: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153,745,356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320" w:type="dxa"/>
            <w:vAlign w:val="bottom"/>
            <w:gridSpan w:val="3"/>
          </w:tcPr>
          <w:p>
            <w:pPr>
              <w:ind w:left="20"/>
              <w:spacing w:after="0"/>
              <w:rPr>
                <w:sz w:val="20"/>
                <w:szCs w:val="20"/>
                <w:color w:val="auto"/>
              </w:rPr>
            </w:pPr>
            <w:r>
              <w:rPr>
                <w:rFonts w:ascii="Arial" w:cs="Arial" w:eastAsia="Arial" w:hAnsi="Arial"/>
                <w:sz w:val="7"/>
                <w:szCs w:val="7"/>
                <w:b w:val="1"/>
                <w:bCs w:val="1"/>
                <w:color w:val="auto"/>
              </w:rPr>
              <w:t>Total / Weighted Average Land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7"/>
                <w:szCs w:val="7"/>
                <w:b w:val="1"/>
                <w:bCs w:val="1"/>
                <w:color w:val="auto"/>
              </w:rPr>
              <w:t>1</w:t>
            </w:r>
          </w:p>
        </w:tc>
        <w:tc>
          <w:tcPr>
            <w:tcW w:w="14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176,530</w:t>
            </w:r>
          </w:p>
        </w:tc>
        <w:tc>
          <w:tcPr>
            <w:tcW w:w="100" w:type="dxa"/>
            <w:vAlign w:val="bottom"/>
          </w:tcPr>
          <w:p>
            <w:pPr>
              <w:spacing w:after="0"/>
              <w:rPr>
                <w:sz w:val="16"/>
                <w:szCs w:val="16"/>
                <w:color w:val="auto"/>
              </w:rPr>
            </w:pPr>
          </w:p>
        </w:tc>
        <w:tc>
          <w:tcPr>
            <w:tcW w:w="40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ind w:right="24"/>
              <w:spacing w:after="0"/>
              <w:rPr>
                <w:sz w:val="20"/>
                <w:szCs w:val="20"/>
                <w:color w:val="auto"/>
              </w:rPr>
            </w:pPr>
            <w:r>
              <w:rPr>
                <w:rFonts w:ascii="Arial" w:cs="Arial" w:eastAsia="Arial" w:hAnsi="Arial"/>
                <w:sz w:val="7"/>
                <w:szCs w:val="7"/>
                <w:b w:val="1"/>
                <w:bCs w:val="1"/>
                <w:color w:val="auto"/>
              </w:rPr>
              <w:t>3,677,574</w:t>
            </w:r>
          </w:p>
        </w:tc>
        <w:tc>
          <w:tcPr>
            <w:tcW w:w="84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120" w:type="dxa"/>
            <w:vAlign w:val="bottom"/>
          </w:tcPr>
          <w:p>
            <w:pPr>
              <w:jc w:val="right"/>
              <w:ind w:right="2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153,745,356</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167640</wp:posOffset>
            </wp:positionV>
            <wp:extent cx="637032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70320" cy="698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7"/>
          <w:szCs w:val="7"/>
          <w:color w:val="auto"/>
        </w:rPr>
        <w:t>(1) Subject to a long-term, third party net operating lease.</w:t>
      </w: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35</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7" w:right="919" w:bottom="1440" w:gutter="0" w:footer="0" w:header="0"/>
        </w:sectPr>
      </w:pPr>
    </w:p>
    <w:bookmarkStart w:id="52" w:name="page53"/>
    <w:bookmarkEnd w:id="5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2"/>
          </w:tcPr>
          <w:p>
            <w:pPr>
              <w:ind w:left="20"/>
              <w:spacing w:after="0"/>
              <w:rPr>
                <w:sz w:val="20"/>
                <w:szCs w:val="20"/>
                <w:color w:val="auto"/>
              </w:rPr>
            </w:pPr>
            <w:r>
              <w:rPr>
                <w:rFonts w:ascii="Arial" w:cs="Arial" w:eastAsia="Arial" w:hAnsi="Arial"/>
                <w:sz w:val="7"/>
                <w:szCs w:val="7"/>
                <w:b w:val="1"/>
                <w:bCs w:val="1"/>
                <w:color w:val="auto"/>
              </w:rPr>
              <w:t>Ownership</w:t>
            </w: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 of</w:t>
            </w:r>
          </w:p>
        </w:tc>
        <w:tc>
          <w:tcPr>
            <w:tcW w:w="420" w:type="dxa"/>
            <w:vAlign w:val="bottom"/>
            <w:gridSpan w:val="3"/>
          </w:tcPr>
          <w:p>
            <w:pPr>
              <w:ind w:left="40"/>
              <w:spacing w:after="0"/>
              <w:rPr>
                <w:sz w:val="20"/>
                <w:szCs w:val="20"/>
                <w:color w:val="auto"/>
              </w:rPr>
            </w:pPr>
            <w:r>
              <w:rPr>
                <w:rFonts w:ascii="Arial" w:cs="Arial" w:eastAsia="Arial" w:hAnsi="Arial"/>
                <w:sz w:val="7"/>
                <w:szCs w:val="7"/>
                <w:b w:val="1"/>
                <w:bCs w:val="1"/>
                <w:color w:val="auto"/>
              </w:rPr>
              <w:t>Useable</w:t>
            </w:r>
          </w:p>
        </w:tc>
        <w:tc>
          <w:tcPr>
            <w:tcW w:w="58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3"/>
          </w:tcPr>
          <w:p>
            <w:pPr>
              <w:ind w:left="40"/>
              <w:spacing w:after="0"/>
              <w:rPr>
                <w:sz w:val="20"/>
                <w:szCs w:val="20"/>
                <w:color w:val="auto"/>
              </w:rPr>
            </w:pPr>
            <w:r>
              <w:rPr>
                <w:rFonts w:ascii="Arial" w:cs="Arial" w:eastAsia="Arial" w:hAnsi="Arial"/>
                <w:sz w:val="7"/>
                <w:szCs w:val="7"/>
                <w:b w:val="1"/>
                <w:bCs w:val="1"/>
                <w:color w:val="auto"/>
              </w:rPr>
              <w:t>Occupancy (%)</w:t>
            </w: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3"/>
          </w:tcPr>
          <w:p>
            <w:pPr>
              <w:jc w:val="right"/>
              <w:ind w:right="44"/>
              <w:spacing w:after="0"/>
              <w:rPr>
                <w:sz w:val="20"/>
                <w:szCs w:val="20"/>
                <w:color w:val="auto"/>
              </w:rPr>
            </w:pPr>
            <w:r>
              <w:rPr>
                <w:rFonts w:ascii="Arial" w:cs="Arial" w:eastAsia="Arial" w:hAnsi="Arial"/>
                <w:sz w:val="7"/>
                <w:szCs w:val="7"/>
                <w:b w:val="1"/>
                <w:bCs w:val="1"/>
                <w:color w:val="auto"/>
              </w:rPr>
              <w:t>Annualized Retail</w:t>
            </w:r>
          </w:p>
        </w:tc>
        <w:tc>
          <w:tcPr>
            <w:tcW w:w="12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7"/>
                <w:szCs w:val="7"/>
                <w:b w:val="1"/>
                <w:bCs w:val="1"/>
                <w:color w:val="auto"/>
              </w:rPr>
              <w:t>Annualized Retail Cash Rent</w:t>
            </w:r>
          </w:p>
        </w:tc>
        <w:tc>
          <w:tcPr>
            <w:tcW w:w="80" w:type="dxa"/>
            <w:vAlign w:val="bottom"/>
          </w:tcPr>
          <w:p>
            <w:pPr>
              <w:spacing w:after="0"/>
              <w:rPr>
                <w:sz w:val="8"/>
                <w:szCs w:val="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Total</w:t>
            </w: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Jun-16</w:t>
            </w: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Mar-16</w:t>
            </w:r>
          </w:p>
        </w:tc>
        <w:tc>
          <w:tcPr>
            <w:tcW w:w="100" w:type="dxa"/>
            <w:vAlign w:val="bottom"/>
          </w:tcPr>
          <w:p>
            <w:pPr>
              <w:spacing w:after="0"/>
              <w:rPr>
                <w:sz w:val="9"/>
                <w:szCs w:val="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Sep-15</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Jun-15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89"/>
        </w:trPr>
        <w:tc>
          <w:tcPr>
            <w:tcW w:w="20" w:type="dxa"/>
            <w:vAlign w:val="bottom"/>
          </w:tcPr>
          <w:p>
            <w:pPr>
              <w:spacing w:after="0"/>
              <w:rPr>
                <w:sz w:val="7"/>
                <w:szCs w:val="7"/>
                <w:color w:val="auto"/>
              </w:rPr>
            </w:pPr>
          </w:p>
        </w:tc>
        <w:tc>
          <w:tcPr>
            <w:tcW w:w="360" w:type="dxa"/>
            <w:vAlign w:val="bottom"/>
            <w:gridSpan w:val="2"/>
          </w:tcPr>
          <w:p>
            <w:pPr>
              <w:spacing w:after="0"/>
              <w:rPr>
                <w:sz w:val="20"/>
                <w:szCs w:val="20"/>
                <w:color w:val="auto"/>
              </w:rPr>
            </w:pPr>
            <w:r>
              <w:rPr>
                <w:rFonts w:ascii="Arial" w:cs="Arial" w:eastAsia="Arial" w:hAnsi="Arial"/>
                <w:sz w:val="7"/>
                <w:szCs w:val="7"/>
                <w:b w:val="1"/>
                <w:bCs w:val="1"/>
                <w:color w:val="auto"/>
                <w:w w:val="98"/>
              </w:rPr>
              <w:t>Properties</w:t>
            </w: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20"/>
                <w:szCs w:val="20"/>
                <w:color w:val="auto"/>
              </w:rPr>
            </w:pPr>
            <w:r>
              <w:rPr>
                <w:rFonts w:ascii="Arial" w:cs="Arial" w:eastAsia="Arial" w:hAnsi="Arial"/>
                <w:sz w:val="7"/>
                <w:szCs w:val="7"/>
                <w:b w:val="1"/>
                <w:bCs w:val="1"/>
                <w:color w:val="auto"/>
                <w:w w:val="99"/>
              </w:rPr>
              <w:t>Interest (%)</w:t>
            </w:r>
          </w:p>
        </w:tc>
        <w:tc>
          <w:tcPr>
            <w:tcW w:w="8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b w:val="1"/>
                <w:bCs w:val="1"/>
                <w:color w:val="auto"/>
              </w:rPr>
              <w:t>SubMarket</w:t>
            </w:r>
          </w:p>
        </w:tc>
        <w:tc>
          <w:tcPr>
            <w:tcW w:w="920" w:type="dxa"/>
            <w:vAlign w:val="bottom"/>
            <w:gridSpan w:val="3"/>
          </w:tcPr>
          <w:p>
            <w:pPr>
              <w:ind w:left="180"/>
              <w:spacing w:after="0"/>
              <w:rPr>
                <w:sz w:val="20"/>
                <w:szCs w:val="20"/>
                <w:color w:val="auto"/>
              </w:rPr>
            </w:pPr>
            <w:r>
              <w:rPr>
                <w:rFonts w:ascii="Arial" w:cs="Arial" w:eastAsia="Arial" w:hAnsi="Arial"/>
                <w:sz w:val="7"/>
                <w:szCs w:val="7"/>
                <w:b w:val="1"/>
                <w:bCs w:val="1"/>
                <w:color w:val="auto"/>
              </w:rPr>
              <w:t>Ownership</w:t>
            </w:r>
          </w:p>
        </w:tc>
        <w:tc>
          <w:tcPr>
            <w:tcW w:w="100" w:type="dxa"/>
            <w:vAlign w:val="bottom"/>
          </w:tcPr>
          <w:p>
            <w:pPr>
              <w:spacing w:after="0"/>
              <w:rPr>
                <w:sz w:val="7"/>
                <w:szCs w:val="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Bldgs</w:t>
            </w:r>
          </w:p>
        </w:tc>
        <w:tc>
          <w:tcPr>
            <w:tcW w:w="420" w:type="dxa"/>
            <w:vAlign w:val="bottom"/>
            <w:gridSpan w:val="3"/>
          </w:tcPr>
          <w:p>
            <w:pPr>
              <w:ind w:left="40"/>
              <w:spacing w:after="0"/>
              <w:rPr>
                <w:sz w:val="20"/>
                <w:szCs w:val="20"/>
                <w:color w:val="auto"/>
              </w:rPr>
            </w:pPr>
            <w:r>
              <w:rPr>
                <w:rFonts w:ascii="Arial" w:cs="Arial" w:eastAsia="Arial" w:hAnsi="Arial"/>
                <w:sz w:val="7"/>
                <w:szCs w:val="7"/>
                <w:b w:val="1"/>
                <w:bCs w:val="1"/>
                <w:color w:val="auto"/>
              </w:rPr>
              <w:t>Sq. Feet</w:t>
            </w:r>
          </w:p>
        </w:tc>
        <w:tc>
          <w:tcPr>
            <w:tcW w:w="120" w:type="dxa"/>
            <w:vAlign w:val="bottom"/>
          </w:tcPr>
          <w:p>
            <w:pPr>
              <w:spacing w:after="0"/>
              <w:rPr>
                <w:sz w:val="7"/>
                <w:szCs w:val="7"/>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b w:val="1"/>
                <w:bCs w:val="1"/>
                <w:color w:val="auto"/>
                <w:w w:val="95"/>
              </w:rPr>
              <w:t>Sq. Feet</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3"/>
          </w:tcPr>
          <w:p>
            <w:pPr>
              <w:jc w:val="right"/>
              <w:ind w:right="84"/>
              <w:spacing w:after="0"/>
              <w:rPr>
                <w:sz w:val="20"/>
                <w:szCs w:val="20"/>
                <w:color w:val="auto"/>
              </w:rPr>
            </w:pPr>
            <w:r>
              <w:rPr>
                <w:rFonts w:ascii="Arial" w:cs="Arial" w:eastAsia="Arial" w:hAnsi="Arial"/>
                <w:sz w:val="7"/>
                <w:szCs w:val="7"/>
                <w:b w:val="1"/>
                <w:bCs w:val="1"/>
                <w:color w:val="auto"/>
              </w:rPr>
              <w:t xml:space="preserve">Cash Rent </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's)</w:t>
            </w:r>
          </w:p>
        </w:tc>
        <w:tc>
          <w:tcPr>
            <w:tcW w:w="780" w:type="dxa"/>
            <w:vAlign w:val="bottom"/>
          </w:tcPr>
          <w:p>
            <w:pPr>
              <w:jc w:val="right"/>
              <w:ind w:right="164"/>
              <w:spacing w:after="0"/>
              <w:rPr>
                <w:sz w:val="20"/>
                <w:szCs w:val="20"/>
                <w:color w:val="auto"/>
              </w:rPr>
            </w:pPr>
            <w:r>
              <w:rPr>
                <w:rFonts w:ascii="Arial" w:cs="Arial" w:eastAsia="Arial" w:hAnsi="Arial"/>
                <w:sz w:val="7"/>
                <w:szCs w:val="7"/>
                <w:b w:val="1"/>
                <w:bCs w:val="1"/>
                <w:color w:val="auto"/>
              </w:rPr>
              <w:t>100%</w:t>
            </w:r>
          </w:p>
        </w:tc>
        <w:tc>
          <w:tcPr>
            <w:tcW w:w="440" w:type="dxa"/>
            <w:vAlign w:val="bottom"/>
          </w:tcPr>
          <w:p>
            <w:pPr>
              <w:jc w:val="right"/>
              <w:ind w:right="64"/>
              <w:spacing w:after="0"/>
              <w:rPr>
                <w:sz w:val="20"/>
                <w:szCs w:val="20"/>
                <w:color w:val="auto"/>
              </w:rPr>
            </w:pPr>
            <w:r>
              <w:rPr>
                <w:rFonts w:ascii="Arial" w:cs="Arial" w:eastAsia="Arial" w:hAnsi="Arial"/>
                <w:sz w:val="7"/>
                <w:szCs w:val="7"/>
                <w:b w:val="1"/>
                <w:bCs w:val="1"/>
                <w:color w:val="auto"/>
              </w:rPr>
              <w:t>SLG</w:t>
            </w:r>
          </w:p>
        </w:tc>
        <w:tc>
          <w:tcPr>
            <w:tcW w:w="38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Tenants</w:t>
            </w: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7"/>
                <w:szCs w:val="7"/>
                <w:b w:val="1"/>
                <w:bCs w:val="1"/>
                <w:color w:val="auto"/>
              </w:rPr>
              <w:t>HIGH STREET RETAIL - Consolidated Properties</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7"/>
                <w:szCs w:val="7"/>
                <w:color w:val="auto"/>
              </w:rPr>
              <w:t>5-7 Dey Street</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40" w:type="dxa"/>
            <w:vAlign w:val="bottom"/>
            <w:gridSpan w:val="2"/>
          </w:tcPr>
          <w:p>
            <w:pPr>
              <w:jc w:val="right"/>
              <w:ind w:right="20"/>
              <w:spacing w:after="0"/>
              <w:rPr>
                <w:sz w:val="20"/>
                <w:szCs w:val="20"/>
                <w:color w:val="auto"/>
              </w:rPr>
            </w:pPr>
            <w:r>
              <w:rPr>
                <w:rFonts w:ascii="Arial" w:cs="Arial" w:eastAsia="Arial" w:hAnsi="Arial"/>
                <w:sz w:val="7"/>
                <w:szCs w:val="7"/>
                <w:color w:val="auto"/>
              </w:rPr>
              <w:t>70,000</w:t>
            </w:r>
          </w:p>
        </w:tc>
        <w:tc>
          <w:tcPr>
            <w:tcW w:w="8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3.4</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59.4</w:t>
            </w: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69.6</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75.4</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90.0</w:t>
            </w:r>
          </w:p>
        </w:tc>
        <w:tc>
          <w:tcPr>
            <w:tcW w:w="8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60" w:type="dxa"/>
            <w:vAlign w:val="bottom"/>
          </w:tcPr>
          <w:p>
            <w:pPr>
              <w:jc w:val="right"/>
              <w:spacing w:after="0"/>
              <w:rPr>
                <w:sz w:val="20"/>
                <w:szCs w:val="20"/>
                <w:color w:val="auto"/>
              </w:rPr>
            </w:pPr>
            <w:r>
              <w:rPr>
                <w:rFonts w:ascii="Arial" w:cs="Arial" w:eastAsia="Arial" w:hAnsi="Arial"/>
                <w:sz w:val="7"/>
                <w:szCs w:val="7"/>
                <w:color w:val="auto"/>
              </w:rPr>
              <w:t>$</w:t>
            </w: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1,490,427</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0.5</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22</w:t>
            </w:r>
          </w:p>
        </w:tc>
      </w:tr>
      <w:tr>
        <w:trPr>
          <w:trHeight w:val="219"/>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7"/>
                <w:szCs w:val="7"/>
                <w:color w:val="auto"/>
              </w:rPr>
              <w:t>19-21 East 65th Street</w:t>
            </w:r>
          </w:p>
        </w:tc>
        <w:tc>
          <w:tcPr>
            <w:tcW w:w="580" w:type="dxa"/>
            <w:vAlign w:val="bottom"/>
            <w:gridSpan w:val="2"/>
          </w:tcPr>
          <w:p>
            <w:pPr>
              <w:jc w:val="center"/>
              <w:ind w:left="124"/>
              <w:spacing w:after="0"/>
              <w:rPr>
                <w:sz w:val="20"/>
                <w:szCs w:val="20"/>
                <w:color w:val="auto"/>
              </w:rPr>
            </w:pPr>
            <w:r>
              <w:rPr>
                <w:rFonts w:ascii="Arial" w:cs="Arial" w:eastAsia="Arial" w:hAnsi="Arial"/>
                <w:sz w:val="7"/>
                <w:szCs w:val="7"/>
                <w:color w:val="auto"/>
              </w:rPr>
              <w:t>90.0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Leasehold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2</w:t>
            </w:r>
          </w:p>
        </w:tc>
        <w:tc>
          <w:tcPr>
            <w:tcW w:w="340" w:type="dxa"/>
            <w:vAlign w:val="bottom"/>
            <w:gridSpan w:val="2"/>
          </w:tcPr>
          <w:p>
            <w:pPr>
              <w:jc w:val="right"/>
              <w:ind w:right="20"/>
              <w:spacing w:after="0"/>
              <w:rPr>
                <w:sz w:val="20"/>
                <w:szCs w:val="20"/>
                <w:color w:val="auto"/>
              </w:rPr>
            </w:pPr>
            <w:r>
              <w:rPr>
                <w:rFonts w:ascii="Arial" w:cs="Arial" w:eastAsia="Arial" w:hAnsi="Arial"/>
                <w:sz w:val="7"/>
                <w:szCs w:val="7"/>
                <w:color w:val="auto"/>
              </w:rPr>
              <w:t>23,610</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77.5</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77.5</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60.5</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66.0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66.0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1,145,068</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0.4</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0.5</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15</w:t>
            </w: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102</w:t>
            </w:r>
          </w:p>
        </w:tc>
        <w:tc>
          <w:tcPr>
            <w:tcW w:w="114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Soho</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20" w:type="dxa"/>
            <w:vAlign w:val="bottom"/>
          </w:tcPr>
          <w:p>
            <w:pPr>
              <w:jc w:val="right"/>
              <w:spacing w:after="0"/>
              <w:rPr>
                <w:sz w:val="20"/>
                <w:szCs w:val="20"/>
                <w:color w:val="auto"/>
              </w:rPr>
            </w:pPr>
            <w:r>
              <w:rPr>
                <w:rFonts w:ascii="Arial" w:cs="Arial" w:eastAsia="Arial" w:hAnsi="Arial"/>
                <w:sz w:val="7"/>
                <w:szCs w:val="7"/>
                <w:color w:val="auto"/>
              </w:rPr>
              <w:t>9,200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360,000</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0.1</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115</w:t>
            </w:r>
          </w:p>
        </w:tc>
        <w:tc>
          <w:tcPr>
            <w:tcW w:w="1140" w:type="dxa"/>
            <w:vAlign w:val="bottom"/>
            <w:gridSpan w:val="2"/>
          </w:tcPr>
          <w:p>
            <w:pPr>
              <w:ind w:left="20"/>
              <w:spacing w:after="0"/>
              <w:rPr>
                <w:sz w:val="20"/>
                <w:szCs w:val="20"/>
                <w:color w:val="auto"/>
              </w:rPr>
            </w:pPr>
            <w:r>
              <w:rPr>
                <w:rFonts w:ascii="Arial" w:cs="Arial" w:eastAsia="Arial" w:hAnsi="Arial"/>
                <w:sz w:val="7"/>
                <w:szCs w:val="7"/>
                <w:color w:val="auto"/>
              </w:rPr>
              <w:t>Spring Street</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Soho</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20" w:type="dxa"/>
            <w:vAlign w:val="bottom"/>
          </w:tcPr>
          <w:p>
            <w:pPr>
              <w:jc w:val="right"/>
              <w:spacing w:after="0"/>
              <w:rPr>
                <w:sz w:val="20"/>
                <w:szCs w:val="20"/>
                <w:color w:val="auto"/>
              </w:rPr>
            </w:pPr>
            <w:r>
              <w:rPr>
                <w:rFonts w:ascii="Arial" w:cs="Arial" w:eastAsia="Arial" w:hAnsi="Arial"/>
                <w:sz w:val="7"/>
                <w:szCs w:val="7"/>
                <w:color w:val="auto"/>
              </w:rPr>
              <w:t>5,218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2,800,000</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1.4</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183</w:t>
            </w:r>
          </w:p>
        </w:tc>
        <w:tc>
          <w:tcPr>
            <w:tcW w:w="1140" w:type="dxa"/>
            <w:vAlign w:val="bottom"/>
            <w:gridSpan w:val="2"/>
          </w:tcPr>
          <w:p>
            <w:pPr>
              <w:ind w:left="20"/>
              <w:spacing w:after="0"/>
              <w:rPr>
                <w:sz w:val="20"/>
                <w:szCs w:val="20"/>
                <w:color w:val="auto"/>
              </w:rPr>
            </w:pPr>
            <w:r>
              <w:rPr>
                <w:rFonts w:ascii="Arial" w:cs="Arial" w:eastAsia="Arial" w:hAnsi="Arial"/>
                <w:sz w:val="7"/>
                <w:szCs w:val="7"/>
                <w:color w:val="auto"/>
              </w:rPr>
              <w:t>Broadway</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20" w:type="dxa"/>
            <w:vAlign w:val="bottom"/>
          </w:tcPr>
          <w:p>
            <w:pPr>
              <w:jc w:val="right"/>
              <w:spacing w:after="0"/>
              <w:rPr>
                <w:sz w:val="20"/>
                <w:szCs w:val="20"/>
                <w:color w:val="auto"/>
              </w:rPr>
            </w:pPr>
            <w:r>
              <w:rPr>
                <w:rFonts w:ascii="Arial" w:cs="Arial" w:eastAsia="Arial" w:hAnsi="Arial"/>
                <w:sz w:val="7"/>
                <w:szCs w:val="7"/>
                <w:color w:val="auto"/>
              </w:rPr>
              <w:t>9,100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58.3</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58.3</w:t>
            </w:r>
          </w:p>
        </w:tc>
        <w:tc>
          <w:tcPr>
            <w:tcW w:w="1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447,420</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0.1</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3</w:t>
            </w: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187</w:t>
            </w:r>
          </w:p>
        </w:tc>
        <w:tc>
          <w:tcPr>
            <w:tcW w:w="1140" w:type="dxa"/>
            <w:vAlign w:val="bottom"/>
            <w:gridSpan w:val="2"/>
          </w:tcPr>
          <w:p>
            <w:pPr>
              <w:ind w:left="20"/>
              <w:spacing w:after="0"/>
              <w:rPr>
                <w:sz w:val="20"/>
                <w:szCs w:val="20"/>
                <w:color w:val="auto"/>
              </w:rPr>
            </w:pPr>
            <w:r>
              <w:rPr>
                <w:rFonts w:ascii="Arial" w:cs="Arial" w:eastAsia="Arial" w:hAnsi="Arial"/>
                <w:sz w:val="7"/>
                <w:szCs w:val="7"/>
                <w:color w:val="auto"/>
              </w:rPr>
              <w:t>Broadway</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20" w:type="dxa"/>
            <w:vAlign w:val="bottom"/>
          </w:tcPr>
          <w:p>
            <w:pPr>
              <w:jc w:val="right"/>
              <w:spacing w:after="0"/>
              <w:rPr>
                <w:sz w:val="20"/>
                <w:szCs w:val="20"/>
                <w:color w:val="auto"/>
              </w:rPr>
            </w:pPr>
            <w:r>
              <w:rPr>
                <w:rFonts w:ascii="Arial" w:cs="Arial" w:eastAsia="Arial" w:hAnsi="Arial"/>
                <w:sz w:val="7"/>
                <w:szCs w:val="7"/>
                <w:color w:val="auto"/>
              </w:rPr>
              <w:t>3,600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625,900</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0.2</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0.3</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315</w:t>
            </w:r>
          </w:p>
        </w:tc>
        <w:tc>
          <w:tcPr>
            <w:tcW w:w="1140" w:type="dxa"/>
            <w:vAlign w:val="bottom"/>
            <w:gridSpan w:val="2"/>
          </w:tcPr>
          <w:p>
            <w:pPr>
              <w:ind w:left="20"/>
              <w:spacing w:after="0"/>
              <w:rPr>
                <w:sz w:val="20"/>
                <w:szCs w:val="20"/>
                <w:color w:val="auto"/>
              </w:rPr>
            </w:pPr>
            <w:r>
              <w:rPr>
                <w:rFonts w:ascii="Arial" w:cs="Arial" w:eastAsia="Arial" w:hAnsi="Arial"/>
                <w:sz w:val="7"/>
                <w:szCs w:val="7"/>
                <w:color w:val="auto"/>
              </w:rPr>
              <w:t>West 33rd Street - The Olivia</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Penn Station</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40" w:type="dxa"/>
            <w:vAlign w:val="bottom"/>
            <w:gridSpan w:val="2"/>
          </w:tcPr>
          <w:p>
            <w:pPr>
              <w:jc w:val="right"/>
              <w:ind w:right="20"/>
              <w:spacing w:after="0"/>
              <w:rPr>
                <w:sz w:val="20"/>
                <w:szCs w:val="20"/>
                <w:color w:val="auto"/>
              </w:rPr>
            </w:pPr>
            <w:r>
              <w:rPr>
                <w:rFonts w:ascii="Arial" w:cs="Arial" w:eastAsia="Arial" w:hAnsi="Arial"/>
                <w:sz w:val="7"/>
                <w:szCs w:val="7"/>
                <w:color w:val="auto"/>
              </w:rPr>
              <w:t>217,519</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10.6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12,082,681</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3.9</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5.9</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9</w:t>
            </w:r>
          </w:p>
        </w:tc>
      </w:tr>
      <w:tr>
        <w:trPr>
          <w:trHeight w:val="219"/>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7"/>
                <w:szCs w:val="7"/>
                <w:color w:val="auto"/>
              </w:rPr>
              <w:t>719 Seventh Avenue</w:t>
            </w:r>
          </w:p>
        </w:tc>
        <w:tc>
          <w:tcPr>
            <w:tcW w:w="580" w:type="dxa"/>
            <w:vAlign w:val="bottom"/>
            <w:gridSpan w:val="2"/>
          </w:tcPr>
          <w:p>
            <w:pPr>
              <w:jc w:val="center"/>
              <w:ind w:left="124"/>
              <w:spacing w:after="0"/>
              <w:rPr>
                <w:sz w:val="20"/>
                <w:szCs w:val="20"/>
                <w:color w:val="auto"/>
              </w:rPr>
            </w:pPr>
            <w:r>
              <w:rPr>
                <w:rFonts w:ascii="Arial" w:cs="Arial" w:eastAsia="Arial" w:hAnsi="Arial"/>
                <w:sz w:val="7"/>
                <w:szCs w:val="7"/>
                <w:color w:val="auto"/>
              </w:rPr>
              <w:t>75.0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420" w:type="dxa"/>
            <w:vAlign w:val="bottom"/>
            <w:gridSpan w:val="3"/>
          </w:tcPr>
          <w:p>
            <w:pPr>
              <w:jc w:val="right"/>
              <w:ind w:right="100"/>
              <w:spacing w:after="0"/>
              <w:rPr>
                <w:sz w:val="20"/>
                <w:szCs w:val="20"/>
                <w:color w:val="auto"/>
              </w:rPr>
            </w:pPr>
            <w:r>
              <w:rPr>
                <w:rFonts w:ascii="Arial" w:cs="Arial" w:eastAsia="Arial" w:hAnsi="Arial"/>
                <w:sz w:val="7"/>
                <w:szCs w:val="7"/>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0.0</w:t>
            </w:r>
          </w:p>
        </w:tc>
        <w:tc>
          <w:tcPr>
            <w:tcW w:w="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ind w:right="4"/>
              <w:spacing w:after="0"/>
              <w:rPr>
                <w:sz w:val="20"/>
                <w:szCs w:val="20"/>
                <w:color w:val="auto"/>
              </w:rPr>
            </w:pPr>
            <w:r>
              <w:rPr>
                <w:rFonts w:ascii="Arial" w:cs="Arial" w:eastAsia="Arial" w:hAnsi="Arial"/>
                <w:sz w:val="7"/>
                <w:szCs w:val="7"/>
                <w:color w:val="auto"/>
                <w:w w:val="85"/>
              </w:rPr>
              <w:t>—</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0.0</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0.0</w:t>
            </w:r>
          </w:p>
        </w:tc>
        <w:tc>
          <w:tcPr>
            <w:tcW w:w="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r>
      <w:tr>
        <w:trPr>
          <w:trHeight w:val="219"/>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7"/>
                <w:szCs w:val="7"/>
                <w:color w:val="auto"/>
              </w:rPr>
              <w:t>752-760 Madison Avenue</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40" w:type="dxa"/>
            <w:vAlign w:val="bottom"/>
            <w:gridSpan w:val="2"/>
          </w:tcPr>
          <w:p>
            <w:pPr>
              <w:jc w:val="right"/>
              <w:ind w:right="20"/>
              <w:spacing w:after="0"/>
              <w:rPr>
                <w:sz w:val="20"/>
                <w:szCs w:val="20"/>
                <w:color w:val="auto"/>
              </w:rPr>
            </w:pPr>
            <w:r>
              <w:rPr>
                <w:rFonts w:ascii="Arial" w:cs="Arial" w:eastAsia="Arial" w:hAnsi="Arial"/>
                <w:sz w:val="7"/>
                <w:szCs w:val="7"/>
                <w:color w:val="auto"/>
              </w:rPr>
              <w:t>21,124</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12,954,824</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4.2</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6.3</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762</w:t>
            </w:r>
          </w:p>
        </w:tc>
        <w:tc>
          <w:tcPr>
            <w:tcW w:w="114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580" w:type="dxa"/>
            <w:vAlign w:val="bottom"/>
            <w:gridSpan w:val="2"/>
          </w:tcPr>
          <w:p>
            <w:pPr>
              <w:jc w:val="center"/>
              <w:ind w:left="124"/>
              <w:spacing w:after="0"/>
              <w:rPr>
                <w:sz w:val="20"/>
                <w:szCs w:val="20"/>
                <w:color w:val="auto"/>
              </w:rPr>
            </w:pPr>
            <w:r>
              <w:rPr>
                <w:rFonts w:ascii="Arial" w:cs="Arial" w:eastAsia="Arial" w:hAnsi="Arial"/>
                <w:sz w:val="7"/>
                <w:szCs w:val="7"/>
                <w:color w:val="auto"/>
              </w:rPr>
              <w:t>90.0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20" w:type="dxa"/>
            <w:vAlign w:val="bottom"/>
          </w:tcPr>
          <w:p>
            <w:pPr>
              <w:jc w:val="right"/>
              <w:spacing w:after="0"/>
              <w:rPr>
                <w:sz w:val="20"/>
                <w:szCs w:val="20"/>
                <w:color w:val="auto"/>
              </w:rPr>
            </w:pPr>
            <w:r>
              <w:rPr>
                <w:rFonts w:ascii="Arial" w:cs="Arial" w:eastAsia="Arial" w:hAnsi="Arial"/>
                <w:sz w:val="7"/>
                <w:szCs w:val="7"/>
                <w:color w:val="auto"/>
              </w:rPr>
              <w:t>6,109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1,786,880</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0.6</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5</w:t>
            </w:r>
          </w:p>
        </w:tc>
      </w:tr>
      <w:tr>
        <w:trPr>
          <w:trHeight w:val="219"/>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7"/>
                <w:szCs w:val="7"/>
                <w:color w:val="auto"/>
              </w:rPr>
              <w:t>Williamsburg Terrace</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160"/>
              <w:spacing w:after="0"/>
              <w:rPr>
                <w:sz w:val="20"/>
                <w:szCs w:val="20"/>
                <w:color w:val="auto"/>
              </w:rPr>
            </w:pPr>
            <w:r>
              <w:rPr>
                <w:rFonts w:ascii="Arial" w:cs="Arial" w:eastAsia="Arial" w:hAnsi="Arial"/>
                <w:sz w:val="7"/>
                <w:szCs w:val="7"/>
                <w:color w:val="auto"/>
              </w:rPr>
              <w:t>1</w:t>
            </w:r>
          </w:p>
        </w:tc>
        <w:tc>
          <w:tcPr>
            <w:tcW w:w="340" w:type="dxa"/>
            <w:vAlign w:val="bottom"/>
            <w:gridSpan w:val="2"/>
          </w:tcPr>
          <w:p>
            <w:pPr>
              <w:jc w:val="right"/>
              <w:ind w:right="20"/>
              <w:spacing w:after="0"/>
              <w:rPr>
                <w:sz w:val="20"/>
                <w:szCs w:val="20"/>
                <w:color w:val="auto"/>
              </w:rPr>
            </w:pPr>
            <w:r>
              <w:rPr>
                <w:rFonts w:ascii="Arial" w:cs="Arial" w:eastAsia="Arial" w:hAnsi="Arial"/>
                <w:sz w:val="7"/>
                <w:szCs w:val="7"/>
                <w:color w:val="auto"/>
              </w:rPr>
              <w:t>52,000</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2.5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7"/>
                <w:szCs w:val="7"/>
                <w:color w:val="auto"/>
              </w:rPr>
              <w:t>1,786,484</w:t>
            </w:r>
          </w:p>
        </w:tc>
        <w:tc>
          <w:tcPr>
            <w:tcW w:w="780" w:type="dxa"/>
            <w:vAlign w:val="bottom"/>
          </w:tcPr>
          <w:p>
            <w:pPr>
              <w:jc w:val="right"/>
              <w:ind w:right="224"/>
              <w:spacing w:after="0"/>
              <w:rPr>
                <w:sz w:val="20"/>
                <w:szCs w:val="20"/>
                <w:color w:val="auto"/>
              </w:rPr>
            </w:pPr>
            <w:r>
              <w:rPr>
                <w:rFonts w:ascii="Arial" w:cs="Arial" w:eastAsia="Arial" w:hAnsi="Arial"/>
                <w:sz w:val="7"/>
                <w:szCs w:val="7"/>
                <w:color w:val="auto"/>
              </w:rPr>
              <w:t>0.6</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0.9</w:t>
            </w: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3</w:t>
            </w:r>
          </w:p>
        </w:tc>
      </w:tr>
      <w:tr>
        <w:trPr>
          <w:trHeight w:val="225"/>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7"/>
                <w:szCs w:val="7"/>
                <w:color w:val="auto"/>
              </w:rPr>
              <w:t>1640 Flatbush Avenue</w:t>
            </w:r>
          </w:p>
        </w:tc>
        <w:tc>
          <w:tcPr>
            <w:tcW w:w="580" w:type="dxa"/>
            <w:vAlign w:val="bottom"/>
            <w:gridSpan w:val="2"/>
          </w:tcPr>
          <w:p>
            <w:pPr>
              <w:jc w:val="center"/>
              <w:ind w:left="1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7"/>
                <w:szCs w:val="7"/>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7"/>
                <w:szCs w:val="7"/>
                <w:color w:val="auto"/>
              </w:rPr>
              <w:t>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7"/>
                <w:szCs w:val="7"/>
                <w:color w:val="auto"/>
              </w:rPr>
              <w:t>85,152</w:t>
            </w: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7"/>
                <w:szCs w:val="7"/>
                <w:color w:val="auto"/>
              </w:rPr>
              <w:t>0.0</w:t>
            </w:r>
          </w:p>
        </w:tc>
        <w:tc>
          <w:tcPr>
            <w:tcW w:w="4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0.0</w:t>
            </w:r>
          </w:p>
        </w:tc>
        <w:tc>
          <w:tcPr>
            <w:tcW w:w="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1</w:t>
            </w:r>
          </w:p>
        </w:tc>
      </w:tr>
    </w:tbl>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94"/>
        </w:trPr>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20"/>
                <w:szCs w:val="20"/>
                <w:color w:val="auto"/>
              </w:rPr>
            </w:pPr>
            <w:r>
              <w:rPr>
                <w:rFonts w:ascii="Arial" w:cs="Arial" w:eastAsia="Arial" w:hAnsi="Arial"/>
                <w:sz w:val="7"/>
                <w:szCs w:val="7"/>
                <w:b w:val="1"/>
                <w:bCs w:val="1"/>
                <w:color w:val="auto"/>
              </w:rPr>
              <w:t>Subtotal / Weighted Average</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13</w:t>
            </w: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418,480</w:t>
            </w: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20.4%</w:t>
            </w: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90.0%</w:t>
            </w: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90.5%</w:t>
            </w:r>
          </w:p>
        </w:tc>
        <w:tc>
          <w:tcPr>
            <w:tcW w:w="1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92.5%</w:t>
            </w:r>
          </w:p>
        </w:tc>
        <w:tc>
          <w:tcPr>
            <w:tcW w:w="100" w:type="dxa"/>
            <w:vAlign w:val="bottom"/>
          </w:tcPr>
          <w:p>
            <w:pPr>
              <w:spacing w:after="0"/>
              <w:rPr>
                <w:sz w:val="8"/>
                <w:szCs w:val="8"/>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95.3%</w:t>
            </w:r>
          </w:p>
        </w:tc>
        <w:tc>
          <w:tcPr>
            <w:tcW w:w="80" w:type="dxa"/>
            <w:vAlign w:val="bottom"/>
          </w:tcPr>
          <w:p>
            <w:pPr>
              <w:spacing w:after="0"/>
              <w:rPr>
                <w:sz w:val="8"/>
                <w:szCs w:val="8"/>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96.4%</w:t>
            </w:r>
          </w:p>
        </w:tc>
        <w:tc>
          <w:tcPr>
            <w:tcW w:w="80" w:type="dxa"/>
            <w:vAlign w:val="bottom"/>
          </w:tcPr>
          <w:p>
            <w:pPr>
              <w:spacing w:after="0"/>
              <w:rPr>
                <w:sz w:val="8"/>
                <w:szCs w:val="8"/>
                <w:color w:val="auto"/>
              </w:rPr>
            </w:pP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720" w:type="dxa"/>
            <w:vAlign w:val="bottom"/>
          </w:tcPr>
          <w:p>
            <w:pPr>
              <w:jc w:val="right"/>
              <w:ind w:right="164"/>
              <w:spacing w:after="0"/>
              <w:rPr>
                <w:sz w:val="20"/>
                <w:szCs w:val="20"/>
                <w:color w:val="auto"/>
              </w:rPr>
            </w:pPr>
            <w:r>
              <w:rPr>
                <w:rFonts w:ascii="Arial" w:cs="Arial" w:eastAsia="Arial" w:hAnsi="Arial"/>
                <w:sz w:val="7"/>
                <w:szCs w:val="7"/>
                <w:b w:val="1"/>
                <w:bCs w:val="1"/>
                <w:color w:val="auto"/>
              </w:rPr>
              <w:t>35,564,835</w:t>
            </w:r>
          </w:p>
        </w:tc>
        <w:tc>
          <w:tcPr>
            <w:tcW w:w="620" w:type="dxa"/>
            <w:vAlign w:val="bottom"/>
          </w:tcPr>
          <w:p>
            <w:pPr>
              <w:jc w:val="right"/>
              <w:ind w:right="164"/>
              <w:spacing w:after="0"/>
              <w:rPr>
                <w:sz w:val="20"/>
                <w:szCs w:val="20"/>
                <w:color w:val="auto"/>
              </w:rPr>
            </w:pPr>
            <w:r>
              <w:rPr>
                <w:rFonts w:ascii="Arial" w:cs="Arial" w:eastAsia="Arial" w:hAnsi="Arial"/>
                <w:sz w:val="7"/>
                <w:szCs w:val="7"/>
                <w:b w:val="1"/>
                <w:bCs w:val="1"/>
                <w:color w:val="auto"/>
              </w:rPr>
              <w:t>11.6%</w:t>
            </w: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17.3%</w:t>
            </w:r>
          </w:p>
        </w:tc>
        <w:tc>
          <w:tcPr>
            <w:tcW w:w="280" w:type="dxa"/>
            <w:vAlign w:val="bottom"/>
          </w:tcPr>
          <w:p>
            <w:pPr>
              <w:jc w:val="right"/>
              <w:spacing w:after="0"/>
              <w:rPr>
                <w:sz w:val="20"/>
                <w:szCs w:val="20"/>
                <w:color w:val="auto"/>
              </w:rPr>
            </w:pPr>
            <w:r>
              <w:rPr>
                <w:rFonts w:ascii="Arial" w:cs="Arial" w:eastAsia="Arial" w:hAnsi="Arial"/>
                <w:sz w:val="7"/>
                <w:szCs w:val="7"/>
                <w:b w:val="1"/>
                <w:bCs w:val="1"/>
                <w:color w:val="auto"/>
              </w:rPr>
              <w:t>62</w:t>
            </w:r>
          </w:p>
        </w:tc>
      </w:tr>
      <w:tr>
        <w:trPr>
          <w:trHeight w:val="323"/>
        </w:trPr>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HIGH STREET RETAIL - Unconsolidated Properties</w:t>
            </w: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03"/>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11 West 34th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30.0</w:t>
            </w:r>
          </w:p>
        </w:tc>
        <w:tc>
          <w:tcPr>
            <w:tcW w:w="960" w:type="dxa"/>
            <w:vAlign w:val="bottom"/>
          </w:tcPr>
          <w:p>
            <w:pPr>
              <w:spacing w:after="0"/>
              <w:rPr>
                <w:sz w:val="20"/>
                <w:szCs w:val="20"/>
                <w:color w:val="auto"/>
              </w:rPr>
            </w:pPr>
            <w:r>
              <w:rPr>
                <w:rFonts w:ascii="Arial" w:cs="Arial" w:eastAsia="Arial" w:hAnsi="Arial"/>
                <w:sz w:val="7"/>
                <w:szCs w:val="7"/>
                <w:color w:val="auto"/>
              </w:rPr>
              <w:t>Herald Square/Penn Station</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17,150</w:t>
            </w:r>
          </w:p>
        </w:tc>
        <w:tc>
          <w:tcPr>
            <w:tcW w:w="80" w:type="dxa"/>
            <w:vAlign w:val="bottom"/>
          </w:tcPr>
          <w:p>
            <w:pPr>
              <w:spacing w:after="0"/>
              <w:rPr>
                <w:sz w:val="17"/>
                <w:szCs w:val="17"/>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2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2,586,670</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0.8</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0.4</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21 East 66th Street</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32.28</w:t>
            </w:r>
          </w:p>
        </w:tc>
        <w:tc>
          <w:tcPr>
            <w:tcW w:w="960" w:type="dxa"/>
            <w:vAlign w:val="bottom"/>
          </w:tcPr>
          <w:p>
            <w:pPr>
              <w:spacing w:after="0"/>
              <w:rPr>
                <w:sz w:val="20"/>
                <w:szCs w:val="20"/>
                <w:color w:val="auto"/>
              </w:rPr>
            </w:pPr>
            <w:r>
              <w:rPr>
                <w:rFonts w:ascii="Arial" w:cs="Arial" w:eastAsia="Arial" w:hAnsi="Arial"/>
                <w:sz w:val="7"/>
                <w:szCs w:val="7"/>
                <w:color w:val="auto"/>
              </w:rPr>
              <w:t>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13,069</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3,672,295</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0.6</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121</w:t>
            </w:r>
          </w:p>
        </w:tc>
        <w:tc>
          <w:tcPr>
            <w:tcW w:w="820" w:type="dxa"/>
            <w:vAlign w:val="bottom"/>
          </w:tcPr>
          <w:p>
            <w:pPr>
              <w:ind w:left="20"/>
              <w:spacing w:after="0"/>
              <w:rPr>
                <w:sz w:val="20"/>
                <w:szCs w:val="20"/>
                <w:color w:val="auto"/>
              </w:rPr>
            </w:pPr>
            <w:r>
              <w:rPr>
                <w:rFonts w:ascii="Arial" w:cs="Arial" w:eastAsia="Arial" w:hAnsi="Arial"/>
                <w:sz w:val="7"/>
                <w:szCs w:val="7"/>
                <w:color w:val="auto"/>
              </w:rPr>
              <w:t>Greene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50.0</w:t>
            </w:r>
          </w:p>
        </w:tc>
        <w:tc>
          <w:tcPr>
            <w:tcW w:w="960" w:type="dxa"/>
            <w:vAlign w:val="bottom"/>
          </w:tcPr>
          <w:p>
            <w:pPr>
              <w:spacing w:after="0"/>
              <w:rPr>
                <w:sz w:val="20"/>
                <w:szCs w:val="20"/>
                <w:color w:val="auto"/>
              </w:rPr>
            </w:pPr>
            <w:r>
              <w:rPr>
                <w:rFonts w:ascii="Arial" w:cs="Arial" w:eastAsia="Arial" w:hAnsi="Arial"/>
                <w:sz w:val="7"/>
                <w:szCs w:val="7"/>
                <w:color w:val="auto"/>
              </w:rPr>
              <w:t>Soho</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7,131</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1,369,639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0.3</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131-137 Spring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20.0</w:t>
            </w:r>
          </w:p>
        </w:tc>
        <w:tc>
          <w:tcPr>
            <w:tcW w:w="960" w:type="dxa"/>
            <w:vAlign w:val="bottom"/>
          </w:tcPr>
          <w:p>
            <w:pPr>
              <w:spacing w:after="0"/>
              <w:rPr>
                <w:sz w:val="20"/>
                <w:szCs w:val="20"/>
                <w:color w:val="auto"/>
              </w:rPr>
            </w:pPr>
            <w:r>
              <w:rPr>
                <w:rFonts w:ascii="Arial" w:cs="Arial" w:eastAsia="Arial" w:hAnsi="Arial"/>
                <w:sz w:val="7"/>
                <w:szCs w:val="7"/>
                <w:color w:val="auto"/>
              </w:rPr>
              <w:t>Soho</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400" w:type="dxa"/>
            <w:vAlign w:val="bottom"/>
          </w:tcPr>
          <w:p>
            <w:pPr>
              <w:jc w:val="right"/>
              <w:spacing w:after="0"/>
              <w:rPr>
                <w:sz w:val="20"/>
                <w:szCs w:val="20"/>
                <w:color w:val="auto"/>
              </w:rPr>
            </w:pPr>
            <w:r>
              <w:rPr>
                <w:rFonts w:ascii="Arial" w:cs="Arial" w:eastAsia="Arial" w:hAnsi="Arial"/>
                <w:sz w:val="7"/>
                <w:szCs w:val="7"/>
                <w:color w:val="auto"/>
              </w:rPr>
              <w:t>68,342</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3.3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93.9</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11,676,003</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3.8</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1.1</w:t>
            </w:r>
          </w:p>
        </w:tc>
        <w:tc>
          <w:tcPr>
            <w:tcW w:w="280" w:type="dxa"/>
            <w:vAlign w:val="bottom"/>
          </w:tcPr>
          <w:p>
            <w:pPr>
              <w:jc w:val="right"/>
              <w:spacing w:after="0"/>
              <w:rPr>
                <w:sz w:val="20"/>
                <w:szCs w:val="20"/>
                <w:color w:val="auto"/>
              </w:rPr>
            </w:pPr>
            <w:r>
              <w:rPr>
                <w:rFonts w:ascii="Arial" w:cs="Arial" w:eastAsia="Arial" w:hAnsi="Arial"/>
                <w:sz w:val="7"/>
                <w:szCs w:val="7"/>
                <w:color w:val="auto"/>
              </w:rPr>
              <w:t>9</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650</w:t>
            </w:r>
          </w:p>
        </w:tc>
        <w:tc>
          <w:tcPr>
            <w:tcW w:w="82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50.0</w:t>
            </w:r>
          </w:p>
        </w:tc>
        <w:tc>
          <w:tcPr>
            <w:tcW w:w="960" w:type="dxa"/>
            <w:vAlign w:val="bottom"/>
          </w:tcPr>
          <w:p>
            <w:pPr>
              <w:spacing w:after="0"/>
              <w:rPr>
                <w:sz w:val="20"/>
                <w:szCs w:val="20"/>
                <w:color w:val="auto"/>
              </w:rPr>
            </w:pPr>
            <w:r>
              <w:rPr>
                <w:rFonts w:ascii="Arial" w:cs="Arial" w:eastAsia="Arial" w:hAnsi="Arial"/>
                <w:sz w:val="7"/>
                <w:szCs w:val="7"/>
                <w:color w:val="auto"/>
              </w:rPr>
              <w:t>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32,324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1,341,662</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0.3</w:t>
            </w:r>
          </w:p>
        </w:tc>
        <w:tc>
          <w:tcPr>
            <w:tcW w:w="280" w:type="dxa"/>
            <w:vAlign w:val="bottom"/>
          </w:tcPr>
          <w:p>
            <w:pPr>
              <w:jc w:val="right"/>
              <w:spacing w:after="0"/>
              <w:rPr>
                <w:sz w:val="20"/>
                <w:szCs w:val="20"/>
                <w:color w:val="auto"/>
              </w:rPr>
            </w:pPr>
            <w:r>
              <w:rPr>
                <w:rFonts w:ascii="Arial" w:cs="Arial" w:eastAsia="Arial" w:hAnsi="Arial"/>
                <w:sz w:val="7"/>
                <w:szCs w:val="7"/>
                <w:color w:val="auto"/>
              </w:rPr>
              <w:t>3</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717</w:t>
            </w:r>
          </w:p>
        </w:tc>
        <w:tc>
          <w:tcPr>
            <w:tcW w:w="82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10.92</w:t>
            </w:r>
          </w:p>
        </w:tc>
        <w:tc>
          <w:tcPr>
            <w:tcW w:w="960" w:type="dxa"/>
            <w:vAlign w:val="bottom"/>
          </w:tcPr>
          <w:p>
            <w:pPr>
              <w:spacing w:after="0"/>
              <w:rPr>
                <w:sz w:val="20"/>
                <w:szCs w:val="20"/>
                <w:color w:val="auto"/>
              </w:rPr>
            </w:pPr>
            <w:r>
              <w:rPr>
                <w:rFonts w:ascii="Arial" w:cs="Arial" w:eastAsia="Arial" w:hAnsi="Arial"/>
                <w:sz w:val="7"/>
                <w:szCs w:val="7"/>
                <w:color w:val="auto"/>
              </w:rPr>
              <w:t>Midtown/Plaza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119,550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5.8</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81.1</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85.0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39,634,729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12.9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2.1</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724</w:t>
            </w:r>
          </w:p>
        </w:tc>
        <w:tc>
          <w:tcPr>
            <w:tcW w:w="82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50.0</w:t>
            </w:r>
          </w:p>
        </w:tc>
        <w:tc>
          <w:tcPr>
            <w:tcW w:w="960" w:type="dxa"/>
            <w:vAlign w:val="bottom"/>
          </w:tcPr>
          <w:p>
            <w:pPr>
              <w:spacing w:after="0"/>
              <w:rPr>
                <w:sz w:val="20"/>
                <w:szCs w:val="20"/>
                <w:color w:val="auto"/>
              </w:rPr>
            </w:pPr>
            <w:r>
              <w:rPr>
                <w:rFonts w:ascii="Arial" w:cs="Arial" w:eastAsia="Arial" w:hAnsi="Arial"/>
                <w:sz w:val="7"/>
                <w:szCs w:val="7"/>
                <w:color w:val="auto"/>
              </w:rPr>
              <w:t>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65,010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3.2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90.1</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83.1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83.1</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22,678,212</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7.4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5.5</w:t>
            </w:r>
          </w:p>
        </w:tc>
        <w:tc>
          <w:tcPr>
            <w:tcW w:w="280" w:type="dxa"/>
            <w:vAlign w:val="bottom"/>
          </w:tcPr>
          <w:p>
            <w:pPr>
              <w:jc w:val="right"/>
              <w:spacing w:after="0"/>
              <w:rPr>
                <w:sz w:val="20"/>
                <w:szCs w:val="20"/>
                <w:color w:val="auto"/>
              </w:rPr>
            </w:pPr>
            <w:r>
              <w:rPr>
                <w:rFonts w:ascii="Arial" w:cs="Arial" w:eastAsia="Arial" w:hAnsi="Arial"/>
                <w:sz w:val="7"/>
                <w:szCs w:val="7"/>
                <w:color w:val="auto"/>
              </w:rPr>
              <w:t>9</w:t>
            </w:r>
          </w:p>
        </w:tc>
      </w:tr>
      <w:tr>
        <w:trPr>
          <w:trHeight w:val="225"/>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1552-1560 Broadway</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50.0</w:t>
            </w:r>
          </w:p>
        </w:tc>
        <w:tc>
          <w:tcPr>
            <w:tcW w:w="960" w:type="dxa"/>
            <w:vAlign w:val="bottom"/>
          </w:tcPr>
          <w:p>
            <w:pPr>
              <w:spacing w:after="0"/>
              <w:rPr>
                <w:sz w:val="20"/>
                <w:szCs w:val="20"/>
                <w:color w:val="auto"/>
              </w:rPr>
            </w:pPr>
            <w:r>
              <w:rPr>
                <w:rFonts w:ascii="Arial" w:cs="Arial" w:eastAsia="Arial" w:hAnsi="Arial"/>
                <w:sz w:val="7"/>
                <w:szCs w:val="7"/>
                <w:color w:val="auto"/>
              </w:rPr>
              <w:t>Times Square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57,718</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24,252,528</w:t>
            </w:r>
          </w:p>
        </w:tc>
        <w:tc>
          <w:tcPr>
            <w:tcW w:w="620" w:type="dxa"/>
            <w:vAlign w:val="bottom"/>
            <w:tcBorders>
              <w:bottom w:val="single" w:sz="8" w:color="auto"/>
            </w:tcBorders>
          </w:tcPr>
          <w:p>
            <w:pPr>
              <w:jc w:val="right"/>
              <w:ind w:right="224"/>
              <w:spacing w:after="0"/>
              <w:rPr>
                <w:sz w:val="20"/>
                <w:szCs w:val="20"/>
                <w:color w:val="auto"/>
              </w:rPr>
            </w:pPr>
            <w:r>
              <w:rPr>
                <w:rFonts w:ascii="Arial" w:cs="Arial" w:eastAsia="Arial" w:hAnsi="Arial"/>
                <w:sz w:val="7"/>
                <w:szCs w:val="7"/>
                <w:color w:val="auto"/>
              </w:rPr>
              <w:t>7.9</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5.9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w:t>
            </w:r>
          </w:p>
        </w:tc>
      </w:tr>
      <w:tr>
        <w:trPr>
          <w:trHeight w:val="301"/>
        </w:trPr>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7"/>
                <w:szCs w:val="7"/>
                <w:b w:val="1"/>
                <w:bCs w:val="1"/>
                <w:color w:val="auto"/>
              </w:rPr>
              <w:t>Subtotal / Weighted Average</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10</w:t>
            </w: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380,294</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18.6%</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78.7%</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78.8%</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78.8%</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79.9%</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81.3%</w:t>
            </w:r>
          </w:p>
        </w:tc>
        <w:tc>
          <w:tcPr>
            <w:tcW w:w="80" w:type="dxa"/>
            <w:vAlign w:val="bottom"/>
          </w:tcPr>
          <w:p>
            <w:pPr>
              <w:spacing w:after="0"/>
              <w:rPr>
                <w:sz w:val="24"/>
                <w:szCs w:val="24"/>
                <w:color w:val="auto"/>
              </w:rPr>
            </w:pP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720" w:type="dxa"/>
            <w:vAlign w:val="bottom"/>
          </w:tcPr>
          <w:p>
            <w:pPr>
              <w:jc w:val="right"/>
              <w:ind w:right="164"/>
              <w:spacing w:after="0"/>
              <w:rPr>
                <w:sz w:val="20"/>
                <w:szCs w:val="20"/>
                <w:color w:val="auto"/>
              </w:rPr>
            </w:pPr>
            <w:r>
              <w:rPr>
                <w:rFonts w:ascii="Arial" w:cs="Arial" w:eastAsia="Arial" w:hAnsi="Arial"/>
                <w:sz w:val="7"/>
                <w:szCs w:val="7"/>
                <w:b w:val="1"/>
                <w:bCs w:val="1"/>
                <w:color w:val="auto"/>
              </w:rPr>
              <w:t>107,211,738</w:t>
            </w:r>
          </w:p>
        </w:tc>
        <w:tc>
          <w:tcPr>
            <w:tcW w:w="620" w:type="dxa"/>
            <w:vAlign w:val="bottom"/>
          </w:tcPr>
          <w:p>
            <w:pPr>
              <w:jc w:val="right"/>
              <w:ind w:right="164"/>
              <w:spacing w:after="0"/>
              <w:rPr>
                <w:sz w:val="20"/>
                <w:szCs w:val="20"/>
                <w:color w:val="auto"/>
              </w:rPr>
            </w:pPr>
            <w:r>
              <w:rPr>
                <w:rFonts w:ascii="Arial" w:cs="Arial" w:eastAsia="Arial" w:hAnsi="Arial"/>
                <w:sz w:val="7"/>
                <w:szCs w:val="7"/>
                <w:b w:val="1"/>
                <w:bCs w:val="1"/>
                <w:color w:val="auto"/>
              </w:rPr>
              <w:t>34.9%</w:t>
            </w: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16.4%</w:t>
            </w:r>
          </w:p>
        </w:tc>
        <w:tc>
          <w:tcPr>
            <w:tcW w:w="280" w:type="dxa"/>
            <w:vAlign w:val="bottom"/>
          </w:tcPr>
          <w:p>
            <w:pPr>
              <w:jc w:val="right"/>
              <w:spacing w:after="0"/>
              <w:rPr>
                <w:sz w:val="20"/>
                <w:szCs w:val="20"/>
                <w:color w:val="auto"/>
              </w:rPr>
            </w:pPr>
            <w:r>
              <w:rPr>
                <w:rFonts w:ascii="Arial" w:cs="Arial" w:eastAsia="Arial" w:hAnsi="Arial"/>
                <w:sz w:val="7"/>
                <w:szCs w:val="7"/>
                <w:b w:val="1"/>
                <w:bCs w:val="1"/>
                <w:color w:val="auto"/>
              </w:rPr>
              <w:t>32</w:t>
            </w:r>
          </w:p>
        </w:tc>
      </w:tr>
      <w:tr>
        <w:trPr>
          <w:trHeight w:val="317"/>
        </w:trPr>
        <w:tc>
          <w:tcPr>
            <w:tcW w:w="1940" w:type="dxa"/>
            <w:vAlign w:val="bottom"/>
            <w:gridSpan w:val="3"/>
          </w:tcPr>
          <w:p>
            <w:pPr>
              <w:ind w:left="20"/>
              <w:spacing w:after="0"/>
              <w:rPr>
                <w:sz w:val="20"/>
                <w:szCs w:val="20"/>
                <w:color w:val="auto"/>
              </w:rPr>
            </w:pPr>
            <w:r>
              <w:rPr>
                <w:rFonts w:ascii="Arial" w:cs="Arial" w:eastAsia="Arial" w:hAnsi="Arial"/>
                <w:sz w:val="7"/>
                <w:szCs w:val="7"/>
                <w:b w:val="1"/>
                <w:bCs w:val="1"/>
                <w:color w:val="auto"/>
              </w:rPr>
              <w:t>Total / Weighted Average Prime Retail</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23</w:t>
            </w: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798,774</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39.0%</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84.7%</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84.9%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85.9%</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87.9%</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88.3%</w:t>
            </w:r>
          </w:p>
        </w:tc>
        <w:tc>
          <w:tcPr>
            <w:tcW w:w="80" w:type="dxa"/>
            <w:vAlign w:val="bottom"/>
          </w:tcPr>
          <w:p>
            <w:pPr>
              <w:spacing w:after="0"/>
              <w:rPr>
                <w:sz w:val="24"/>
                <w:szCs w:val="24"/>
                <w:color w:val="auto"/>
              </w:rPr>
            </w:pP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720" w:type="dxa"/>
            <w:vAlign w:val="bottom"/>
          </w:tcPr>
          <w:p>
            <w:pPr>
              <w:jc w:val="right"/>
              <w:ind w:right="164"/>
              <w:spacing w:after="0"/>
              <w:rPr>
                <w:sz w:val="20"/>
                <w:szCs w:val="20"/>
                <w:color w:val="auto"/>
              </w:rPr>
            </w:pPr>
            <w:r>
              <w:rPr>
                <w:rFonts w:ascii="Arial" w:cs="Arial" w:eastAsia="Arial" w:hAnsi="Arial"/>
                <w:sz w:val="7"/>
                <w:szCs w:val="7"/>
                <w:b w:val="1"/>
                <w:bCs w:val="1"/>
                <w:color w:val="auto"/>
              </w:rPr>
              <w:t>142,776,573</w:t>
            </w:r>
          </w:p>
        </w:tc>
        <w:tc>
          <w:tcPr>
            <w:tcW w:w="620" w:type="dxa"/>
            <w:vAlign w:val="bottom"/>
          </w:tcPr>
          <w:p>
            <w:pPr>
              <w:jc w:val="right"/>
              <w:ind w:right="164"/>
              <w:spacing w:after="0"/>
              <w:rPr>
                <w:sz w:val="20"/>
                <w:szCs w:val="20"/>
                <w:color w:val="auto"/>
              </w:rPr>
            </w:pPr>
            <w:r>
              <w:rPr>
                <w:rFonts w:ascii="Arial" w:cs="Arial" w:eastAsia="Arial" w:hAnsi="Arial"/>
                <w:sz w:val="7"/>
                <w:szCs w:val="7"/>
                <w:b w:val="1"/>
                <w:bCs w:val="1"/>
                <w:color w:val="auto"/>
              </w:rPr>
              <w:t>46.5%</w:t>
            </w: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33.6%</w:t>
            </w:r>
          </w:p>
        </w:tc>
        <w:tc>
          <w:tcPr>
            <w:tcW w:w="280" w:type="dxa"/>
            <w:vAlign w:val="bottom"/>
          </w:tcPr>
          <w:p>
            <w:pPr>
              <w:jc w:val="right"/>
              <w:spacing w:after="0"/>
              <w:rPr>
                <w:sz w:val="20"/>
                <w:szCs w:val="20"/>
                <w:color w:val="auto"/>
              </w:rPr>
            </w:pPr>
            <w:r>
              <w:rPr>
                <w:rFonts w:ascii="Arial" w:cs="Arial" w:eastAsia="Arial" w:hAnsi="Arial"/>
                <w:sz w:val="7"/>
                <w:szCs w:val="7"/>
                <w:b w:val="1"/>
                <w:bCs w:val="1"/>
                <w:color w:val="auto"/>
              </w:rPr>
              <w:t>94</w:t>
            </w:r>
          </w:p>
        </w:tc>
      </w:tr>
      <w:tr>
        <w:trPr>
          <w:trHeight w:val="122"/>
        </w:trPr>
        <w:tc>
          <w:tcPr>
            <w:tcW w:w="1940" w:type="dxa"/>
            <w:vAlign w:val="bottom"/>
            <w:tcBorders>
              <w:bottom w:val="single" w:sz="8" w:color="auto"/>
            </w:tcBorders>
            <w:gridSpan w:val="3"/>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r>
        <w:trPr>
          <w:trHeight w:val="312"/>
        </w:trPr>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OTHER RETAIL - Consolidated Properties</w:t>
            </w: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03"/>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11 Madison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Park Avenue South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38,800</w:t>
            </w:r>
          </w:p>
        </w:tc>
        <w:tc>
          <w:tcPr>
            <w:tcW w:w="80" w:type="dxa"/>
            <w:vAlign w:val="bottom"/>
          </w:tcPr>
          <w:p>
            <w:pPr>
              <w:spacing w:after="0"/>
              <w:rPr>
                <w:sz w:val="17"/>
                <w:szCs w:val="17"/>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97.7</w:t>
            </w: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97.7</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90.2</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90.2</w:t>
            </w:r>
          </w:p>
        </w:tc>
        <w:tc>
          <w:tcPr>
            <w:tcW w:w="8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7"/>
                <w:szCs w:val="7"/>
                <w:color w:val="auto"/>
              </w:rPr>
              <w:t>N/A</w:t>
            </w:r>
          </w:p>
        </w:tc>
        <w:tc>
          <w:tcPr>
            <w:tcW w:w="2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3,530,249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1.7</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100</w:t>
            </w:r>
          </w:p>
        </w:tc>
        <w:tc>
          <w:tcPr>
            <w:tcW w:w="820" w:type="dxa"/>
            <w:vAlign w:val="bottom"/>
          </w:tcPr>
          <w:p>
            <w:pPr>
              <w:ind w:left="20"/>
              <w:spacing w:after="0"/>
              <w:rPr>
                <w:sz w:val="20"/>
                <w:szCs w:val="20"/>
                <w:color w:val="auto"/>
              </w:rPr>
            </w:pPr>
            <w:r>
              <w:rPr>
                <w:rFonts w:ascii="Arial" w:cs="Arial" w:eastAsia="Arial" w:hAnsi="Arial"/>
                <w:sz w:val="7"/>
                <w:szCs w:val="7"/>
                <w:color w:val="auto"/>
              </w:rPr>
              <w:t>Church Street</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Downtown</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49,992</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2,770,817</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1.4</w:t>
            </w:r>
          </w:p>
        </w:tc>
        <w:tc>
          <w:tcPr>
            <w:tcW w:w="280" w:type="dxa"/>
            <w:vAlign w:val="bottom"/>
          </w:tcPr>
          <w:p>
            <w:pPr>
              <w:jc w:val="right"/>
              <w:spacing w:after="0"/>
              <w:rPr>
                <w:sz w:val="20"/>
                <w:szCs w:val="20"/>
                <w:color w:val="auto"/>
              </w:rPr>
            </w:pPr>
            <w:r>
              <w:rPr>
                <w:rFonts w:ascii="Arial" w:cs="Arial" w:eastAsia="Arial" w:hAnsi="Arial"/>
                <w:sz w:val="7"/>
                <w:szCs w:val="7"/>
                <w:color w:val="auto"/>
              </w:rPr>
              <w:t>7</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110</w:t>
            </w:r>
          </w:p>
        </w:tc>
        <w:tc>
          <w:tcPr>
            <w:tcW w:w="820" w:type="dxa"/>
            <w:vAlign w:val="bottom"/>
          </w:tcPr>
          <w:p>
            <w:pPr>
              <w:ind w:left="20"/>
              <w:spacing w:after="0"/>
              <w:rPr>
                <w:sz w:val="20"/>
                <w:szCs w:val="20"/>
                <w:color w:val="auto"/>
              </w:rPr>
            </w:pPr>
            <w:r>
              <w:rPr>
                <w:rFonts w:ascii="Arial" w:cs="Arial" w:eastAsia="Arial" w:hAnsi="Arial"/>
                <w:sz w:val="7"/>
                <w:szCs w:val="7"/>
                <w:color w:val="auto"/>
              </w:rPr>
              <w:t>Greene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90.0</w:t>
            </w:r>
          </w:p>
        </w:tc>
        <w:tc>
          <w:tcPr>
            <w:tcW w:w="960" w:type="dxa"/>
            <w:vAlign w:val="bottom"/>
          </w:tcPr>
          <w:p>
            <w:pPr>
              <w:spacing w:after="0"/>
              <w:rPr>
                <w:sz w:val="20"/>
                <w:szCs w:val="20"/>
                <w:color w:val="auto"/>
              </w:rPr>
            </w:pPr>
            <w:r>
              <w:rPr>
                <w:rFonts w:ascii="Arial" w:cs="Arial" w:eastAsia="Arial" w:hAnsi="Arial"/>
                <w:sz w:val="7"/>
                <w:szCs w:val="7"/>
                <w:color w:val="auto"/>
              </w:rPr>
              <w:t>Soho</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16,121</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2,856,469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1.3</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125</w:t>
            </w:r>
          </w:p>
        </w:tc>
        <w:tc>
          <w:tcPr>
            <w:tcW w:w="820" w:type="dxa"/>
            <w:vAlign w:val="bottom"/>
          </w:tcPr>
          <w:p>
            <w:pPr>
              <w:ind w:left="20"/>
              <w:spacing w:after="0"/>
              <w:rPr>
                <w:sz w:val="20"/>
                <w:szCs w:val="20"/>
                <w:color w:val="auto"/>
              </w:rPr>
            </w:pPr>
            <w:r>
              <w:rPr>
                <w:rFonts w:ascii="Arial" w:cs="Arial" w:eastAsia="Arial" w:hAnsi="Arial"/>
                <w:sz w:val="7"/>
                <w:szCs w:val="7"/>
                <w:color w:val="auto"/>
              </w:rPr>
              <w:t>Park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32,124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68.4</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64.3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43.9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4,662,481</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1.5</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2.3</w:t>
            </w:r>
          </w:p>
        </w:tc>
        <w:tc>
          <w:tcPr>
            <w:tcW w:w="280" w:type="dxa"/>
            <w:vAlign w:val="bottom"/>
          </w:tcPr>
          <w:p>
            <w:pPr>
              <w:jc w:val="right"/>
              <w:spacing w:after="0"/>
              <w:rPr>
                <w:sz w:val="20"/>
                <w:szCs w:val="20"/>
                <w:color w:val="auto"/>
              </w:rPr>
            </w:pPr>
            <w:r>
              <w:rPr>
                <w:rFonts w:ascii="Arial" w:cs="Arial" w:eastAsia="Arial" w:hAnsi="Arial"/>
                <w:sz w:val="7"/>
                <w:szCs w:val="7"/>
                <w:color w:val="auto"/>
              </w:rPr>
              <w:t>6</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220</w:t>
            </w:r>
          </w:p>
        </w:tc>
        <w:tc>
          <w:tcPr>
            <w:tcW w:w="82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49,970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77.6</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84.3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96.5</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2,811,018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1.4</w:t>
            </w:r>
          </w:p>
        </w:tc>
        <w:tc>
          <w:tcPr>
            <w:tcW w:w="280" w:type="dxa"/>
            <w:vAlign w:val="bottom"/>
          </w:tcPr>
          <w:p>
            <w:pPr>
              <w:jc w:val="right"/>
              <w:spacing w:after="0"/>
              <w:rPr>
                <w:sz w:val="20"/>
                <w:szCs w:val="20"/>
                <w:color w:val="auto"/>
              </w:rPr>
            </w:pPr>
            <w:r>
              <w:rPr>
                <w:rFonts w:ascii="Arial" w:cs="Arial" w:eastAsia="Arial" w:hAnsi="Arial"/>
                <w:sz w:val="7"/>
                <w:szCs w:val="7"/>
                <w:color w:val="auto"/>
              </w:rPr>
              <w:t>4</w:t>
            </w:r>
          </w:p>
        </w:tc>
      </w:tr>
      <w:tr>
        <w:trPr>
          <w:trHeight w:val="219"/>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Upper East Side Residential</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95.1</w:t>
            </w:r>
          </w:p>
        </w:tc>
        <w:tc>
          <w:tcPr>
            <w:tcW w:w="960" w:type="dxa"/>
            <w:vAlign w:val="bottom"/>
          </w:tcPr>
          <w:p>
            <w:pPr>
              <w:spacing w:after="0"/>
              <w:rPr>
                <w:sz w:val="20"/>
                <w:szCs w:val="20"/>
                <w:color w:val="auto"/>
              </w:rPr>
            </w:pPr>
            <w:r>
              <w:rPr>
                <w:rFonts w:ascii="Arial" w:cs="Arial" w:eastAsia="Arial" w:hAnsi="Arial"/>
                <w:sz w:val="7"/>
                <w:szCs w:val="7"/>
                <w:color w:val="auto"/>
              </w:rPr>
              <w:t>Upper East Side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4,150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88.0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88.0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88.0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449,868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0.2</w:t>
            </w:r>
          </w:p>
        </w:tc>
        <w:tc>
          <w:tcPr>
            <w:tcW w:w="280" w:type="dxa"/>
            <w:vAlign w:val="bottom"/>
          </w:tcPr>
          <w:p>
            <w:pPr>
              <w:jc w:val="right"/>
              <w:spacing w:after="0"/>
              <w:rPr>
                <w:sz w:val="20"/>
                <w:szCs w:val="20"/>
                <w:color w:val="auto"/>
              </w:rPr>
            </w:pPr>
            <w:r>
              <w:rPr>
                <w:rFonts w:ascii="Arial" w:cs="Arial" w:eastAsia="Arial" w:hAnsi="Arial"/>
                <w:sz w:val="7"/>
                <w:szCs w:val="7"/>
                <w:color w:val="auto"/>
              </w:rPr>
              <w:t>4</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304</w:t>
            </w:r>
          </w:p>
        </w:tc>
        <w:tc>
          <w:tcPr>
            <w:tcW w:w="820" w:type="dxa"/>
            <w:vAlign w:val="bottom"/>
          </w:tcPr>
          <w:p>
            <w:pPr>
              <w:ind w:left="20"/>
              <w:spacing w:after="0"/>
              <w:rPr>
                <w:sz w:val="20"/>
                <w:szCs w:val="20"/>
                <w:color w:val="auto"/>
              </w:rPr>
            </w:pPr>
            <w:r>
              <w:rPr>
                <w:rFonts w:ascii="Arial" w:cs="Arial" w:eastAsia="Arial" w:hAnsi="Arial"/>
                <w:sz w:val="7"/>
                <w:szCs w:val="7"/>
                <w:color w:val="auto"/>
              </w:rPr>
              <w:t>Park Avenue South</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 South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25,330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87.0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2,688,301</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1.3</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400</w:t>
            </w:r>
          </w:p>
        </w:tc>
        <w:tc>
          <w:tcPr>
            <w:tcW w:w="820" w:type="dxa"/>
            <w:vAlign w:val="bottom"/>
          </w:tcPr>
          <w:p>
            <w:pPr>
              <w:ind w:left="20"/>
              <w:spacing w:after="0"/>
              <w:rPr>
                <w:sz w:val="20"/>
                <w:szCs w:val="20"/>
                <w:color w:val="auto"/>
              </w:rPr>
            </w:pPr>
            <w:r>
              <w:rPr>
                <w:rFonts w:ascii="Arial" w:cs="Arial" w:eastAsia="Arial" w:hAnsi="Arial"/>
                <w:sz w:val="7"/>
                <w:szCs w:val="7"/>
                <w:color w:val="auto"/>
              </w:rPr>
              <w:t>East 57th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90.0</w:t>
            </w:r>
          </w:p>
        </w:tc>
        <w:tc>
          <w:tcPr>
            <w:tcW w:w="960" w:type="dxa"/>
            <w:vAlign w:val="bottom"/>
          </w:tcPr>
          <w:p>
            <w:pPr>
              <w:spacing w:after="0"/>
              <w:rPr>
                <w:sz w:val="20"/>
                <w:szCs w:val="20"/>
                <w:color w:val="auto"/>
              </w:rPr>
            </w:pPr>
            <w:r>
              <w:rPr>
                <w:rFonts w:ascii="Arial" w:cs="Arial" w:eastAsia="Arial" w:hAnsi="Arial"/>
                <w:sz w:val="7"/>
                <w:szCs w:val="7"/>
                <w:color w:val="auto"/>
              </w:rPr>
              <w:t>Upper East Side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13,772</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49.2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55.4</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55.4</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55.4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1,406,718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0.5</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0.6</w:t>
            </w:r>
          </w:p>
        </w:tc>
        <w:tc>
          <w:tcPr>
            <w:tcW w:w="280" w:type="dxa"/>
            <w:vAlign w:val="bottom"/>
          </w:tcPr>
          <w:p>
            <w:pPr>
              <w:jc w:val="right"/>
              <w:spacing w:after="0"/>
              <w:rPr>
                <w:sz w:val="20"/>
                <w:szCs w:val="20"/>
                <w:color w:val="auto"/>
              </w:rPr>
            </w:pPr>
            <w:r>
              <w:rPr>
                <w:rFonts w:ascii="Arial" w:cs="Arial" w:eastAsia="Arial" w:hAnsi="Arial"/>
                <w:sz w:val="7"/>
                <w:szCs w:val="7"/>
                <w:color w:val="auto"/>
              </w:rPr>
              <w:t>8</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400</w:t>
            </w:r>
          </w:p>
        </w:tc>
        <w:tc>
          <w:tcPr>
            <w:tcW w:w="820" w:type="dxa"/>
            <w:vAlign w:val="bottom"/>
          </w:tcPr>
          <w:p>
            <w:pPr>
              <w:ind w:left="20"/>
              <w:spacing w:after="0"/>
              <w:rPr>
                <w:sz w:val="20"/>
                <w:szCs w:val="20"/>
                <w:color w:val="auto"/>
              </w:rPr>
            </w:pPr>
            <w:r>
              <w:rPr>
                <w:rFonts w:ascii="Arial" w:cs="Arial" w:eastAsia="Arial" w:hAnsi="Arial"/>
                <w:sz w:val="7"/>
                <w:szCs w:val="7"/>
                <w:color w:val="auto"/>
              </w:rPr>
              <w:t>East 58th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90.0</w:t>
            </w:r>
          </w:p>
        </w:tc>
        <w:tc>
          <w:tcPr>
            <w:tcW w:w="960" w:type="dxa"/>
            <w:vAlign w:val="bottom"/>
          </w:tcPr>
          <w:p>
            <w:pPr>
              <w:spacing w:after="0"/>
              <w:rPr>
                <w:sz w:val="20"/>
                <w:szCs w:val="20"/>
                <w:color w:val="auto"/>
              </w:rPr>
            </w:pPr>
            <w:r>
              <w:rPr>
                <w:rFonts w:ascii="Arial" w:cs="Arial" w:eastAsia="Arial" w:hAnsi="Arial"/>
                <w:sz w:val="7"/>
                <w:szCs w:val="7"/>
                <w:color w:val="auto"/>
              </w:rPr>
              <w:t>Upper East Side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3,156</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541,366</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0.2</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420</w:t>
            </w:r>
          </w:p>
        </w:tc>
        <w:tc>
          <w:tcPr>
            <w:tcW w:w="820" w:type="dxa"/>
            <w:vAlign w:val="bottom"/>
          </w:tcPr>
          <w:p>
            <w:pPr>
              <w:ind w:left="20"/>
              <w:spacing w:after="0"/>
              <w:rPr>
                <w:sz w:val="20"/>
                <w:szCs w:val="20"/>
                <w:color w:val="auto"/>
              </w:rPr>
            </w:pPr>
            <w:r>
              <w:rPr>
                <w:rFonts w:ascii="Arial" w:cs="Arial" w:eastAsia="Arial" w:hAnsi="Arial"/>
                <w:sz w:val="7"/>
                <w:szCs w:val="7"/>
                <w:color w:val="auto"/>
              </w:rPr>
              <w:t>Lexington Ave (Graybar)</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49,375</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4,211,129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2.1</w:t>
            </w:r>
          </w:p>
        </w:tc>
        <w:tc>
          <w:tcPr>
            <w:tcW w:w="280" w:type="dxa"/>
            <w:vAlign w:val="bottom"/>
          </w:tcPr>
          <w:p>
            <w:pPr>
              <w:jc w:val="right"/>
              <w:spacing w:after="0"/>
              <w:rPr>
                <w:sz w:val="20"/>
                <w:szCs w:val="20"/>
                <w:color w:val="auto"/>
              </w:rPr>
            </w:pPr>
            <w:r>
              <w:rPr>
                <w:rFonts w:ascii="Arial" w:cs="Arial" w:eastAsia="Arial" w:hAnsi="Arial"/>
                <w:sz w:val="7"/>
                <w:szCs w:val="7"/>
                <w:color w:val="auto"/>
              </w:rPr>
              <w:t>6</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461</w:t>
            </w:r>
          </w:p>
        </w:tc>
        <w:tc>
          <w:tcPr>
            <w:tcW w:w="82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16,248</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2,061,360</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0.7</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485</w:t>
            </w:r>
          </w:p>
        </w:tc>
        <w:tc>
          <w:tcPr>
            <w:tcW w:w="82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45,394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62.1</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62.1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3,226,203</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1.6</w:t>
            </w:r>
          </w:p>
        </w:tc>
        <w:tc>
          <w:tcPr>
            <w:tcW w:w="280" w:type="dxa"/>
            <w:vAlign w:val="bottom"/>
          </w:tcPr>
          <w:p>
            <w:pPr>
              <w:jc w:val="right"/>
              <w:spacing w:after="0"/>
              <w:rPr>
                <w:sz w:val="20"/>
                <w:szCs w:val="20"/>
                <w:color w:val="auto"/>
              </w:rPr>
            </w:pPr>
            <w:r>
              <w:rPr>
                <w:rFonts w:ascii="Arial" w:cs="Arial" w:eastAsia="Arial" w:hAnsi="Arial"/>
                <w:sz w:val="7"/>
                <w:szCs w:val="7"/>
                <w:color w:val="auto"/>
              </w:rPr>
              <w:t>4</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555</w:t>
            </w:r>
          </w:p>
        </w:tc>
        <w:tc>
          <w:tcPr>
            <w:tcW w:w="820" w:type="dxa"/>
            <w:vAlign w:val="bottom"/>
          </w:tcPr>
          <w:p>
            <w:pPr>
              <w:ind w:left="20"/>
              <w:spacing w:after="0"/>
              <w:rPr>
                <w:sz w:val="20"/>
                <w:szCs w:val="20"/>
                <w:color w:val="auto"/>
              </w:rPr>
            </w:pPr>
            <w:r>
              <w:rPr>
                <w:rFonts w:ascii="Arial" w:cs="Arial" w:eastAsia="Arial" w:hAnsi="Arial"/>
                <w:sz w:val="7"/>
                <w:szCs w:val="7"/>
                <w:color w:val="auto"/>
              </w:rPr>
              <w:t>West 57th Street</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 West</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60,389</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1,742,869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0.6</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0.9</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600</w:t>
            </w:r>
          </w:p>
        </w:tc>
        <w:tc>
          <w:tcPr>
            <w:tcW w:w="82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East Side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4,264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813,927</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0.3</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0.4</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609</w:t>
            </w:r>
          </w:p>
        </w:tc>
        <w:tc>
          <w:tcPr>
            <w:tcW w:w="82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Rockefeller Center</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46,019</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9,403,528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3.1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4.6</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625</w:t>
            </w:r>
          </w:p>
        </w:tc>
        <w:tc>
          <w:tcPr>
            <w:tcW w:w="82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74,937</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3.7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90.6</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89.3</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89.3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21,514,001</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7.0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10.5</w:t>
            </w:r>
          </w:p>
        </w:tc>
        <w:tc>
          <w:tcPr>
            <w:tcW w:w="280" w:type="dxa"/>
            <w:vAlign w:val="bottom"/>
          </w:tcPr>
          <w:p>
            <w:pPr>
              <w:jc w:val="right"/>
              <w:spacing w:after="0"/>
              <w:rPr>
                <w:sz w:val="20"/>
                <w:szCs w:val="20"/>
                <w:color w:val="auto"/>
              </w:rPr>
            </w:pPr>
            <w:r>
              <w:rPr>
                <w:rFonts w:ascii="Arial" w:cs="Arial" w:eastAsia="Arial" w:hAnsi="Arial"/>
                <w:sz w:val="7"/>
                <w:szCs w:val="7"/>
                <w:color w:val="auto"/>
              </w:rPr>
              <w:t>16</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635</w:t>
            </w:r>
          </w:p>
        </w:tc>
        <w:tc>
          <w:tcPr>
            <w:tcW w:w="820" w:type="dxa"/>
            <w:vAlign w:val="bottom"/>
          </w:tcPr>
          <w:p>
            <w:pPr>
              <w:ind w:left="20"/>
              <w:spacing w:after="0"/>
              <w:rPr>
                <w:sz w:val="20"/>
                <w:szCs w:val="20"/>
                <w:color w:val="auto"/>
              </w:rPr>
            </w:pPr>
            <w:r>
              <w:rPr>
                <w:rFonts w:ascii="Arial" w:cs="Arial" w:eastAsia="Arial" w:hAnsi="Arial"/>
                <w:sz w:val="7"/>
                <w:szCs w:val="7"/>
                <w:color w:val="auto"/>
              </w:rPr>
              <w:t>Sixth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 South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23,250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3,094,589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1.5</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641</w:t>
            </w:r>
          </w:p>
        </w:tc>
        <w:tc>
          <w:tcPr>
            <w:tcW w:w="820" w:type="dxa"/>
            <w:vAlign w:val="bottom"/>
          </w:tcPr>
          <w:p>
            <w:pPr>
              <w:ind w:left="20"/>
              <w:spacing w:after="0"/>
              <w:rPr>
                <w:sz w:val="20"/>
                <w:szCs w:val="20"/>
                <w:color w:val="auto"/>
              </w:rPr>
            </w:pPr>
            <w:r>
              <w:rPr>
                <w:rFonts w:ascii="Arial" w:cs="Arial" w:eastAsia="Arial" w:hAnsi="Arial"/>
                <w:sz w:val="7"/>
                <w:szCs w:val="7"/>
                <w:color w:val="auto"/>
              </w:rPr>
              <w:t>Sixth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 South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28,500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3,358,063</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1.6</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711</w:t>
            </w:r>
          </w:p>
        </w:tc>
        <w:tc>
          <w:tcPr>
            <w:tcW w:w="82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25,639</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2,852,928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1.4</w:t>
            </w:r>
          </w:p>
        </w:tc>
        <w:tc>
          <w:tcPr>
            <w:tcW w:w="280" w:type="dxa"/>
            <w:vAlign w:val="bottom"/>
          </w:tcPr>
          <w:p>
            <w:pPr>
              <w:jc w:val="right"/>
              <w:spacing w:after="0"/>
              <w:rPr>
                <w:sz w:val="20"/>
                <w:szCs w:val="20"/>
                <w:color w:val="auto"/>
              </w:rPr>
            </w:pPr>
            <w:r>
              <w:rPr>
                <w:rFonts w:ascii="Arial" w:cs="Arial" w:eastAsia="Arial" w:hAnsi="Arial"/>
                <w:sz w:val="7"/>
                <w:szCs w:val="7"/>
                <w:color w:val="auto"/>
              </w:rPr>
              <w:t>3</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750</w:t>
            </w:r>
          </w:p>
        </w:tc>
        <w:tc>
          <w:tcPr>
            <w:tcW w:w="82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24,827</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2,617,736</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1.3</w:t>
            </w:r>
          </w:p>
        </w:tc>
        <w:tc>
          <w:tcPr>
            <w:tcW w:w="280" w:type="dxa"/>
            <w:vAlign w:val="bottom"/>
          </w:tcPr>
          <w:p>
            <w:pPr>
              <w:jc w:val="right"/>
              <w:spacing w:after="0"/>
              <w:rPr>
                <w:sz w:val="20"/>
                <w:szCs w:val="20"/>
                <w:color w:val="auto"/>
              </w:rPr>
            </w:pPr>
            <w:r>
              <w:rPr>
                <w:rFonts w:ascii="Arial" w:cs="Arial" w:eastAsia="Arial" w:hAnsi="Arial"/>
                <w:sz w:val="7"/>
                <w:szCs w:val="7"/>
                <w:color w:val="auto"/>
              </w:rPr>
              <w:t>7</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810</w:t>
            </w:r>
          </w:p>
        </w:tc>
        <w:tc>
          <w:tcPr>
            <w:tcW w:w="820" w:type="dxa"/>
            <w:vAlign w:val="bottom"/>
          </w:tcPr>
          <w:p>
            <w:pPr>
              <w:ind w:left="20"/>
              <w:spacing w:after="0"/>
              <w:rPr>
                <w:sz w:val="20"/>
                <w:szCs w:val="20"/>
                <w:color w:val="auto"/>
              </w:rPr>
            </w:pPr>
            <w:r>
              <w:rPr>
                <w:rFonts w:ascii="Arial" w:cs="Arial" w:eastAsia="Arial" w:hAnsi="Arial"/>
                <w:sz w:val="7"/>
                <w:szCs w:val="7"/>
                <w:color w:val="auto"/>
              </w:rPr>
              <w:t>Seventh Avenue</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Times Square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13,470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3,772,009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1.8</w:t>
            </w:r>
          </w:p>
        </w:tc>
        <w:tc>
          <w:tcPr>
            <w:tcW w:w="280" w:type="dxa"/>
            <w:vAlign w:val="bottom"/>
          </w:tcPr>
          <w:p>
            <w:pPr>
              <w:jc w:val="right"/>
              <w:spacing w:after="0"/>
              <w:rPr>
                <w:sz w:val="20"/>
                <w:szCs w:val="20"/>
                <w:color w:val="auto"/>
              </w:rPr>
            </w:pPr>
            <w:r>
              <w:rPr>
                <w:rFonts w:ascii="Arial" w:cs="Arial" w:eastAsia="Arial" w:hAnsi="Arial"/>
                <w:sz w:val="7"/>
                <w:szCs w:val="7"/>
                <w:color w:val="auto"/>
              </w:rPr>
              <w:t>4</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919</w:t>
            </w:r>
          </w:p>
        </w:tc>
        <w:tc>
          <w:tcPr>
            <w:tcW w:w="82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51.0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31,004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3,488,646</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0.9</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1080 Amsterdam</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92.5</w:t>
            </w:r>
          </w:p>
        </w:tc>
        <w:tc>
          <w:tcPr>
            <w:tcW w:w="960" w:type="dxa"/>
            <w:vAlign w:val="bottom"/>
          </w:tcPr>
          <w:p>
            <w:pPr>
              <w:spacing w:after="0"/>
              <w:rPr>
                <w:sz w:val="20"/>
                <w:szCs w:val="20"/>
                <w:color w:val="auto"/>
              </w:rPr>
            </w:pPr>
            <w:r>
              <w:rPr>
                <w:rFonts w:ascii="Arial" w:cs="Arial" w:eastAsia="Arial" w:hAnsi="Arial"/>
                <w:sz w:val="7"/>
                <w:szCs w:val="7"/>
                <w:color w:val="auto"/>
              </w:rPr>
              <w:t>Upper West Side</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1,800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252,000</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0.1</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1185 Avenue of the Americas</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Rockefeller Center</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37,326</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1.8</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6,289,484</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2.0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3.1</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1350 Avenue of the Americas</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Rockefeller Center</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17,797</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7"/>
                <w:szCs w:val="7"/>
                <w:color w:val="auto"/>
              </w:rPr>
              <w:t>2,291,568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0.7</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1.1</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25"/>
        </w:trPr>
        <w:tc>
          <w:tcPr>
            <w:tcW w:w="960" w:type="dxa"/>
            <w:vAlign w:val="bottom"/>
            <w:gridSpan w:val="2"/>
          </w:tcPr>
          <w:p>
            <w:pPr>
              <w:ind w:left="20"/>
              <w:spacing w:after="0"/>
              <w:rPr>
                <w:sz w:val="20"/>
                <w:szCs w:val="20"/>
                <w:color w:val="auto"/>
              </w:rPr>
            </w:pPr>
            <w:r>
              <w:rPr>
                <w:rFonts w:ascii="Arial" w:cs="Arial" w:eastAsia="Arial" w:hAnsi="Arial"/>
                <w:sz w:val="7"/>
                <w:szCs w:val="7"/>
                <w:color w:val="auto"/>
              </w:rPr>
              <w:t>1515 Broadway</w:t>
            </w:r>
          </w:p>
        </w:tc>
        <w:tc>
          <w:tcPr>
            <w:tcW w:w="980" w:type="dxa"/>
            <w:vAlign w:val="bottom"/>
          </w:tcPr>
          <w:p>
            <w:pPr>
              <w:jc w:val="center"/>
              <w:ind w:left="38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Times Square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185,333</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27,713,832</w:t>
            </w:r>
          </w:p>
        </w:tc>
        <w:tc>
          <w:tcPr>
            <w:tcW w:w="620" w:type="dxa"/>
            <w:vAlign w:val="bottom"/>
            <w:tcBorders>
              <w:bottom w:val="single" w:sz="8" w:color="auto"/>
            </w:tcBorders>
          </w:tcPr>
          <w:p>
            <w:pPr>
              <w:jc w:val="right"/>
              <w:ind w:right="224"/>
              <w:spacing w:after="0"/>
              <w:rPr>
                <w:sz w:val="20"/>
                <w:szCs w:val="20"/>
                <w:color w:val="auto"/>
              </w:rPr>
            </w:pPr>
            <w:r>
              <w:rPr>
                <w:rFonts w:ascii="Arial" w:cs="Arial" w:eastAsia="Arial" w:hAnsi="Arial"/>
                <w:sz w:val="7"/>
                <w:szCs w:val="7"/>
                <w:color w:val="auto"/>
              </w:rPr>
              <w:t>9.0</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13.6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7</w:t>
            </w:r>
          </w:p>
        </w:tc>
      </w:tr>
      <w:tr>
        <w:trPr>
          <w:trHeight w:val="312"/>
        </w:trPr>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7"/>
                <w:szCs w:val="7"/>
                <w:b w:val="1"/>
                <w:bCs w:val="1"/>
                <w:color w:val="auto"/>
              </w:rPr>
              <w:t>Subtotal / Weighted Average</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26</w:t>
            </w: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918,987</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44.9%</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95.5%</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95.3%</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96.3%</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96.2%</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96.0%</w:t>
            </w:r>
          </w:p>
        </w:tc>
        <w:tc>
          <w:tcPr>
            <w:tcW w:w="80" w:type="dxa"/>
            <w:vAlign w:val="bottom"/>
          </w:tcPr>
          <w:p>
            <w:pPr>
              <w:spacing w:after="0"/>
              <w:rPr>
                <w:sz w:val="24"/>
                <w:szCs w:val="24"/>
                <w:color w:val="auto"/>
              </w:rPr>
            </w:pP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720" w:type="dxa"/>
            <w:vAlign w:val="bottom"/>
          </w:tcPr>
          <w:p>
            <w:pPr>
              <w:jc w:val="right"/>
              <w:ind w:right="164"/>
              <w:spacing w:after="0"/>
              <w:rPr>
                <w:sz w:val="20"/>
                <w:szCs w:val="20"/>
                <w:color w:val="auto"/>
              </w:rPr>
            </w:pPr>
            <w:r>
              <w:rPr>
                <w:rFonts w:ascii="Arial" w:cs="Arial" w:eastAsia="Arial" w:hAnsi="Arial"/>
                <w:sz w:val="7"/>
                <w:szCs w:val="7"/>
                <w:b w:val="1"/>
                <w:bCs w:val="1"/>
                <w:color w:val="auto"/>
              </w:rPr>
              <w:t>120,421,158</w:t>
            </w:r>
          </w:p>
        </w:tc>
        <w:tc>
          <w:tcPr>
            <w:tcW w:w="620" w:type="dxa"/>
            <w:vAlign w:val="bottom"/>
          </w:tcPr>
          <w:p>
            <w:pPr>
              <w:jc w:val="right"/>
              <w:ind w:right="164"/>
              <w:spacing w:after="0"/>
              <w:rPr>
                <w:sz w:val="20"/>
                <w:szCs w:val="20"/>
                <w:color w:val="auto"/>
              </w:rPr>
            </w:pPr>
            <w:r>
              <w:rPr>
                <w:rFonts w:ascii="Arial" w:cs="Arial" w:eastAsia="Arial" w:hAnsi="Arial"/>
                <w:sz w:val="7"/>
                <w:szCs w:val="7"/>
                <w:b w:val="1"/>
                <w:bCs w:val="1"/>
                <w:color w:val="auto"/>
              </w:rPr>
              <w:t>39.2%</w:t>
            </w: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57.8%</w:t>
            </w:r>
          </w:p>
        </w:tc>
        <w:tc>
          <w:tcPr>
            <w:tcW w:w="280" w:type="dxa"/>
            <w:vAlign w:val="bottom"/>
          </w:tcPr>
          <w:p>
            <w:pPr>
              <w:jc w:val="right"/>
              <w:spacing w:after="0"/>
              <w:rPr>
                <w:sz w:val="20"/>
                <w:szCs w:val="20"/>
                <w:color w:val="auto"/>
              </w:rPr>
            </w:pPr>
            <w:r>
              <w:rPr>
                <w:rFonts w:ascii="Arial" w:cs="Arial" w:eastAsia="Arial" w:hAnsi="Arial"/>
                <w:sz w:val="7"/>
                <w:szCs w:val="7"/>
                <w:b w:val="1"/>
                <w:bCs w:val="1"/>
                <w:color w:val="auto"/>
              </w:rPr>
              <w:t>122</w:t>
            </w:r>
          </w:p>
        </w:tc>
      </w:tr>
    </w:tbl>
    <w:p>
      <w:pPr>
        <w:spacing w:after="0" w:line="200" w:lineRule="exact"/>
        <w:rPr>
          <w:sz w:val="20"/>
          <w:szCs w:val="20"/>
          <w:color w:val="auto"/>
        </w:rPr>
      </w:pPr>
    </w:p>
    <w:p>
      <w:pPr>
        <w:sectPr>
          <w:pgSz w:w="11900" w:h="16838" w:orient="portrait"/>
          <w:cols w:equalWidth="0" w:num="1">
            <w:col w:w="10080"/>
          </w:cols>
          <w:pgMar w:left="900" w:top="338" w:right="919" w:bottom="1440" w:gutter="0" w:footer="0" w:header="0"/>
        </w:sectPr>
      </w:pPr>
    </w:p>
    <w:p>
      <w:pPr>
        <w:spacing w:after="0" w:line="136"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36</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8" w:right="9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94"/>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7"/>
                <w:szCs w:val="7"/>
                <w:b w:val="1"/>
                <w:bCs w:val="1"/>
                <w:color w:val="auto"/>
              </w:rPr>
              <w:t># of</w:t>
            </w:r>
          </w:p>
        </w:tc>
        <w:tc>
          <w:tcPr>
            <w:tcW w:w="100" w:type="dxa"/>
            <w:vAlign w:val="bottom"/>
          </w:tcPr>
          <w:p>
            <w:pPr>
              <w:spacing w:after="0"/>
              <w:rPr>
                <w:sz w:val="8"/>
                <w:szCs w:val="8"/>
                <w:color w:val="auto"/>
              </w:rPr>
            </w:pPr>
          </w:p>
        </w:tc>
        <w:tc>
          <w:tcPr>
            <w:tcW w:w="420" w:type="dxa"/>
            <w:vAlign w:val="bottom"/>
            <w:gridSpan w:val="3"/>
            <w:vMerge w:val="restart"/>
          </w:tcPr>
          <w:p>
            <w:pPr>
              <w:ind w:left="40"/>
              <w:spacing w:after="0"/>
              <w:rPr>
                <w:sz w:val="20"/>
                <w:szCs w:val="20"/>
                <w:color w:val="auto"/>
              </w:rPr>
            </w:pPr>
            <w:r>
              <w:rPr>
                <w:rFonts w:ascii="Arial" w:cs="Arial" w:eastAsia="Arial" w:hAnsi="Arial"/>
                <w:sz w:val="7"/>
                <w:szCs w:val="7"/>
                <w:b w:val="1"/>
                <w:bCs w:val="1"/>
                <w:color w:val="auto"/>
              </w:rPr>
              <w:t>Useable</w:t>
            </w:r>
          </w:p>
        </w:tc>
        <w:tc>
          <w:tcPr>
            <w:tcW w:w="620" w:type="dxa"/>
            <w:vAlign w:val="bottom"/>
            <w:gridSpan w:val="4"/>
          </w:tcPr>
          <w:p>
            <w:pPr>
              <w:jc w:val="center"/>
              <w:ind w:right="80"/>
              <w:spacing w:after="0"/>
              <w:rPr>
                <w:sz w:val="20"/>
                <w:szCs w:val="20"/>
                <w:color w:val="auto"/>
              </w:rPr>
            </w:pPr>
            <w:r>
              <w:rPr>
                <w:rFonts w:ascii="Arial" w:cs="Arial" w:eastAsia="Arial" w:hAnsi="Arial"/>
                <w:sz w:val="7"/>
                <w:szCs w:val="7"/>
                <w:b w:val="1"/>
                <w:bCs w:val="1"/>
                <w:color w:val="auto"/>
              </w:rPr>
              <w:t>% of Total</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7"/>
                <w:szCs w:val="7"/>
                <w:b w:val="1"/>
                <w:bCs w:val="1"/>
                <w:color w:val="auto"/>
              </w:rPr>
              <w:t>Occupancy (%)</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7"/>
                <w:szCs w:val="7"/>
                <w:b w:val="1"/>
                <w:bCs w:val="1"/>
                <w:color w:val="auto"/>
                <w:w w:val="99"/>
              </w:rPr>
              <w:t>Annualized Retail</w:t>
            </w:r>
          </w:p>
        </w:tc>
        <w:tc>
          <w:tcPr>
            <w:tcW w:w="1180" w:type="dxa"/>
            <w:vAlign w:val="bottom"/>
            <w:gridSpan w:val="2"/>
            <w:vMerge w:val="restart"/>
          </w:tcPr>
          <w:p>
            <w:pPr>
              <w:jc w:val="right"/>
              <w:ind w:right="44"/>
              <w:spacing w:after="0"/>
              <w:rPr>
                <w:sz w:val="20"/>
                <w:szCs w:val="20"/>
                <w:color w:val="auto"/>
              </w:rPr>
            </w:pPr>
            <w:r>
              <w:rPr>
                <w:rFonts w:ascii="Arial" w:cs="Arial" w:eastAsia="Arial" w:hAnsi="Arial"/>
                <w:sz w:val="7"/>
                <w:szCs w:val="7"/>
                <w:b w:val="1"/>
                <w:bCs w:val="1"/>
                <w:color w:val="auto"/>
              </w:rPr>
              <w:t>Annualized Retail Cash Rent</w:t>
            </w:r>
          </w:p>
        </w:tc>
        <w:tc>
          <w:tcPr>
            <w:tcW w:w="440" w:type="dxa"/>
            <w:vAlign w:val="bottom"/>
            <w:vMerge w:val="restart"/>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3"/>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180" w:type="dxa"/>
            <w:vAlign w:val="bottom"/>
            <w:tcBorders>
              <w:bottom w:val="single" w:sz="8" w:color="auto"/>
            </w:tcBorders>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0" w:type="dxa"/>
            <w:vAlign w:val="bottom"/>
            <w:gridSpan w:val="2"/>
          </w:tcPr>
          <w:p>
            <w:pPr>
              <w:spacing w:after="0" w:line="68" w:lineRule="exact"/>
              <w:rPr>
                <w:sz w:val="20"/>
                <w:szCs w:val="20"/>
                <w:color w:val="auto"/>
              </w:rPr>
            </w:pPr>
            <w:r>
              <w:rPr>
                <w:rFonts w:ascii="Arial" w:cs="Arial" w:eastAsia="Arial" w:hAnsi="Arial"/>
                <w:sz w:val="7"/>
                <w:szCs w:val="7"/>
                <w:b w:val="1"/>
                <w:bCs w:val="1"/>
                <w:color w:val="auto"/>
                <w:w w:val="98"/>
              </w:rPr>
              <w:t>Properties</w:t>
            </w:r>
          </w:p>
        </w:tc>
        <w:tc>
          <w:tcPr>
            <w:tcW w:w="1060" w:type="dxa"/>
            <w:vAlign w:val="bottom"/>
          </w:tcPr>
          <w:p>
            <w:pPr>
              <w:spacing w:after="0"/>
              <w:rPr>
                <w:sz w:val="7"/>
                <w:szCs w:val="7"/>
                <w:color w:val="auto"/>
              </w:rPr>
            </w:pPr>
          </w:p>
        </w:tc>
        <w:tc>
          <w:tcPr>
            <w:tcW w:w="500" w:type="dxa"/>
            <w:vAlign w:val="bottom"/>
            <w:gridSpan w:val="2"/>
          </w:tcPr>
          <w:p>
            <w:pPr>
              <w:jc w:val="center"/>
              <w:ind w:right="120"/>
              <w:spacing w:after="0" w:line="68" w:lineRule="exact"/>
              <w:rPr>
                <w:sz w:val="20"/>
                <w:szCs w:val="20"/>
                <w:color w:val="auto"/>
              </w:rPr>
            </w:pPr>
            <w:r>
              <w:rPr>
                <w:rFonts w:ascii="Arial" w:cs="Arial" w:eastAsia="Arial" w:hAnsi="Arial"/>
                <w:sz w:val="7"/>
                <w:szCs w:val="7"/>
                <w:b w:val="1"/>
                <w:bCs w:val="1"/>
                <w:color w:val="auto"/>
                <w:w w:val="99"/>
              </w:rPr>
              <w:t>Interest (%)</w:t>
            </w:r>
          </w:p>
        </w:tc>
        <w:tc>
          <w:tcPr>
            <w:tcW w:w="98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SubMarket</w:t>
            </w:r>
          </w:p>
        </w:tc>
        <w:tc>
          <w:tcPr>
            <w:tcW w:w="74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Ownership</w:t>
            </w: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7"/>
                <w:szCs w:val="7"/>
                <w:b w:val="1"/>
                <w:bCs w:val="1"/>
                <w:color w:val="auto"/>
              </w:rPr>
              <w:t>Bldgs</w:t>
            </w:r>
          </w:p>
        </w:tc>
        <w:tc>
          <w:tcPr>
            <w:tcW w:w="100" w:type="dxa"/>
            <w:vAlign w:val="bottom"/>
          </w:tcPr>
          <w:p>
            <w:pPr>
              <w:spacing w:after="0"/>
              <w:rPr>
                <w:sz w:val="7"/>
                <w:szCs w:val="7"/>
                <w:color w:val="auto"/>
              </w:rPr>
            </w:pPr>
          </w:p>
        </w:tc>
        <w:tc>
          <w:tcPr>
            <w:tcW w:w="42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Sq. Feet</w:t>
            </w:r>
          </w:p>
        </w:tc>
        <w:tc>
          <w:tcPr>
            <w:tcW w:w="120" w:type="dxa"/>
            <w:vAlign w:val="bottom"/>
          </w:tcPr>
          <w:p>
            <w:pPr>
              <w:spacing w:after="0"/>
              <w:rPr>
                <w:sz w:val="7"/>
                <w:szCs w:val="7"/>
                <w:color w:val="auto"/>
              </w:rPr>
            </w:pPr>
          </w:p>
        </w:tc>
        <w:tc>
          <w:tcPr>
            <w:tcW w:w="500" w:type="dxa"/>
            <w:vAlign w:val="bottom"/>
            <w:gridSpan w:val="3"/>
            <w:vMerge w:val="restart"/>
          </w:tcPr>
          <w:p>
            <w:pPr>
              <w:jc w:val="center"/>
              <w:ind w:right="220"/>
              <w:spacing w:after="0"/>
              <w:rPr>
                <w:sz w:val="20"/>
                <w:szCs w:val="20"/>
                <w:color w:val="auto"/>
              </w:rPr>
            </w:pPr>
            <w:r>
              <w:rPr>
                <w:rFonts w:ascii="Arial" w:cs="Arial" w:eastAsia="Arial" w:hAnsi="Arial"/>
                <w:sz w:val="7"/>
                <w:szCs w:val="7"/>
                <w:b w:val="1"/>
                <w:bCs w:val="1"/>
                <w:color w:val="auto"/>
              </w:rPr>
              <w:t>Sq. Feet</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Jun-16</w:t>
            </w:r>
          </w:p>
        </w:tc>
        <w:tc>
          <w:tcPr>
            <w:tcW w:w="420" w:type="dxa"/>
            <w:vAlign w:val="bottom"/>
          </w:tcPr>
          <w:p>
            <w:pPr>
              <w:jc w:val="right"/>
              <w:ind w:right="64"/>
              <w:spacing w:after="0" w:line="68" w:lineRule="exact"/>
              <w:rPr>
                <w:sz w:val="20"/>
                <w:szCs w:val="20"/>
                <w:color w:val="auto"/>
              </w:rPr>
            </w:pPr>
            <w:r>
              <w:rPr>
                <w:rFonts w:ascii="Arial" w:cs="Arial" w:eastAsia="Arial" w:hAnsi="Arial"/>
                <w:sz w:val="7"/>
                <w:szCs w:val="7"/>
                <w:b w:val="1"/>
                <w:bCs w:val="1"/>
                <w:color w:val="auto"/>
              </w:rPr>
              <w:t>Mar-16</w:t>
            </w:r>
          </w:p>
        </w:tc>
        <w:tc>
          <w:tcPr>
            <w:tcW w:w="80" w:type="dxa"/>
            <w:vAlign w:val="bottom"/>
          </w:tcPr>
          <w:p>
            <w:pPr>
              <w:spacing w:after="0"/>
              <w:rPr>
                <w:sz w:val="7"/>
                <w:szCs w:val="7"/>
                <w:color w:val="auto"/>
              </w:rPr>
            </w:pP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Sep-15</w:t>
            </w:r>
          </w:p>
        </w:tc>
        <w:tc>
          <w:tcPr>
            <w:tcW w:w="520" w:type="dxa"/>
            <w:vAlign w:val="bottom"/>
            <w:gridSpan w:val="2"/>
          </w:tcPr>
          <w:p>
            <w:pPr>
              <w:jc w:val="right"/>
              <w:ind w:right="200"/>
              <w:spacing w:after="0" w:line="68" w:lineRule="exact"/>
              <w:rPr>
                <w:sz w:val="20"/>
                <w:szCs w:val="20"/>
                <w:color w:val="auto"/>
              </w:rPr>
            </w:pPr>
            <w:r>
              <w:rPr>
                <w:rFonts w:ascii="Arial" w:cs="Arial" w:eastAsia="Arial" w:hAnsi="Arial"/>
                <w:sz w:val="7"/>
                <w:szCs w:val="7"/>
                <w:b w:val="1"/>
                <w:bCs w:val="1"/>
                <w:color w:val="auto"/>
              </w:rPr>
              <w:t>Jun-15</w:t>
            </w:r>
          </w:p>
        </w:tc>
        <w:tc>
          <w:tcPr>
            <w:tcW w:w="60" w:type="dxa"/>
            <w:vAlign w:val="bottom"/>
          </w:tcPr>
          <w:p>
            <w:pPr>
              <w:spacing w:after="0"/>
              <w:rPr>
                <w:sz w:val="7"/>
                <w:szCs w:val="7"/>
                <w:color w:val="auto"/>
              </w:rPr>
            </w:pPr>
          </w:p>
        </w:tc>
        <w:tc>
          <w:tcPr>
            <w:tcW w:w="680" w:type="dxa"/>
            <w:vAlign w:val="bottom"/>
          </w:tcPr>
          <w:p>
            <w:pPr>
              <w:jc w:val="right"/>
              <w:ind w:right="84"/>
              <w:spacing w:after="0" w:line="68" w:lineRule="exact"/>
              <w:rPr>
                <w:sz w:val="20"/>
                <w:szCs w:val="20"/>
                <w:color w:val="auto"/>
              </w:rPr>
            </w:pPr>
            <w:r>
              <w:rPr>
                <w:rFonts w:ascii="Arial" w:cs="Arial" w:eastAsia="Arial" w:hAnsi="Arial"/>
                <w:sz w:val="7"/>
                <w:szCs w:val="7"/>
                <w:b w:val="1"/>
                <w:bCs w:val="1"/>
                <w:color w:val="auto"/>
              </w:rPr>
              <w:t>Cash Rent ($'s)</w:t>
            </w:r>
          </w:p>
        </w:tc>
        <w:tc>
          <w:tcPr>
            <w:tcW w:w="680" w:type="dxa"/>
            <w:vAlign w:val="bottom"/>
          </w:tcPr>
          <w:p>
            <w:pPr>
              <w:jc w:val="right"/>
              <w:ind w:right="264"/>
              <w:spacing w:after="0" w:line="68" w:lineRule="exact"/>
              <w:rPr>
                <w:sz w:val="20"/>
                <w:szCs w:val="20"/>
                <w:color w:val="auto"/>
              </w:rPr>
            </w:pPr>
            <w:r>
              <w:rPr>
                <w:rFonts w:ascii="Arial" w:cs="Arial" w:eastAsia="Arial" w:hAnsi="Arial"/>
                <w:sz w:val="7"/>
                <w:szCs w:val="7"/>
                <w:b w:val="1"/>
                <w:bCs w:val="1"/>
                <w:color w:val="auto"/>
              </w:rPr>
              <w:t>100%</w:t>
            </w:r>
          </w:p>
        </w:tc>
        <w:tc>
          <w:tcPr>
            <w:tcW w:w="500" w:type="dxa"/>
            <w:vAlign w:val="bottom"/>
          </w:tcPr>
          <w:p>
            <w:pPr>
              <w:jc w:val="right"/>
              <w:ind w:right="184"/>
              <w:spacing w:after="0" w:line="68" w:lineRule="exact"/>
              <w:rPr>
                <w:sz w:val="20"/>
                <w:szCs w:val="20"/>
                <w:color w:val="auto"/>
              </w:rPr>
            </w:pPr>
            <w:r>
              <w:rPr>
                <w:rFonts w:ascii="Arial" w:cs="Arial" w:eastAsia="Arial" w:hAnsi="Arial"/>
                <w:sz w:val="7"/>
                <w:szCs w:val="7"/>
                <w:b w:val="1"/>
                <w:bCs w:val="1"/>
                <w:color w:val="auto"/>
              </w:rPr>
              <w:t>SLG</w:t>
            </w:r>
          </w:p>
        </w:tc>
        <w:tc>
          <w:tcPr>
            <w:tcW w:w="44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920" w:type="dxa"/>
            <w:vAlign w:val="bottom"/>
            <w:gridSpan w:val="5"/>
            <w:vMerge w:val="restart"/>
          </w:tcPr>
          <w:p>
            <w:pPr>
              <w:spacing w:after="0"/>
              <w:rPr>
                <w:sz w:val="20"/>
                <w:szCs w:val="20"/>
                <w:color w:val="auto"/>
              </w:rPr>
            </w:pPr>
            <w:r>
              <w:rPr>
                <w:rFonts w:ascii="Arial" w:cs="Arial" w:eastAsia="Arial" w:hAnsi="Arial"/>
                <w:sz w:val="7"/>
                <w:szCs w:val="7"/>
                <w:b w:val="1"/>
                <w:bCs w:val="1"/>
                <w:color w:val="auto"/>
              </w:rPr>
              <w:t>OTHER RETAIL - Unconsolidated Properties</w:t>
            </w: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gridSpan w:val="3"/>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92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7"/>
                <w:szCs w:val="7"/>
                <w:color w:val="auto"/>
              </w:rPr>
              <w:t>3 Columbus Circle</w:t>
            </w:r>
          </w:p>
        </w:tc>
        <w:tc>
          <w:tcPr>
            <w:tcW w:w="380" w:type="dxa"/>
            <w:vAlign w:val="bottom"/>
          </w:tcPr>
          <w:p>
            <w:pPr>
              <w:jc w:val="center"/>
              <w:spacing w:after="0"/>
              <w:rPr>
                <w:sz w:val="20"/>
                <w:szCs w:val="20"/>
                <w:color w:val="auto"/>
              </w:rPr>
            </w:pPr>
            <w:r>
              <w:rPr>
                <w:rFonts w:ascii="Arial" w:cs="Arial" w:eastAsia="Arial" w:hAnsi="Arial"/>
                <w:sz w:val="7"/>
                <w:szCs w:val="7"/>
                <w:color w:val="auto"/>
              </w:rPr>
              <w:t>48.9</w:t>
            </w:r>
          </w:p>
        </w:tc>
        <w:tc>
          <w:tcPr>
            <w:tcW w:w="1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7"/>
                <w:szCs w:val="7"/>
                <w:color w:val="auto"/>
              </w:rPr>
              <w:t>Columbus Circle</w:t>
            </w:r>
          </w:p>
        </w:tc>
        <w:tc>
          <w:tcPr>
            <w:tcW w:w="7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80" w:type="dxa"/>
            <w:vAlign w:val="bottom"/>
            <w:gridSpan w:val="3"/>
          </w:tcPr>
          <w:p>
            <w:pPr>
              <w:jc w:val="right"/>
              <w:ind w:right="60"/>
              <w:spacing w:after="0"/>
              <w:rPr>
                <w:sz w:val="20"/>
                <w:szCs w:val="20"/>
                <w:color w:val="auto"/>
              </w:rPr>
            </w:pPr>
            <w:r>
              <w:rPr>
                <w:rFonts w:ascii="Arial" w:cs="Arial" w:eastAsia="Arial" w:hAnsi="Arial"/>
                <w:sz w:val="7"/>
                <w:szCs w:val="7"/>
                <w:color w:val="auto"/>
              </w:rPr>
              <w:t>1</w:t>
            </w: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75,165</w:t>
            </w:r>
          </w:p>
        </w:tc>
        <w:tc>
          <w:tcPr>
            <w:tcW w:w="80" w:type="dxa"/>
            <w:vAlign w:val="bottom"/>
          </w:tcPr>
          <w:p>
            <w:pPr>
              <w:spacing w:after="0"/>
              <w:rPr>
                <w:sz w:val="17"/>
                <w:szCs w:val="17"/>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3.7</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87.2</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87.2</w:t>
            </w: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87.2</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rPr>
                <w:sz w:val="20"/>
                <w:szCs w:val="20"/>
                <w:color w:val="auto"/>
              </w:rPr>
            </w:pPr>
            <w:r>
              <w:rPr>
                <w:rFonts w:ascii="Arial" w:cs="Arial" w:eastAsia="Arial" w:hAnsi="Arial"/>
                <w:sz w:val="7"/>
                <w:szCs w:val="7"/>
                <w:color w:val="auto"/>
              </w:rPr>
              <w:t>19,348,779</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6.3</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4.6</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7"/>
                <w:szCs w:val="7"/>
                <w:color w:val="auto"/>
              </w:rPr>
              <w:t>10 East 53rd Street</w:t>
            </w:r>
          </w:p>
        </w:tc>
        <w:tc>
          <w:tcPr>
            <w:tcW w:w="380" w:type="dxa"/>
            <w:vAlign w:val="bottom"/>
          </w:tcPr>
          <w:p>
            <w:pPr>
              <w:jc w:val="center"/>
              <w:spacing w:after="0"/>
              <w:rPr>
                <w:sz w:val="20"/>
                <w:szCs w:val="20"/>
                <w:color w:val="auto"/>
              </w:rPr>
            </w:pPr>
            <w:r>
              <w:rPr>
                <w:rFonts w:ascii="Arial" w:cs="Arial" w:eastAsia="Arial" w:hAnsi="Arial"/>
                <w:sz w:val="7"/>
                <w:szCs w:val="7"/>
                <w:color w:val="auto"/>
              </w:rPr>
              <w:t>55.0</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7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80" w:type="dxa"/>
            <w:vAlign w:val="bottom"/>
            <w:gridSpan w:val="3"/>
          </w:tcPr>
          <w:p>
            <w:pPr>
              <w:jc w:val="right"/>
              <w:ind w:right="60"/>
              <w:spacing w:after="0"/>
              <w:rPr>
                <w:sz w:val="20"/>
                <w:szCs w:val="20"/>
                <w:color w:val="auto"/>
              </w:rPr>
            </w:pPr>
            <w:r>
              <w:rPr>
                <w:rFonts w:ascii="Arial" w:cs="Arial" w:eastAsia="Arial" w:hAnsi="Arial"/>
                <w:sz w:val="7"/>
                <w:szCs w:val="7"/>
                <w:color w:val="auto"/>
              </w:rPr>
              <w:t>1</w:t>
            </w: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39,340</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81.7</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3,263,920</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1.1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0.9</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7"/>
                <w:szCs w:val="7"/>
                <w:color w:val="auto"/>
              </w:rPr>
              <w:t>30 East 40th Street</w:t>
            </w:r>
          </w:p>
        </w:tc>
        <w:tc>
          <w:tcPr>
            <w:tcW w:w="380" w:type="dxa"/>
            <w:vAlign w:val="bottom"/>
          </w:tcPr>
          <w:p>
            <w:pPr>
              <w:jc w:val="center"/>
              <w:spacing w:after="0"/>
              <w:rPr>
                <w:sz w:val="20"/>
                <w:szCs w:val="20"/>
                <w:color w:val="auto"/>
              </w:rPr>
            </w:pPr>
            <w:r>
              <w:rPr>
                <w:rFonts w:ascii="Arial" w:cs="Arial" w:eastAsia="Arial" w:hAnsi="Arial"/>
                <w:sz w:val="7"/>
                <w:szCs w:val="7"/>
                <w:color w:val="auto"/>
              </w:rPr>
              <w:t>60.0</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74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380" w:type="dxa"/>
            <w:vAlign w:val="bottom"/>
            <w:gridSpan w:val="3"/>
          </w:tcPr>
          <w:p>
            <w:pPr>
              <w:jc w:val="right"/>
              <w:ind w:right="60"/>
              <w:spacing w:after="0"/>
              <w:rPr>
                <w:sz w:val="20"/>
                <w:szCs w:val="20"/>
                <w:color w:val="auto"/>
              </w:rPr>
            </w:pPr>
            <w:r>
              <w:rPr>
                <w:rFonts w:ascii="Arial" w:cs="Arial" w:eastAsia="Arial" w:hAnsi="Arial"/>
                <w:sz w:val="7"/>
                <w:szCs w:val="7"/>
                <w:color w:val="auto"/>
              </w:rPr>
              <w:t>1</w:t>
            </w: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4,461</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N/A</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406,951</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0.1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0.1</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7"/>
                <w:szCs w:val="7"/>
                <w:color w:val="auto"/>
              </w:rPr>
              <w:t>55 West 46th Street</w:t>
            </w:r>
          </w:p>
        </w:tc>
        <w:tc>
          <w:tcPr>
            <w:tcW w:w="380" w:type="dxa"/>
            <w:vAlign w:val="bottom"/>
          </w:tcPr>
          <w:p>
            <w:pPr>
              <w:jc w:val="center"/>
              <w:spacing w:after="0"/>
              <w:rPr>
                <w:sz w:val="20"/>
                <w:szCs w:val="20"/>
                <w:color w:val="auto"/>
              </w:rPr>
            </w:pPr>
            <w:r>
              <w:rPr>
                <w:rFonts w:ascii="Arial" w:cs="Arial" w:eastAsia="Arial" w:hAnsi="Arial"/>
                <w:sz w:val="7"/>
                <w:szCs w:val="7"/>
                <w:color w:val="auto"/>
              </w:rPr>
              <w:t>25.0</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4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380" w:type="dxa"/>
            <w:vAlign w:val="bottom"/>
            <w:gridSpan w:val="3"/>
          </w:tcPr>
          <w:p>
            <w:pPr>
              <w:jc w:val="right"/>
              <w:ind w:right="60"/>
              <w:spacing w:after="0"/>
              <w:rPr>
                <w:sz w:val="20"/>
                <w:szCs w:val="20"/>
                <w:color w:val="auto"/>
              </w:rPr>
            </w:pPr>
            <w:r>
              <w:rPr>
                <w:rFonts w:ascii="Arial" w:cs="Arial" w:eastAsia="Arial" w:hAnsi="Arial"/>
                <w:sz w:val="7"/>
                <w:szCs w:val="7"/>
                <w:color w:val="auto"/>
              </w:rPr>
              <w:t>1</w:t>
            </w: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1,191</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0.1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209,854</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0.1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0.0</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100</w:t>
            </w:r>
          </w:p>
        </w:tc>
        <w:tc>
          <w:tcPr>
            <w:tcW w:w="130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380" w:type="dxa"/>
            <w:vAlign w:val="bottom"/>
          </w:tcPr>
          <w:p>
            <w:pPr>
              <w:jc w:val="center"/>
              <w:spacing w:after="0"/>
              <w:rPr>
                <w:sz w:val="20"/>
                <w:szCs w:val="20"/>
                <w:color w:val="auto"/>
              </w:rPr>
            </w:pPr>
            <w:r>
              <w:rPr>
                <w:rFonts w:ascii="Arial" w:cs="Arial" w:eastAsia="Arial" w:hAnsi="Arial"/>
                <w:sz w:val="7"/>
                <w:szCs w:val="7"/>
                <w:color w:val="auto"/>
              </w:rPr>
              <w:t>50.0</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7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80" w:type="dxa"/>
            <w:vAlign w:val="bottom"/>
            <w:gridSpan w:val="3"/>
          </w:tcPr>
          <w:p>
            <w:pPr>
              <w:jc w:val="right"/>
              <w:ind w:right="60"/>
              <w:spacing w:after="0"/>
              <w:rPr>
                <w:sz w:val="20"/>
                <w:szCs w:val="20"/>
                <w:color w:val="auto"/>
              </w:rPr>
            </w:pPr>
            <w:r>
              <w:rPr>
                <w:rFonts w:ascii="Arial" w:cs="Arial" w:eastAsia="Arial" w:hAnsi="Arial"/>
                <w:sz w:val="7"/>
                <w:szCs w:val="7"/>
                <w:color w:val="auto"/>
              </w:rPr>
              <w:t>1</w:t>
            </w: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40,022</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3,300,654</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1.1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0.8</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280</w:t>
            </w:r>
          </w:p>
        </w:tc>
        <w:tc>
          <w:tcPr>
            <w:tcW w:w="130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380" w:type="dxa"/>
            <w:vAlign w:val="bottom"/>
          </w:tcPr>
          <w:p>
            <w:pPr>
              <w:jc w:val="center"/>
              <w:spacing w:after="0"/>
              <w:rPr>
                <w:sz w:val="20"/>
                <w:szCs w:val="20"/>
                <w:color w:val="auto"/>
              </w:rPr>
            </w:pPr>
            <w:r>
              <w:rPr>
                <w:rFonts w:ascii="Arial" w:cs="Arial" w:eastAsia="Arial" w:hAnsi="Arial"/>
                <w:sz w:val="7"/>
                <w:szCs w:val="7"/>
                <w:color w:val="auto"/>
              </w:rPr>
              <w:t>50.0</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80" w:type="dxa"/>
            <w:vAlign w:val="bottom"/>
            <w:gridSpan w:val="3"/>
          </w:tcPr>
          <w:p>
            <w:pPr>
              <w:jc w:val="right"/>
              <w:ind w:right="60"/>
              <w:spacing w:after="0"/>
              <w:rPr>
                <w:sz w:val="20"/>
                <w:szCs w:val="20"/>
                <w:color w:val="auto"/>
              </w:rPr>
            </w:pPr>
            <w:r>
              <w:rPr>
                <w:rFonts w:ascii="Arial" w:cs="Arial" w:eastAsia="Arial" w:hAnsi="Arial"/>
                <w:sz w:val="7"/>
                <w:szCs w:val="7"/>
                <w:color w:val="auto"/>
              </w:rPr>
              <w:t>1</w:t>
            </w: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18,545</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18.9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18.9</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18.9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18.9</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786,093</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0.3</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0.2</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521</w:t>
            </w:r>
          </w:p>
        </w:tc>
        <w:tc>
          <w:tcPr>
            <w:tcW w:w="130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380" w:type="dxa"/>
            <w:vAlign w:val="bottom"/>
          </w:tcPr>
          <w:p>
            <w:pPr>
              <w:jc w:val="center"/>
              <w:spacing w:after="0"/>
              <w:rPr>
                <w:sz w:val="20"/>
                <w:szCs w:val="20"/>
                <w:color w:val="auto"/>
              </w:rPr>
            </w:pPr>
            <w:r>
              <w:rPr>
                <w:rFonts w:ascii="Arial" w:cs="Arial" w:eastAsia="Arial" w:hAnsi="Arial"/>
                <w:sz w:val="7"/>
                <w:szCs w:val="7"/>
                <w:color w:val="auto"/>
              </w:rPr>
              <w:t>50.5</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80" w:type="dxa"/>
            <w:vAlign w:val="bottom"/>
            <w:gridSpan w:val="3"/>
          </w:tcPr>
          <w:p>
            <w:pPr>
              <w:jc w:val="right"/>
              <w:ind w:right="60"/>
              <w:spacing w:after="0"/>
              <w:rPr>
                <w:sz w:val="20"/>
                <w:szCs w:val="20"/>
                <w:color w:val="auto"/>
              </w:rPr>
            </w:pPr>
            <w:r>
              <w:rPr>
                <w:rFonts w:ascii="Arial" w:cs="Arial" w:eastAsia="Arial" w:hAnsi="Arial"/>
                <w:sz w:val="7"/>
                <w:szCs w:val="7"/>
                <w:color w:val="auto"/>
              </w:rPr>
              <w:t>1</w:t>
            </w: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53,157</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2.6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4,943,809</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1.6</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1.2</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800</w:t>
            </w:r>
          </w:p>
        </w:tc>
        <w:tc>
          <w:tcPr>
            <w:tcW w:w="130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380" w:type="dxa"/>
            <w:vAlign w:val="bottom"/>
          </w:tcPr>
          <w:p>
            <w:pPr>
              <w:jc w:val="center"/>
              <w:spacing w:after="0"/>
              <w:rPr>
                <w:sz w:val="20"/>
                <w:szCs w:val="20"/>
                <w:color w:val="auto"/>
              </w:rPr>
            </w:pPr>
            <w:r>
              <w:rPr>
                <w:rFonts w:ascii="Arial" w:cs="Arial" w:eastAsia="Arial" w:hAnsi="Arial"/>
                <w:sz w:val="7"/>
                <w:szCs w:val="7"/>
                <w:color w:val="auto"/>
              </w:rPr>
              <w:t>60.5</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80" w:type="dxa"/>
            <w:vAlign w:val="bottom"/>
            <w:gridSpan w:val="3"/>
          </w:tcPr>
          <w:p>
            <w:pPr>
              <w:jc w:val="right"/>
              <w:ind w:right="60"/>
              <w:spacing w:after="0"/>
              <w:rPr>
                <w:sz w:val="20"/>
                <w:szCs w:val="20"/>
                <w:color w:val="auto"/>
              </w:rPr>
            </w:pPr>
            <w:r>
              <w:rPr>
                <w:rFonts w:ascii="Arial" w:cs="Arial" w:eastAsia="Arial" w:hAnsi="Arial"/>
                <w:sz w:val="7"/>
                <w:szCs w:val="7"/>
                <w:color w:val="auto"/>
              </w:rPr>
              <w:t>1</w:t>
            </w: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9,900</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1,915,648</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0.6</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0.6</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7"/>
                <w:szCs w:val="7"/>
                <w:color w:val="auto"/>
              </w:rPr>
              <w:t>Stonehenge Portfolio</w:t>
            </w:r>
          </w:p>
        </w:tc>
        <w:tc>
          <w:tcPr>
            <w:tcW w:w="500" w:type="dxa"/>
            <w:vAlign w:val="bottom"/>
            <w:gridSpan w:val="2"/>
          </w:tcPr>
          <w:p>
            <w:pPr>
              <w:jc w:val="center"/>
              <w:ind w:right="100"/>
              <w:spacing w:after="0"/>
              <w:rPr>
                <w:sz w:val="20"/>
                <w:szCs w:val="20"/>
                <w:color w:val="auto"/>
              </w:rPr>
            </w:pPr>
            <w:r>
              <w:rPr>
                <w:rFonts w:ascii="Arial" w:cs="Arial" w:eastAsia="Arial" w:hAnsi="Arial"/>
                <w:sz w:val="7"/>
                <w:szCs w:val="7"/>
                <w:color w:val="auto"/>
              </w:rPr>
              <w:t>Various</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7"/>
                <w:szCs w:val="7"/>
                <w:color w:val="auto"/>
              </w:rPr>
              <w:t>10</w:t>
            </w: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88,984</w:t>
            </w:r>
          </w:p>
        </w:tc>
        <w:tc>
          <w:tcPr>
            <w:tcW w:w="80" w:type="dxa"/>
            <w:vAlign w:val="bottom"/>
          </w:tcPr>
          <w:p>
            <w:pPr>
              <w:spacing w:after="0"/>
              <w:rPr>
                <w:sz w:val="19"/>
                <w:szCs w:val="19"/>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7"/>
                <w:szCs w:val="7"/>
                <w:color w:val="auto"/>
              </w:rPr>
              <w:t>4.3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82.7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80.3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80.3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82.5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79.0</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9,502,384</w:t>
            </w:r>
          </w:p>
        </w:tc>
        <w:tc>
          <w:tcPr>
            <w:tcW w:w="68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3.1</w:t>
            </w: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0.1</w:t>
            </w: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33</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ind w:left="580"/>
              <w:spacing w:after="0"/>
              <w:rPr>
                <w:sz w:val="20"/>
                <w:szCs w:val="20"/>
                <w:color w:val="auto"/>
              </w:rPr>
            </w:pPr>
            <w:r>
              <w:rPr>
                <w:rFonts w:ascii="Arial" w:cs="Arial" w:eastAsia="Arial" w:hAnsi="Arial"/>
                <w:sz w:val="7"/>
                <w:szCs w:val="7"/>
                <w:b w:val="1"/>
                <w:bCs w:val="1"/>
                <w:color w:val="auto"/>
              </w:rPr>
              <w:t>Subtotal / Weighted Average</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7"/>
                <w:szCs w:val="7"/>
                <w:b w:val="1"/>
                <w:bCs w:val="1"/>
                <w:color w:val="auto"/>
              </w:rPr>
              <w:t>18</w:t>
            </w: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330,765</w:t>
            </w:r>
          </w:p>
        </w:tc>
        <w:tc>
          <w:tcPr>
            <w:tcW w:w="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16.1%</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90.8%</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90.1%</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86.9%</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85.3%</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84.1%</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43,678,091</w:t>
            </w:r>
          </w:p>
        </w:tc>
        <w:tc>
          <w:tcPr>
            <w:tcW w:w="680" w:type="dxa"/>
            <w:vAlign w:val="bottom"/>
          </w:tcPr>
          <w:p>
            <w:pPr>
              <w:jc w:val="right"/>
              <w:ind w:right="84"/>
              <w:spacing w:after="0"/>
              <w:rPr>
                <w:sz w:val="20"/>
                <w:szCs w:val="20"/>
                <w:color w:val="auto"/>
              </w:rPr>
            </w:pPr>
            <w:r>
              <w:rPr>
                <w:rFonts w:ascii="Arial" w:cs="Arial" w:eastAsia="Arial" w:hAnsi="Arial"/>
                <w:sz w:val="7"/>
                <w:szCs w:val="7"/>
                <w:b w:val="1"/>
                <w:bCs w:val="1"/>
                <w:color w:val="auto"/>
              </w:rPr>
              <w:t>14.2%</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8.5%</w:t>
            </w:r>
          </w:p>
        </w:tc>
        <w:tc>
          <w:tcPr>
            <w:tcW w:w="440" w:type="dxa"/>
            <w:vAlign w:val="bottom"/>
          </w:tcPr>
          <w:p>
            <w:pPr>
              <w:jc w:val="right"/>
              <w:ind w:right="4"/>
              <w:spacing w:after="0"/>
              <w:rPr>
                <w:sz w:val="20"/>
                <w:szCs w:val="20"/>
                <w:color w:val="auto"/>
              </w:rPr>
            </w:pPr>
            <w:r>
              <w:rPr>
                <w:rFonts w:ascii="Arial" w:cs="Arial" w:eastAsia="Arial" w:hAnsi="Arial"/>
                <w:sz w:val="7"/>
                <w:szCs w:val="7"/>
                <w:b w:val="1"/>
                <w:bCs w:val="1"/>
                <w:color w:val="auto"/>
              </w:rPr>
              <w:t>64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7"/>
                <w:szCs w:val="7"/>
                <w:b w:val="1"/>
                <w:bCs w:val="1"/>
                <w:color w:val="auto"/>
              </w:rPr>
              <w:t>Total / Weighted Average Other Retail</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7"/>
                <w:szCs w:val="7"/>
                <w:b w:val="1"/>
                <w:bCs w:val="1"/>
                <w:color w:val="auto"/>
              </w:rPr>
              <w:t>44</w:t>
            </w: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1,249,752</w:t>
            </w:r>
          </w:p>
        </w:tc>
        <w:tc>
          <w:tcPr>
            <w:tcW w:w="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61.0%</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94.1%</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93.8%</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93.8%</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93.3%</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92.7%</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164,099,249</w:t>
            </w:r>
          </w:p>
        </w:tc>
        <w:tc>
          <w:tcPr>
            <w:tcW w:w="680" w:type="dxa"/>
            <w:vAlign w:val="bottom"/>
          </w:tcPr>
          <w:p>
            <w:pPr>
              <w:jc w:val="right"/>
              <w:ind w:right="84"/>
              <w:spacing w:after="0"/>
              <w:rPr>
                <w:sz w:val="20"/>
                <w:szCs w:val="20"/>
                <w:color w:val="auto"/>
              </w:rPr>
            </w:pPr>
            <w:r>
              <w:rPr>
                <w:rFonts w:ascii="Arial" w:cs="Arial" w:eastAsia="Arial" w:hAnsi="Arial"/>
                <w:sz w:val="7"/>
                <w:szCs w:val="7"/>
                <w:b w:val="1"/>
                <w:bCs w:val="1"/>
                <w:color w:val="auto"/>
              </w:rPr>
              <w:t>53.5%</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66.4%</w:t>
            </w:r>
          </w:p>
        </w:tc>
        <w:tc>
          <w:tcPr>
            <w:tcW w:w="440" w:type="dxa"/>
            <w:vAlign w:val="bottom"/>
          </w:tcPr>
          <w:p>
            <w:pPr>
              <w:jc w:val="right"/>
              <w:ind w:right="4"/>
              <w:spacing w:after="0"/>
              <w:rPr>
                <w:sz w:val="20"/>
                <w:szCs w:val="20"/>
                <w:color w:val="auto"/>
              </w:rPr>
            </w:pPr>
            <w:r>
              <w:rPr>
                <w:rFonts w:ascii="Arial" w:cs="Arial" w:eastAsia="Arial" w:hAnsi="Arial"/>
                <w:sz w:val="7"/>
                <w:szCs w:val="7"/>
                <w:b w:val="1"/>
                <w:bCs w:val="1"/>
                <w:color w:val="auto"/>
              </w:rPr>
              <w:t>186</w:t>
            </w:r>
          </w:p>
        </w:tc>
        <w:tc>
          <w:tcPr>
            <w:tcW w:w="0" w:type="dxa"/>
            <w:vAlign w:val="bottom"/>
          </w:tcPr>
          <w:p>
            <w:pPr>
              <w:spacing w:after="0"/>
              <w:rPr>
                <w:sz w:val="1"/>
                <w:szCs w:val="1"/>
                <w:color w:val="auto"/>
              </w:rPr>
            </w:pPr>
          </w:p>
        </w:tc>
      </w:tr>
      <w:tr>
        <w:trPr>
          <w:trHeight w:val="166"/>
        </w:trPr>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shd w:val="clear" w:color="auto" w:fill="000000"/>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7"/>
                <w:szCs w:val="7"/>
                <w:b w:val="1"/>
                <w:bCs w:val="1"/>
                <w:color w:val="auto"/>
              </w:rPr>
              <w:t>Retail Grand Total / Weighted Average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7"/>
                <w:szCs w:val="7"/>
                <w:b w:val="1"/>
                <w:bCs w:val="1"/>
                <w:color w:val="auto"/>
              </w:rPr>
              <w:t>67</w:t>
            </w: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2,048,526</w:t>
            </w:r>
          </w:p>
        </w:tc>
        <w:tc>
          <w:tcPr>
            <w:tcW w:w="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90.5%</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90.4%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90.8%</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91.2%</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91.1%</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306,875,823</w:t>
            </w:r>
          </w:p>
        </w:tc>
        <w:tc>
          <w:tcPr>
            <w:tcW w:w="680" w:type="dxa"/>
            <w:vAlign w:val="bottom"/>
          </w:tcPr>
          <w:p>
            <w:pPr>
              <w:jc w:val="right"/>
              <w:ind w:right="84"/>
              <w:spacing w:after="0"/>
              <w:rPr>
                <w:sz w:val="20"/>
                <w:szCs w:val="20"/>
                <w:color w:val="auto"/>
              </w:rPr>
            </w:pPr>
            <w:r>
              <w:rPr>
                <w:rFonts w:ascii="Arial" w:cs="Arial" w:eastAsia="Arial" w:hAnsi="Arial"/>
                <w:sz w:val="7"/>
                <w:szCs w:val="7"/>
                <w:b w:val="1"/>
                <w:bCs w:val="1"/>
                <w:color w:val="auto"/>
              </w:rPr>
              <w:t>100.0%</w:t>
            </w:r>
          </w:p>
        </w:tc>
        <w:tc>
          <w:tcPr>
            <w:tcW w:w="500" w:type="dxa"/>
            <w:vAlign w:val="bottom"/>
          </w:tcPr>
          <w:p>
            <w:pPr>
              <w:spacing w:after="0"/>
              <w:rPr>
                <w:sz w:val="24"/>
                <w:szCs w:val="24"/>
                <w:color w:val="auto"/>
              </w:rPr>
            </w:pPr>
          </w:p>
        </w:tc>
        <w:tc>
          <w:tcPr>
            <w:tcW w:w="44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280</w:t>
            </w: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1920" w:type="dxa"/>
            <w:vAlign w:val="bottom"/>
            <w:gridSpan w:val="5"/>
          </w:tcPr>
          <w:p>
            <w:pPr>
              <w:spacing w:after="0"/>
              <w:rPr>
                <w:sz w:val="20"/>
                <w:szCs w:val="20"/>
                <w:color w:val="auto"/>
              </w:rPr>
            </w:pPr>
            <w:r>
              <w:rPr>
                <w:rFonts w:ascii="Arial" w:cs="Arial" w:eastAsia="Arial" w:hAnsi="Arial"/>
                <w:sz w:val="7"/>
                <w:szCs w:val="7"/>
                <w:b w:val="1"/>
                <w:bCs w:val="1"/>
                <w:color w:val="auto"/>
              </w:rPr>
              <w:t>Retail Grand Total - SLG share of Annualized Rent</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204,343,084</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shd w:val="clear" w:color="auto" w:fill="000000"/>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37</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sectPr>
      </w:pPr>
    </w:p>
    <w:bookmarkStart w:id="54" w:name="page55"/>
    <w:bookmarkEnd w:id="5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5207635</wp:posOffset>
            </wp:positionH>
            <wp:positionV relativeFrom="paragraph">
              <wp:posOffset>-90170</wp:posOffset>
            </wp:positionV>
            <wp:extent cx="1207770" cy="3606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7770"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Reckson Operating Portfolio - Consolidated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50" w:type="dxa"/>
        <w:tblCellMar>
          <w:top w:w="0" w:type="dxa"/>
          <w:left w:w="0" w:type="dxa"/>
          <w:bottom w:w="0" w:type="dxa"/>
          <w:right w:w="0" w:type="dxa"/>
        </w:tblCellMar>
      </w:tblPr>
      <w:tr>
        <w:trPr>
          <w:trHeight w:val="98"/>
        </w:trPr>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680" w:type="dxa"/>
            <w:vAlign w:val="bottom"/>
            <w:gridSpan w:val="4"/>
          </w:tcPr>
          <w:p>
            <w:pPr>
              <w:ind w:left="40"/>
              <w:spacing w:after="0"/>
              <w:rPr>
                <w:sz w:val="20"/>
                <w:szCs w:val="20"/>
                <w:color w:val="auto"/>
              </w:rPr>
            </w:pPr>
            <w:r>
              <w:rPr>
                <w:rFonts w:ascii="Arial" w:cs="Arial" w:eastAsia="Arial" w:hAnsi="Arial"/>
                <w:sz w:val="7"/>
                <w:szCs w:val="7"/>
                <w:b w:val="1"/>
                <w:bCs w:val="1"/>
                <w:color w:val="auto"/>
              </w:rPr>
              <w:t>% of Total</w:t>
            </w: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7"/>
                <w:szCs w:val="7"/>
                <w:b w:val="1"/>
                <w:bCs w:val="1"/>
                <w:color w:val="auto"/>
              </w:rPr>
              <w:t>Occupancy (%)</w:t>
            </w: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7"/>
                <w:szCs w:val="7"/>
                <w:b w:val="1"/>
                <w:bCs w:val="1"/>
                <w:color w:val="auto"/>
              </w:rPr>
              <w:t>Annualized Cash Rent</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r>
      <w:tr>
        <w:trPr>
          <w:trHeight w:val="92"/>
        </w:trPr>
        <w:tc>
          <w:tcPr>
            <w:tcW w:w="380" w:type="dxa"/>
            <w:vAlign w:val="bottom"/>
            <w:tcBorders>
              <w:bottom w:val="single" w:sz="8" w:color="auto"/>
            </w:tcBorders>
            <w:gridSpan w:val="2"/>
          </w:tcPr>
          <w:p>
            <w:pPr>
              <w:ind w:left="20"/>
              <w:spacing w:after="0" w:line="68" w:lineRule="exact"/>
              <w:rPr>
                <w:sz w:val="20"/>
                <w:szCs w:val="20"/>
                <w:color w:val="auto"/>
              </w:rPr>
            </w:pPr>
            <w:r>
              <w:rPr>
                <w:rFonts w:ascii="Arial" w:cs="Arial" w:eastAsia="Arial" w:hAnsi="Arial"/>
                <w:sz w:val="7"/>
                <w:szCs w:val="7"/>
                <w:b w:val="1"/>
                <w:bCs w:val="1"/>
                <w:color w:val="auto"/>
                <w:w w:val="98"/>
              </w:rPr>
              <w:t>Properties</w:t>
            </w:r>
          </w:p>
        </w:tc>
        <w:tc>
          <w:tcPr>
            <w:tcW w:w="940" w:type="dxa"/>
            <w:vAlign w:val="bottom"/>
          </w:tcPr>
          <w:p>
            <w:pPr>
              <w:spacing w:after="0"/>
              <w:rPr>
                <w:sz w:val="7"/>
                <w:szCs w:val="7"/>
                <w:color w:val="auto"/>
              </w:rPr>
            </w:pPr>
          </w:p>
        </w:tc>
        <w:tc>
          <w:tcPr>
            <w:tcW w:w="38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w w:val="94"/>
              </w:rPr>
              <w:t>Interest (%)</w:t>
            </w: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w w:val="94"/>
              </w:rPr>
              <w:t>SubMarket</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w w:val="93"/>
              </w:rPr>
              <w:t>Ownership</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w w:val="95"/>
              </w:rPr>
              <w:t>Sq. Feet</w:t>
            </w:r>
          </w:p>
        </w:tc>
        <w:tc>
          <w:tcPr>
            <w:tcW w:w="14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w w:val="95"/>
              </w:rPr>
              <w:t>Sq. Feet</w:t>
            </w:r>
          </w:p>
        </w:tc>
        <w:tc>
          <w:tcPr>
            <w:tcW w:w="300" w:type="dxa"/>
            <w:vAlign w:val="bottom"/>
            <w:gridSpan w:val="2"/>
          </w:tcPr>
          <w:p>
            <w:pPr>
              <w:spacing w:after="0"/>
              <w:rPr>
                <w:sz w:val="7"/>
                <w:szCs w:val="7"/>
                <w:color w:val="auto"/>
              </w:rPr>
            </w:pPr>
          </w:p>
        </w:tc>
        <w:tc>
          <w:tcPr>
            <w:tcW w:w="620" w:type="dxa"/>
            <w:vAlign w:val="bottom"/>
            <w:gridSpan w:val="2"/>
          </w:tcPr>
          <w:p>
            <w:pPr>
              <w:ind w:left="140"/>
              <w:spacing w:after="0"/>
              <w:rPr>
                <w:sz w:val="20"/>
                <w:szCs w:val="20"/>
                <w:color w:val="auto"/>
              </w:rPr>
            </w:pPr>
            <w:r>
              <w:rPr>
                <w:rFonts w:ascii="Arial" w:cs="Arial" w:eastAsia="Arial" w:hAnsi="Arial"/>
                <w:sz w:val="7"/>
                <w:szCs w:val="7"/>
                <w:b w:val="1"/>
                <w:bCs w:val="1"/>
                <w:color w:val="auto"/>
              </w:rPr>
              <w:t>Jun-16</w:t>
            </w:r>
          </w:p>
        </w:tc>
        <w:tc>
          <w:tcPr>
            <w:tcW w:w="620" w:type="dxa"/>
            <w:vAlign w:val="bottom"/>
            <w:gridSpan w:val="2"/>
          </w:tcPr>
          <w:p>
            <w:pPr>
              <w:ind w:left="140"/>
              <w:spacing w:after="0"/>
              <w:rPr>
                <w:sz w:val="20"/>
                <w:szCs w:val="20"/>
                <w:color w:val="auto"/>
              </w:rPr>
            </w:pPr>
            <w:r>
              <w:rPr>
                <w:rFonts w:ascii="Arial" w:cs="Arial" w:eastAsia="Arial" w:hAnsi="Arial"/>
                <w:sz w:val="7"/>
                <w:szCs w:val="7"/>
                <w:b w:val="1"/>
                <w:bCs w:val="1"/>
                <w:color w:val="auto"/>
              </w:rPr>
              <w:t>Mar-16</w:t>
            </w:r>
          </w:p>
        </w:tc>
        <w:tc>
          <w:tcPr>
            <w:tcW w:w="620" w:type="dxa"/>
            <w:vAlign w:val="bottom"/>
            <w:gridSpan w:val="2"/>
          </w:tcPr>
          <w:p>
            <w:pPr>
              <w:ind w:left="140"/>
              <w:spacing w:after="0"/>
              <w:rPr>
                <w:sz w:val="20"/>
                <w:szCs w:val="20"/>
                <w:color w:val="auto"/>
              </w:rPr>
            </w:pPr>
            <w:r>
              <w:rPr>
                <w:rFonts w:ascii="Arial" w:cs="Arial" w:eastAsia="Arial" w:hAnsi="Arial"/>
                <w:sz w:val="7"/>
                <w:szCs w:val="7"/>
                <w:b w:val="1"/>
                <w:bCs w:val="1"/>
                <w:color w:val="auto"/>
              </w:rPr>
              <w:t>Dec-15</w:t>
            </w:r>
          </w:p>
        </w:tc>
        <w:tc>
          <w:tcPr>
            <w:tcW w:w="640" w:type="dxa"/>
            <w:vAlign w:val="bottom"/>
            <w:gridSpan w:val="2"/>
          </w:tcPr>
          <w:p>
            <w:pPr>
              <w:ind w:left="160"/>
              <w:spacing w:after="0"/>
              <w:rPr>
                <w:sz w:val="20"/>
                <w:szCs w:val="20"/>
                <w:color w:val="auto"/>
              </w:rPr>
            </w:pPr>
            <w:r>
              <w:rPr>
                <w:rFonts w:ascii="Arial" w:cs="Arial" w:eastAsia="Arial" w:hAnsi="Arial"/>
                <w:sz w:val="7"/>
                <w:szCs w:val="7"/>
                <w:b w:val="1"/>
                <w:bCs w:val="1"/>
                <w:color w:val="auto"/>
              </w:rPr>
              <w:t>Sep-15</w:t>
            </w:r>
          </w:p>
        </w:tc>
        <w:tc>
          <w:tcPr>
            <w:tcW w:w="620" w:type="dxa"/>
            <w:vAlign w:val="bottom"/>
            <w:gridSpan w:val="2"/>
          </w:tcPr>
          <w:p>
            <w:pPr>
              <w:ind w:left="140"/>
              <w:spacing w:after="0"/>
              <w:rPr>
                <w:sz w:val="20"/>
                <w:szCs w:val="20"/>
                <w:color w:val="auto"/>
              </w:rPr>
            </w:pPr>
            <w:r>
              <w:rPr>
                <w:rFonts w:ascii="Arial" w:cs="Arial" w:eastAsia="Arial" w:hAnsi="Arial"/>
                <w:sz w:val="7"/>
                <w:szCs w:val="7"/>
                <w:b w:val="1"/>
                <w:bCs w:val="1"/>
                <w:color w:val="auto"/>
              </w:rPr>
              <w:t>Jun-15</w:t>
            </w: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Annualized Cash</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100%</w:t>
            </w:r>
          </w:p>
        </w:tc>
        <w:tc>
          <w:tcPr>
            <w:tcW w:w="480" w:type="dxa"/>
            <w:vAlign w:val="bottom"/>
          </w:tcPr>
          <w:p>
            <w:pPr>
              <w:jc w:val="right"/>
              <w:ind w:right="64"/>
              <w:spacing w:after="0"/>
              <w:rPr>
                <w:sz w:val="20"/>
                <w:szCs w:val="20"/>
                <w:color w:val="auto"/>
              </w:rPr>
            </w:pPr>
            <w:r>
              <w:rPr>
                <w:rFonts w:ascii="Arial" w:cs="Arial" w:eastAsia="Arial" w:hAnsi="Arial"/>
                <w:sz w:val="7"/>
                <w:szCs w:val="7"/>
                <w:b w:val="1"/>
                <w:bCs w:val="1"/>
                <w:color w:val="auto"/>
              </w:rPr>
              <w:t>SLG%</w:t>
            </w:r>
          </w:p>
        </w:tc>
        <w:tc>
          <w:tcPr>
            <w:tcW w:w="460" w:type="dxa"/>
            <w:vAlign w:val="bottom"/>
          </w:tcPr>
          <w:p>
            <w:pPr>
              <w:jc w:val="right"/>
              <w:ind w:right="4"/>
              <w:spacing w:after="0" w:line="79" w:lineRule="exact"/>
              <w:rPr>
                <w:sz w:val="20"/>
                <w:szCs w:val="20"/>
                <w:color w:val="auto"/>
              </w:rPr>
            </w:pPr>
            <w:r>
              <w:rPr>
                <w:rFonts w:ascii="Arial" w:cs="Arial" w:eastAsia="Arial" w:hAnsi="Arial"/>
                <w:sz w:val="7"/>
                <w:szCs w:val="7"/>
                <w:b w:val="1"/>
                <w:bCs w:val="1"/>
                <w:color w:val="auto"/>
              </w:rPr>
              <w:t>Tenants</w:t>
            </w:r>
          </w:p>
        </w:tc>
      </w:tr>
      <w:tr>
        <w:trPr>
          <w:trHeight w:val="98"/>
        </w:trPr>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24"/>
              <w:spacing w:after="0"/>
              <w:rPr>
                <w:sz w:val="20"/>
                <w:szCs w:val="20"/>
                <w:color w:val="auto"/>
              </w:rPr>
            </w:pPr>
            <w:r>
              <w:rPr>
                <w:rFonts w:ascii="Arial" w:cs="Arial" w:eastAsia="Arial" w:hAnsi="Arial"/>
                <w:sz w:val="7"/>
                <w:szCs w:val="7"/>
                <w:b w:val="1"/>
                <w:bCs w:val="1"/>
                <w:color w:val="auto"/>
              </w:rPr>
              <w:t>Rent ($'s)</w:t>
            </w: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06"/>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Manhattan Operating Properties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25"/>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"Same Store"</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r>
      <w:tr>
        <w:trPr>
          <w:trHeight w:val="203"/>
        </w:trPr>
        <w:tc>
          <w:tcPr>
            <w:tcW w:w="260" w:type="dxa"/>
            <w:vAlign w:val="bottom"/>
          </w:tcPr>
          <w:p>
            <w:pPr>
              <w:ind w:left="120"/>
              <w:spacing w:after="0"/>
              <w:rPr>
                <w:sz w:val="20"/>
                <w:szCs w:val="20"/>
                <w:color w:val="auto"/>
              </w:rPr>
            </w:pPr>
            <w:r>
              <w:rPr>
                <w:rFonts w:ascii="Arial" w:cs="Arial" w:eastAsia="Arial" w:hAnsi="Arial"/>
                <w:sz w:val="7"/>
                <w:szCs w:val="7"/>
                <w:color w:val="auto"/>
              </w:rPr>
              <w:t>110</w:t>
            </w:r>
          </w:p>
        </w:tc>
        <w:tc>
          <w:tcPr>
            <w:tcW w:w="1060" w:type="dxa"/>
            <w:vAlign w:val="bottom"/>
            <w:gridSpan w:val="2"/>
          </w:tcPr>
          <w:p>
            <w:pPr>
              <w:spacing w:after="0"/>
              <w:rPr>
                <w:sz w:val="20"/>
                <w:szCs w:val="20"/>
                <w:color w:val="auto"/>
              </w:rPr>
            </w:pPr>
            <w:r>
              <w:rPr>
                <w:rFonts w:ascii="Arial" w:cs="Arial" w:eastAsia="Arial" w:hAnsi="Arial"/>
                <w:sz w:val="7"/>
                <w:szCs w:val="7"/>
                <w:color w:val="auto"/>
              </w:rPr>
              <w:t>East 42nd Street</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Grand Central</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215,400</w:t>
            </w:r>
          </w:p>
        </w:tc>
        <w:tc>
          <w:tcPr>
            <w:tcW w:w="100" w:type="dxa"/>
            <w:vAlign w:val="bottom"/>
          </w:tcPr>
          <w:p>
            <w:pPr>
              <w:spacing w:after="0"/>
              <w:rPr>
                <w:sz w:val="17"/>
                <w:szCs w:val="1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91.8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98.5</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98.5</w:t>
            </w:r>
          </w:p>
        </w:tc>
        <w:tc>
          <w:tcPr>
            <w:tcW w:w="100" w:type="dxa"/>
            <w:vAlign w:val="bottom"/>
          </w:tcPr>
          <w:p>
            <w:pPr>
              <w:spacing w:after="0"/>
              <w:rPr>
                <w:sz w:val="17"/>
                <w:szCs w:val="1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10,077,496</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1.9</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1.7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23</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125</w:t>
            </w:r>
          </w:p>
        </w:tc>
        <w:tc>
          <w:tcPr>
            <w:tcW w:w="106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Grand Central</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604,245</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5.1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88.0</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87.1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40,267,805</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7.6</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6.7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24</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304</w:t>
            </w:r>
          </w:p>
        </w:tc>
        <w:tc>
          <w:tcPr>
            <w:tcW w:w="1060" w:type="dxa"/>
            <w:vAlign w:val="bottom"/>
            <w:gridSpan w:val="2"/>
          </w:tcPr>
          <w:p>
            <w:pPr>
              <w:spacing w:after="0"/>
              <w:rPr>
                <w:sz w:val="20"/>
                <w:szCs w:val="20"/>
                <w:color w:val="auto"/>
              </w:rPr>
            </w:pPr>
            <w:r>
              <w:rPr>
                <w:rFonts w:ascii="Arial" w:cs="Arial" w:eastAsia="Arial" w:hAnsi="Arial"/>
                <w:sz w:val="7"/>
                <w:szCs w:val="7"/>
                <w:color w:val="auto"/>
              </w:rPr>
              <w:t>Park Avenue South (1)</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Midtown South</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215,000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83.8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90.9</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14,125,740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2.7</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2.4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Leasehold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86"/>
        </w:trPr>
        <w:tc>
          <w:tcPr>
            <w:tcW w:w="260" w:type="dxa"/>
            <w:vAlign w:val="bottom"/>
          </w:tcPr>
          <w:p>
            <w:pPr>
              <w:ind w:left="120"/>
              <w:spacing w:after="0"/>
              <w:rPr>
                <w:sz w:val="20"/>
                <w:szCs w:val="20"/>
                <w:color w:val="auto"/>
              </w:rPr>
            </w:pPr>
            <w:r>
              <w:rPr>
                <w:rFonts w:ascii="Arial" w:cs="Arial" w:eastAsia="Arial" w:hAnsi="Arial"/>
                <w:sz w:val="7"/>
                <w:szCs w:val="7"/>
                <w:color w:val="auto"/>
              </w:rPr>
              <w:t>461</w:t>
            </w:r>
          </w:p>
        </w:tc>
        <w:tc>
          <w:tcPr>
            <w:tcW w:w="106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7"/>
                <w:szCs w:val="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Midtown</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200,000</w:t>
            </w:r>
          </w:p>
        </w:tc>
        <w:tc>
          <w:tcPr>
            <w:tcW w:w="100" w:type="dxa"/>
            <w:vAlign w:val="bottom"/>
          </w:tcPr>
          <w:p>
            <w:pPr>
              <w:spacing w:after="0"/>
              <w:rPr>
                <w:sz w:val="7"/>
                <w:szCs w:val="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1.7</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7"/>
                <w:szCs w:val="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96.8</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18,359,564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3.5</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3.1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555</w:t>
            </w:r>
          </w:p>
        </w:tc>
        <w:tc>
          <w:tcPr>
            <w:tcW w:w="1060" w:type="dxa"/>
            <w:vAlign w:val="bottom"/>
            <w:gridSpan w:val="2"/>
          </w:tcPr>
          <w:p>
            <w:pPr>
              <w:spacing w:after="0"/>
              <w:rPr>
                <w:sz w:val="20"/>
                <w:szCs w:val="20"/>
                <w:color w:val="auto"/>
              </w:rPr>
            </w:pPr>
            <w:r>
              <w:rPr>
                <w:rFonts w:ascii="Arial" w:cs="Arial" w:eastAsia="Arial" w:hAnsi="Arial"/>
                <w:sz w:val="7"/>
                <w:szCs w:val="7"/>
                <w:color w:val="auto"/>
              </w:rPr>
              <w:t>West 57th Street</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Midtown West</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941,000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8.0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39,602,001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6.6</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609</w:t>
            </w:r>
          </w:p>
        </w:tc>
        <w:tc>
          <w:tcPr>
            <w:tcW w:w="106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Rockefeller Center</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160,000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76.1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76.1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76.1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75.6</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81.3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14,939,947</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2.8</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2.5</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13</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Leasehold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86"/>
        </w:trPr>
        <w:tc>
          <w:tcPr>
            <w:tcW w:w="260" w:type="dxa"/>
            <w:vAlign w:val="bottom"/>
          </w:tcPr>
          <w:p>
            <w:pPr>
              <w:ind w:left="120"/>
              <w:spacing w:after="0"/>
              <w:rPr>
                <w:sz w:val="20"/>
                <w:szCs w:val="20"/>
                <w:color w:val="auto"/>
              </w:rPr>
            </w:pPr>
            <w:r>
              <w:rPr>
                <w:rFonts w:ascii="Arial" w:cs="Arial" w:eastAsia="Arial" w:hAnsi="Arial"/>
                <w:sz w:val="7"/>
                <w:szCs w:val="7"/>
                <w:color w:val="auto"/>
              </w:rPr>
              <w:t>625</w:t>
            </w:r>
          </w:p>
        </w:tc>
        <w:tc>
          <w:tcPr>
            <w:tcW w:w="106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7"/>
                <w:szCs w:val="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Plaza District</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563,000</w:t>
            </w:r>
          </w:p>
        </w:tc>
        <w:tc>
          <w:tcPr>
            <w:tcW w:w="100" w:type="dxa"/>
            <w:vAlign w:val="bottom"/>
          </w:tcPr>
          <w:p>
            <w:pPr>
              <w:spacing w:after="0"/>
              <w:rPr>
                <w:sz w:val="7"/>
                <w:szCs w:val="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4.8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98.2</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97.2</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97.2</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97.1</w:t>
            </w:r>
          </w:p>
        </w:tc>
        <w:tc>
          <w:tcPr>
            <w:tcW w:w="100" w:type="dxa"/>
            <w:vAlign w:val="bottom"/>
          </w:tcPr>
          <w:p>
            <w:pPr>
              <w:spacing w:after="0"/>
              <w:rPr>
                <w:sz w:val="7"/>
                <w:szCs w:val="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97.1</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57,192,862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10.8</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9.6</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22</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635</w:t>
            </w:r>
          </w:p>
        </w:tc>
        <w:tc>
          <w:tcPr>
            <w:tcW w:w="1060" w:type="dxa"/>
            <w:vAlign w:val="bottom"/>
            <w:gridSpan w:val="2"/>
          </w:tcPr>
          <w:p>
            <w:pPr>
              <w:spacing w:after="0"/>
              <w:rPr>
                <w:sz w:val="20"/>
                <w:szCs w:val="20"/>
                <w:color w:val="auto"/>
              </w:rPr>
            </w:pPr>
            <w:r>
              <w:rPr>
                <w:rFonts w:ascii="Arial" w:cs="Arial" w:eastAsia="Arial" w:hAnsi="Arial"/>
                <w:sz w:val="7"/>
                <w:szCs w:val="7"/>
                <w:color w:val="auto"/>
              </w:rPr>
              <w:t>Sixth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Midtown South</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104,000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8,643,483</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1.6</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1.4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641</w:t>
            </w:r>
          </w:p>
        </w:tc>
        <w:tc>
          <w:tcPr>
            <w:tcW w:w="1060" w:type="dxa"/>
            <w:vAlign w:val="bottom"/>
            <w:gridSpan w:val="2"/>
          </w:tcPr>
          <w:p>
            <w:pPr>
              <w:spacing w:after="0"/>
              <w:rPr>
                <w:sz w:val="20"/>
                <w:szCs w:val="20"/>
                <w:color w:val="auto"/>
              </w:rPr>
            </w:pPr>
            <w:r>
              <w:rPr>
                <w:rFonts w:ascii="Arial" w:cs="Arial" w:eastAsia="Arial" w:hAnsi="Arial"/>
                <w:sz w:val="7"/>
                <w:szCs w:val="7"/>
                <w:color w:val="auto"/>
              </w:rPr>
              <w:t>Sixth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Midtown South</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163,000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13,133,715</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2.5</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2.2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Leasehold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86"/>
        </w:trPr>
        <w:tc>
          <w:tcPr>
            <w:tcW w:w="260" w:type="dxa"/>
            <w:vAlign w:val="bottom"/>
          </w:tcPr>
          <w:p>
            <w:pPr>
              <w:ind w:left="120"/>
              <w:spacing w:after="0"/>
              <w:rPr>
                <w:sz w:val="20"/>
                <w:szCs w:val="20"/>
                <w:color w:val="auto"/>
              </w:rPr>
            </w:pPr>
            <w:r>
              <w:rPr>
                <w:rFonts w:ascii="Arial" w:cs="Arial" w:eastAsia="Arial" w:hAnsi="Arial"/>
                <w:sz w:val="7"/>
                <w:szCs w:val="7"/>
                <w:color w:val="auto"/>
              </w:rPr>
              <w:t>711</w:t>
            </w:r>
          </w:p>
        </w:tc>
        <w:tc>
          <w:tcPr>
            <w:tcW w:w="1060" w:type="dxa"/>
            <w:vAlign w:val="bottom"/>
            <w:gridSpan w:val="2"/>
          </w:tcPr>
          <w:p>
            <w:pPr>
              <w:spacing w:after="0"/>
              <w:rPr>
                <w:sz w:val="20"/>
                <w:szCs w:val="20"/>
                <w:color w:val="auto"/>
              </w:rPr>
            </w:pPr>
            <w:r>
              <w:rPr>
                <w:rFonts w:ascii="Arial" w:cs="Arial" w:eastAsia="Arial" w:hAnsi="Arial"/>
                <w:sz w:val="7"/>
                <w:szCs w:val="7"/>
                <w:color w:val="auto"/>
              </w:rPr>
              <w:t>Third Avenue (2)</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7"/>
                <w:szCs w:val="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Grand Central North</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524,000</w:t>
            </w:r>
          </w:p>
        </w:tc>
        <w:tc>
          <w:tcPr>
            <w:tcW w:w="100" w:type="dxa"/>
            <w:vAlign w:val="bottom"/>
          </w:tcPr>
          <w:p>
            <w:pPr>
              <w:spacing w:after="0"/>
              <w:rPr>
                <w:sz w:val="7"/>
                <w:szCs w:val="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4.5</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68.3</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66.4</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65.8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84.1</w:t>
            </w:r>
          </w:p>
        </w:tc>
        <w:tc>
          <w:tcPr>
            <w:tcW w:w="100" w:type="dxa"/>
            <w:vAlign w:val="bottom"/>
          </w:tcPr>
          <w:p>
            <w:pPr>
              <w:spacing w:after="0"/>
              <w:rPr>
                <w:sz w:val="7"/>
                <w:szCs w:val="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83.5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22,586,456</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4.2</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3.8</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15</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750</w:t>
            </w:r>
          </w:p>
        </w:tc>
        <w:tc>
          <w:tcPr>
            <w:tcW w:w="1060" w:type="dxa"/>
            <w:vAlign w:val="bottom"/>
            <w:gridSpan w:val="2"/>
          </w:tcPr>
          <w:p>
            <w:pPr>
              <w:spacing w:after="0"/>
              <w:rPr>
                <w:sz w:val="20"/>
                <w:szCs w:val="20"/>
                <w:color w:val="auto"/>
              </w:rPr>
            </w:pPr>
            <w:r>
              <w:rPr>
                <w:rFonts w:ascii="Arial" w:cs="Arial" w:eastAsia="Arial" w:hAnsi="Arial"/>
                <w:sz w:val="7"/>
                <w:szCs w:val="7"/>
                <w:color w:val="auto"/>
              </w:rPr>
              <w:t>Third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Grand Central North</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780,000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6.6</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96.0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97.5</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97.3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46,193,391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7.7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32</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810</w:t>
            </w:r>
          </w:p>
        </w:tc>
        <w:tc>
          <w:tcPr>
            <w:tcW w:w="1060" w:type="dxa"/>
            <w:vAlign w:val="bottom"/>
            <w:gridSpan w:val="2"/>
          </w:tcPr>
          <w:p>
            <w:pPr>
              <w:spacing w:after="0"/>
              <w:rPr>
                <w:sz w:val="20"/>
                <w:szCs w:val="20"/>
                <w:color w:val="auto"/>
              </w:rPr>
            </w:pPr>
            <w:r>
              <w:rPr>
                <w:rFonts w:ascii="Arial" w:cs="Arial" w:eastAsia="Arial" w:hAnsi="Arial"/>
                <w:sz w:val="7"/>
                <w:szCs w:val="7"/>
                <w:color w:val="auto"/>
              </w:rPr>
              <w:t>Seventh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Times Square</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692,000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5.9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94.1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92.4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93.0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92.6</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84.8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43,858,651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8.3</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7.4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47</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919</w:t>
            </w:r>
          </w:p>
        </w:tc>
        <w:tc>
          <w:tcPr>
            <w:tcW w:w="1060" w:type="dxa"/>
            <w:vAlign w:val="bottom"/>
            <w:gridSpan w:val="2"/>
          </w:tcPr>
          <w:p>
            <w:pPr>
              <w:spacing w:after="0"/>
              <w:rPr>
                <w:sz w:val="20"/>
                <w:szCs w:val="20"/>
                <w:color w:val="auto"/>
              </w:rPr>
            </w:pPr>
            <w:r>
              <w:rPr>
                <w:rFonts w:ascii="Arial" w:cs="Arial" w:eastAsia="Arial" w:hAnsi="Arial"/>
                <w:sz w:val="7"/>
                <w:szCs w:val="7"/>
                <w:color w:val="auto"/>
              </w:rPr>
              <w:t>Third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51.0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Grand Central North</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1,454,000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12.4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96,378,816</w:t>
            </w:r>
          </w:p>
        </w:tc>
        <w:tc>
          <w:tcPr>
            <w:tcW w:w="540" w:type="dxa"/>
            <w:vAlign w:val="bottom"/>
          </w:tcPr>
          <w:p>
            <w:pPr>
              <w:spacing w:after="0"/>
              <w:rPr>
                <w:sz w:val="19"/>
                <w:szCs w:val="1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11</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Leasehold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1185 Avenue of the Americas</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7"/>
                <w:szCs w:val="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Rockefeller Center</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1,062,000</w:t>
            </w:r>
          </w:p>
        </w:tc>
        <w:tc>
          <w:tcPr>
            <w:tcW w:w="100" w:type="dxa"/>
            <w:vAlign w:val="bottom"/>
          </w:tcPr>
          <w:p>
            <w:pPr>
              <w:spacing w:after="0"/>
              <w:rPr>
                <w:sz w:val="7"/>
                <w:szCs w:val="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9.0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7"/>
                <w:szCs w:val="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89,083,829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16.8</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14.9</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17</w:t>
            </w:r>
          </w:p>
        </w:tc>
      </w:tr>
      <w:tr>
        <w:trPr>
          <w:trHeight w:val="225"/>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1350 Avenue of the Americas</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Rockefeller Center</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562,000</w:t>
            </w:r>
          </w:p>
        </w:tc>
        <w:tc>
          <w:tcPr>
            <w:tcW w:w="100" w:type="dxa"/>
            <w:vAlign w:val="bottom"/>
          </w:tcPr>
          <w:p>
            <w:pPr>
              <w:spacing w:after="0"/>
              <w:rPr>
                <w:sz w:val="19"/>
                <w:szCs w:val="19"/>
                <w:color w:val="auto"/>
              </w:rPr>
            </w:pPr>
          </w:p>
        </w:tc>
        <w:tc>
          <w:tcPr>
            <w:tcW w:w="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7"/>
                <w:szCs w:val="7"/>
                <w:color w:val="auto"/>
              </w:rPr>
              <w:t>4.8</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98.5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99.6</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99.6</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99.4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98.5</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41,865,057</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7.9</w:t>
            </w:r>
          </w:p>
        </w:tc>
        <w:tc>
          <w:tcPr>
            <w:tcW w:w="4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7.0</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36</w:t>
            </w:r>
          </w:p>
        </w:tc>
      </w:tr>
      <w:tr>
        <w:trPr>
          <w:trHeight w:val="192"/>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8,239,645</w:t>
            </w:r>
          </w:p>
        </w:tc>
        <w:tc>
          <w:tcPr>
            <w:tcW w:w="10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70.1%</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96.1%</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95.4%</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95.3%</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96.1%</w:t>
            </w:r>
          </w:p>
        </w:tc>
        <w:tc>
          <w:tcPr>
            <w:tcW w:w="100" w:type="dxa"/>
            <w:vAlign w:val="bottom"/>
          </w:tcPr>
          <w:p>
            <w:pPr>
              <w:spacing w:after="0"/>
              <w:rPr>
                <w:sz w:val="16"/>
                <w:szCs w:val="16"/>
                <w:color w:val="auto"/>
              </w:rPr>
            </w:pPr>
          </w:p>
        </w:tc>
        <w:tc>
          <w:tcPr>
            <w:tcW w:w="520" w:type="dxa"/>
            <w:vAlign w:val="bottom"/>
          </w:tcPr>
          <w:p>
            <w:pPr>
              <w:jc w:val="right"/>
              <w:ind w:right="104"/>
              <w:spacing w:after="0"/>
              <w:rPr>
                <w:sz w:val="20"/>
                <w:szCs w:val="20"/>
                <w:color w:val="auto"/>
              </w:rPr>
            </w:pPr>
            <w:r>
              <w:rPr>
                <w:rFonts w:ascii="Arial" w:cs="Arial" w:eastAsia="Arial" w:hAnsi="Arial"/>
                <w:sz w:val="7"/>
                <w:szCs w:val="7"/>
                <w:b w:val="1"/>
                <w:bCs w:val="1"/>
                <w:color w:val="auto"/>
              </w:rPr>
              <w:t>95.5%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556,308,812</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86.5%</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85.3%</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282</w:t>
            </w:r>
          </w:p>
        </w:tc>
      </w:tr>
      <w:tr>
        <w:trPr>
          <w:trHeight w:val="323"/>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"Non Same Store"</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09"/>
        </w:trPr>
        <w:tc>
          <w:tcPr>
            <w:tcW w:w="260" w:type="dxa"/>
            <w:vAlign w:val="bottom"/>
          </w:tcPr>
          <w:p>
            <w:pPr>
              <w:ind w:left="120"/>
              <w:spacing w:after="0"/>
              <w:rPr>
                <w:sz w:val="20"/>
                <w:szCs w:val="20"/>
                <w:color w:val="auto"/>
              </w:rPr>
            </w:pPr>
            <w:r>
              <w:rPr>
                <w:rFonts w:ascii="Arial" w:cs="Arial" w:eastAsia="Arial" w:hAnsi="Arial"/>
                <w:sz w:val="7"/>
                <w:szCs w:val="7"/>
                <w:color w:val="auto"/>
              </w:rPr>
              <w:t>110</w:t>
            </w:r>
          </w:p>
        </w:tc>
        <w:tc>
          <w:tcPr>
            <w:tcW w:w="106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90.0</w:t>
            </w:r>
          </w:p>
        </w:tc>
        <w:tc>
          <w:tcPr>
            <w:tcW w:w="1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Soho</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223,600</w:t>
            </w:r>
          </w:p>
        </w:tc>
        <w:tc>
          <w:tcPr>
            <w:tcW w:w="10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77.3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80.3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78.1</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84.0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10,341,078</w:t>
            </w:r>
          </w:p>
        </w:tc>
        <w:tc>
          <w:tcPr>
            <w:tcW w:w="540" w:type="dxa"/>
            <w:vAlign w:val="bottom"/>
          </w:tcPr>
          <w:p>
            <w:pPr>
              <w:spacing w:after="0"/>
              <w:rPr>
                <w:sz w:val="18"/>
                <w:szCs w:val="18"/>
                <w:color w:val="auto"/>
              </w:rPr>
            </w:pPr>
          </w:p>
        </w:tc>
        <w:tc>
          <w:tcPr>
            <w:tcW w:w="4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1.6</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61</w:t>
            </w:r>
          </w:p>
        </w:tc>
      </w:tr>
      <w:tr>
        <w:trPr>
          <w:trHeight w:val="192"/>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223,600</w:t>
            </w:r>
          </w:p>
        </w:tc>
        <w:tc>
          <w:tcPr>
            <w:tcW w:w="10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1.9%</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77.3%</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80.3%</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78.1%</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84.0%</w:t>
            </w:r>
          </w:p>
        </w:tc>
        <w:tc>
          <w:tcPr>
            <w:tcW w:w="100" w:type="dxa"/>
            <w:vAlign w:val="bottom"/>
          </w:tcPr>
          <w:p>
            <w:pPr>
              <w:spacing w:after="0"/>
              <w:rPr>
                <w:sz w:val="16"/>
                <w:szCs w:val="16"/>
                <w:color w:val="auto"/>
              </w:rPr>
            </w:pPr>
          </w:p>
        </w:tc>
        <w:tc>
          <w:tcPr>
            <w:tcW w:w="620" w:type="dxa"/>
            <w:vAlign w:val="bottom"/>
            <w:gridSpan w:val="2"/>
          </w:tcPr>
          <w:p>
            <w:pPr>
              <w:ind w:left="260"/>
              <w:spacing w:after="0"/>
              <w:rPr>
                <w:sz w:val="20"/>
                <w:szCs w:val="20"/>
                <w:color w:val="auto"/>
              </w:rPr>
            </w:pPr>
            <w:r>
              <w:rPr>
                <w:rFonts w:ascii="Arial" w:cs="Arial" w:eastAsia="Arial" w:hAnsi="Arial"/>
                <w:sz w:val="7"/>
                <w:szCs w:val="7"/>
                <w:b w:val="1"/>
                <w:bCs w:val="1"/>
                <w:color w:val="auto"/>
              </w:rPr>
              <w:t>—%</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10,341,078</w:t>
            </w:r>
          </w:p>
        </w:tc>
        <w:tc>
          <w:tcPr>
            <w:tcW w:w="540" w:type="dxa"/>
            <w:vAlign w:val="bottom"/>
          </w:tcPr>
          <w:p>
            <w:pPr>
              <w:spacing w:after="0"/>
              <w:rPr>
                <w:sz w:val="16"/>
                <w:szCs w:val="16"/>
                <w:color w:val="auto"/>
              </w:rPr>
            </w:pP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1.6%</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61</w:t>
            </w:r>
          </w:p>
        </w:tc>
      </w:tr>
      <w:tr>
        <w:trPr>
          <w:trHeight w:val="111"/>
        </w:trPr>
        <w:tc>
          <w:tcPr>
            <w:tcW w:w="38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197"/>
        </w:trPr>
        <w:tc>
          <w:tcPr>
            <w:tcW w:w="272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Total / Weighted Average Manhattan Consolidated Properties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8,463,245</w:t>
            </w: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72.0%</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95.6%</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95.0%</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94.9%</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95.8%</w:t>
            </w:r>
          </w:p>
        </w:tc>
        <w:tc>
          <w:tcPr>
            <w:tcW w:w="100" w:type="dxa"/>
            <w:vAlign w:val="bottom"/>
          </w:tcPr>
          <w:p>
            <w:pPr>
              <w:spacing w:after="0"/>
              <w:rPr>
                <w:sz w:val="17"/>
                <w:szCs w:val="17"/>
                <w:color w:val="auto"/>
              </w:rPr>
            </w:pPr>
          </w:p>
        </w:tc>
        <w:tc>
          <w:tcPr>
            <w:tcW w:w="520" w:type="dxa"/>
            <w:vAlign w:val="bottom"/>
          </w:tcPr>
          <w:p>
            <w:pPr>
              <w:jc w:val="right"/>
              <w:ind w:right="104"/>
              <w:spacing w:after="0"/>
              <w:rPr>
                <w:sz w:val="20"/>
                <w:szCs w:val="20"/>
                <w:color w:val="auto"/>
              </w:rPr>
            </w:pPr>
            <w:r>
              <w:rPr>
                <w:rFonts w:ascii="Arial" w:cs="Arial" w:eastAsia="Arial" w:hAnsi="Arial"/>
                <w:sz w:val="7"/>
                <w:szCs w:val="7"/>
                <w:b w:val="1"/>
                <w:bCs w:val="1"/>
                <w:color w:val="auto"/>
              </w:rPr>
              <w:t>95.5%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566,649,890</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86.5%</w:t>
            </w:r>
          </w:p>
        </w:tc>
        <w:tc>
          <w:tcPr>
            <w:tcW w:w="480" w:type="dxa"/>
            <w:vAlign w:val="bottom"/>
          </w:tcPr>
          <w:p>
            <w:pPr>
              <w:spacing w:after="0"/>
              <w:rPr>
                <w:sz w:val="17"/>
                <w:szCs w:val="17"/>
                <w:color w:val="auto"/>
              </w:rPr>
            </w:pPr>
          </w:p>
        </w:tc>
        <w:tc>
          <w:tcPr>
            <w:tcW w:w="46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343</w:t>
            </w:r>
          </w:p>
        </w:tc>
      </w:tr>
      <w:tr>
        <w:trPr>
          <w:trHeight w:val="125"/>
        </w:trPr>
        <w:tc>
          <w:tcPr>
            <w:tcW w:w="272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Total Manhattan Consolidated Properties - SLG share of Annualized</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r>
      <w:tr>
        <w:trPr>
          <w:trHeight w:val="100"/>
        </w:trPr>
        <w:tc>
          <w:tcPr>
            <w:tcW w:w="1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7"/>
                <w:szCs w:val="7"/>
                <w:b w:val="1"/>
                <w:bCs w:val="1"/>
                <w:color w:val="auto"/>
              </w:rPr>
              <w:t>Rent</w:t>
            </w: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518,390,162</w:t>
            </w: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86.9%</w:t>
            </w:r>
          </w:p>
        </w:tc>
        <w:tc>
          <w:tcPr>
            <w:tcW w:w="460" w:type="dxa"/>
            <w:vAlign w:val="bottom"/>
            <w:tcBorders>
              <w:bottom w:val="single" w:sz="8" w:color="auto"/>
              <w:right w:val="single" w:sz="8" w:color="auto"/>
            </w:tcBorders>
          </w:tcPr>
          <w:p>
            <w:pPr>
              <w:spacing w:after="0"/>
              <w:rPr>
                <w:sz w:val="8"/>
                <w:szCs w:val="8"/>
                <w:color w:val="auto"/>
              </w:rPr>
            </w:pPr>
          </w:p>
        </w:tc>
      </w:tr>
      <w:tr>
        <w:trPr>
          <w:trHeight w:val="301"/>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Suburban Operating Properties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5"/>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"Same Store" Westchester,</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00"/>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New York</w:t>
            </w: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03"/>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- 1 Int'l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Rye Brook,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7"/>
                <w:szCs w:val="1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100" w:type="dxa"/>
            <w:vAlign w:val="bottom"/>
          </w:tcPr>
          <w:p>
            <w:pPr>
              <w:spacing w:after="0"/>
              <w:rPr>
                <w:sz w:val="17"/>
                <w:szCs w:val="1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1,834,632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0.3</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21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- 2 Int'l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Rye Brook,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59.2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59.2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59.2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30.3</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30.3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1,377,860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0.3</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21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- 3 Int'l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Rye Brook,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21.7</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21.7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1,039,659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0.2</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21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- 4 Int'l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Rye Brook,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2,147,293</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0.4</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r>
      <w:tr>
        <w:trPr>
          <w:trHeight w:val="21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- 5 Int'l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Rye Brook,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88.8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87.7</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1,961,461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0.4</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r>
      <w:tr>
        <w:trPr>
          <w:trHeight w:val="21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- 6 Int'l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Rye Brook,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1,524,007</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0.3</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520</w:t>
            </w:r>
          </w:p>
        </w:tc>
        <w:tc>
          <w:tcPr>
            <w:tcW w:w="1060" w:type="dxa"/>
            <w:vAlign w:val="bottom"/>
            <w:gridSpan w:val="2"/>
          </w:tcPr>
          <w:p>
            <w:pPr>
              <w:spacing w:after="0"/>
              <w:rPr>
                <w:sz w:val="20"/>
                <w:szCs w:val="20"/>
                <w:color w:val="auto"/>
              </w:rPr>
            </w:pPr>
            <w:r>
              <w:rPr>
                <w:rFonts w:ascii="Arial" w:cs="Arial" w:eastAsia="Arial" w:hAnsi="Arial"/>
                <w:sz w:val="7"/>
                <w:szCs w:val="7"/>
                <w:color w:val="auto"/>
              </w:rPr>
              <w:t>White Plains Road</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Tarrytown,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180,000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94.4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98.3</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98.3</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4,176,038</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0.8</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r>
      <w:tr>
        <w:trPr>
          <w:trHeight w:val="21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115-117 Stevens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Valhalla,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178,000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49.5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78.7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77.2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75.1</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75.6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1,588,204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0.3</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100</w:t>
            </w:r>
          </w:p>
        </w:tc>
        <w:tc>
          <w:tcPr>
            <w:tcW w:w="1060" w:type="dxa"/>
            <w:vAlign w:val="bottom"/>
            <w:gridSpan w:val="2"/>
          </w:tcPr>
          <w:p>
            <w:pPr>
              <w:spacing w:after="0"/>
              <w:rPr>
                <w:sz w:val="20"/>
                <w:szCs w:val="20"/>
                <w:color w:val="auto"/>
              </w:rPr>
            </w:pPr>
            <w:r>
              <w:rPr>
                <w:rFonts w:ascii="Arial" w:cs="Arial" w:eastAsia="Arial" w:hAnsi="Arial"/>
                <w:sz w:val="7"/>
                <w:szCs w:val="7"/>
                <w:color w:val="auto"/>
              </w:rPr>
              <w:t>Summit Lake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Valhalla,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250,000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2.1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47.1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72.9</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72.9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3,427,664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0.6</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0.6</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200</w:t>
            </w:r>
          </w:p>
        </w:tc>
        <w:tc>
          <w:tcPr>
            <w:tcW w:w="1060" w:type="dxa"/>
            <w:vAlign w:val="bottom"/>
            <w:gridSpan w:val="2"/>
          </w:tcPr>
          <w:p>
            <w:pPr>
              <w:spacing w:after="0"/>
              <w:rPr>
                <w:sz w:val="20"/>
                <w:szCs w:val="20"/>
                <w:color w:val="auto"/>
              </w:rPr>
            </w:pPr>
            <w:r>
              <w:rPr>
                <w:rFonts w:ascii="Arial" w:cs="Arial" w:eastAsia="Arial" w:hAnsi="Arial"/>
                <w:sz w:val="7"/>
                <w:szCs w:val="7"/>
                <w:color w:val="auto"/>
              </w:rPr>
              <w:t>Summit Lake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Valhalla,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245,000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2.1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94.5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94.5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82.7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81.2</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81.1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5,757,253</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1.1</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1.0</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8</w:t>
            </w: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500</w:t>
            </w:r>
          </w:p>
        </w:tc>
        <w:tc>
          <w:tcPr>
            <w:tcW w:w="1060" w:type="dxa"/>
            <w:vAlign w:val="bottom"/>
            <w:gridSpan w:val="2"/>
          </w:tcPr>
          <w:p>
            <w:pPr>
              <w:spacing w:after="0"/>
              <w:rPr>
                <w:sz w:val="20"/>
                <w:szCs w:val="20"/>
                <w:color w:val="auto"/>
              </w:rPr>
            </w:pPr>
            <w:r>
              <w:rPr>
                <w:rFonts w:ascii="Arial" w:cs="Arial" w:eastAsia="Arial" w:hAnsi="Arial"/>
                <w:sz w:val="7"/>
                <w:szCs w:val="7"/>
                <w:color w:val="auto"/>
              </w:rPr>
              <w:t>Summit Lake Drive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Valhalla,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228,000</w:t>
            </w:r>
          </w:p>
        </w:tc>
        <w:tc>
          <w:tcPr>
            <w:tcW w:w="10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5,328,780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0.9</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White Plains, New</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92"/>
        </w:trPr>
        <w:tc>
          <w:tcPr>
            <w:tcW w:w="260" w:type="dxa"/>
            <w:vAlign w:val="bottom"/>
          </w:tcPr>
          <w:p>
            <w:pPr>
              <w:ind w:left="120"/>
              <w:spacing w:after="0"/>
              <w:rPr>
                <w:sz w:val="20"/>
                <w:szCs w:val="20"/>
                <w:color w:val="auto"/>
              </w:rPr>
            </w:pPr>
            <w:r>
              <w:rPr>
                <w:rFonts w:ascii="Arial" w:cs="Arial" w:eastAsia="Arial" w:hAnsi="Arial"/>
                <w:sz w:val="7"/>
                <w:szCs w:val="7"/>
                <w:color w:val="auto"/>
              </w:rPr>
              <w:t>360</w:t>
            </w:r>
          </w:p>
        </w:tc>
        <w:tc>
          <w:tcPr>
            <w:tcW w:w="1060" w:type="dxa"/>
            <w:vAlign w:val="bottom"/>
            <w:gridSpan w:val="2"/>
          </w:tcPr>
          <w:p>
            <w:pPr>
              <w:spacing w:after="0"/>
              <w:rPr>
                <w:sz w:val="20"/>
                <w:szCs w:val="20"/>
                <w:color w:val="auto"/>
              </w:rPr>
            </w:pPr>
            <w:r>
              <w:rPr>
                <w:rFonts w:ascii="Arial" w:cs="Arial" w:eastAsia="Arial" w:hAnsi="Arial"/>
                <w:sz w:val="7"/>
                <w:szCs w:val="7"/>
                <w:color w:val="auto"/>
              </w:rPr>
              <w:t>Hamilton Avenue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8"/>
                <w:szCs w:val="8"/>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384,000</w:t>
            </w:r>
          </w:p>
        </w:tc>
        <w:tc>
          <w:tcPr>
            <w:tcW w:w="100" w:type="dxa"/>
            <w:vAlign w:val="bottom"/>
          </w:tcPr>
          <w:p>
            <w:pPr>
              <w:spacing w:after="0"/>
              <w:rPr>
                <w:sz w:val="8"/>
                <w:szCs w:val="8"/>
                <w:color w:val="auto"/>
              </w:rPr>
            </w:pPr>
          </w:p>
        </w:tc>
        <w:tc>
          <w:tcPr>
            <w:tcW w:w="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7"/>
                <w:szCs w:val="7"/>
                <w:color w:val="auto"/>
              </w:rPr>
              <w:t>3.3</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94.7</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94.0</w:t>
            </w: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92.3</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14,341,151</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2.7</w:t>
            </w:r>
          </w:p>
        </w:tc>
        <w:tc>
          <w:tcPr>
            <w:tcW w:w="4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2.4</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20</w:t>
            </w: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380"/>
              <w:spacing w:after="0"/>
              <w:rPr>
                <w:sz w:val="20"/>
                <w:szCs w:val="20"/>
                <w:color w:val="auto"/>
              </w:rPr>
            </w:pPr>
            <w:r>
              <w:rPr>
                <w:rFonts w:ascii="Arial" w:cs="Arial" w:eastAsia="Arial" w:hAnsi="Arial"/>
                <w:sz w:val="7"/>
                <w:szCs w:val="7"/>
                <w:b w:val="1"/>
                <w:bCs w:val="1"/>
                <w:color w:val="auto"/>
              </w:rPr>
              <w:t>Westchester, New York Subtotal / Weighted Average</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2,005,000</w:t>
            </w:r>
          </w:p>
        </w:tc>
        <w:tc>
          <w:tcPr>
            <w:tcW w:w="10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17.1%</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79.5%</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82.5%</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77.5%</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79.7%</w:t>
            </w:r>
          </w:p>
        </w:tc>
        <w:tc>
          <w:tcPr>
            <w:tcW w:w="100" w:type="dxa"/>
            <w:vAlign w:val="bottom"/>
          </w:tcPr>
          <w:p>
            <w:pPr>
              <w:spacing w:after="0"/>
              <w:rPr>
                <w:sz w:val="16"/>
                <w:szCs w:val="16"/>
                <w:color w:val="auto"/>
              </w:rPr>
            </w:pPr>
          </w:p>
        </w:tc>
        <w:tc>
          <w:tcPr>
            <w:tcW w:w="520" w:type="dxa"/>
            <w:vAlign w:val="bottom"/>
          </w:tcPr>
          <w:p>
            <w:pPr>
              <w:jc w:val="right"/>
              <w:ind w:right="104"/>
              <w:spacing w:after="0"/>
              <w:rPr>
                <w:sz w:val="20"/>
                <w:szCs w:val="20"/>
                <w:color w:val="auto"/>
              </w:rPr>
            </w:pPr>
            <w:r>
              <w:rPr>
                <w:rFonts w:ascii="Arial" w:cs="Arial" w:eastAsia="Arial" w:hAnsi="Arial"/>
                <w:sz w:val="7"/>
                <w:szCs w:val="7"/>
                <w:b w:val="1"/>
                <w:bCs w:val="1"/>
                <w:color w:val="auto"/>
              </w:rPr>
              <w:t>79.5%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44,504,002</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8.4%</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7.5%</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96</w:t>
            </w:r>
          </w:p>
        </w:tc>
      </w:tr>
      <w:tr>
        <w:trPr>
          <w:trHeight w:val="323"/>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"Same Store" Connecticut</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17"/>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Stamford,</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7 Landmark Square</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7"/>
                <w:szCs w:val="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Connecticut</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36,800</w:t>
            </w:r>
          </w:p>
        </w:tc>
        <w:tc>
          <w:tcPr>
            <w:tcW w:w="100" w:type="dxa"/>
            <w:vAlign w:val="bottom"/>
          </w:tcPr>
          <w:p>
            <w:pPr>
              <w:spacing w:after="0"/>
              <w:rPr>
                <w:sz w:val="7"/>
                <w:szCs w:val="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7"/>
                <w:szCs w:val="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7"/>
                <w:szCs w:val="7"/>
                <w:color w:val="auto"/>
              </w:rPr>
            </w:pP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728,423</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0.1</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Stamford,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86"/>
        </w:trPr>
        <w:tc>
          <w:tcPr>
            <w:tcW w:w="260" w:type="dxa"/>
            <w:vAlign w:val="bottom"/>
          </w:tcPr>
          <w:p>
            <w:pPr>
              <w:ind w:left="120"/>
              <w:spacing w:after="0"/>
              <w:rPr>
                <w:sz w:val="20"/>
                <w:szCs w:val="20"/>
                <w:color w:val="auto"/>
              </w:rPr>
            </w:pPr>
            <w:r>
              <w:rPr>
                <w:rFonts w:ascii="Arial" w:cs="Arial" w:eastAsia="Arial" w:hAnsi="Arial"/>
                <w:sz w:val="7"/>
                <w:szCs w:val="7"/>
                <w:color w:val="auto"/>
              </w:rPr>
              <w:t>680</w:t>
            </w:r>
          </w:p>
        </w:tc>
        <w:tc>
          <w:tcPr>
            <w:tcW w:w="1060" w:type="dxa"/>
            <w:vAlign w:val="bottom"/>
            <w:gridSpan w:val="2"/>
          </w:tcPr>
          <w:p>
            <w:pPr>
              <w:spacing w:after="0"/>
              <w:rPr>
                <w:sz w:val="20"/>
                <w:szCs w:val="20"/>
                <w:color w:val="auto"/>
              </w:rPr>
            </w:pPr>
            <w:r>
              <w:rPr>
                <w:rFonts w:ascii="Arial" w:cs="Arial" w:eastAsia="Arial" w:hAnsi="Arial"/>
                <w:sz w:val="7"/>
                <w:szCs w:val="7"/>
                <w:color w:val="auto"/>
              </w:rPr>
              <w:t>Washington Boulevard</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51.0</w:t>
            </w:r>
          </w:p>
        </w:tc>
        <w:tc>
          <w:tcPr>
            <w:tcW w:w="120" w:type="dxa"/>
            <w:vAlign w:val="bottom"/>
          </w:tcPr>
          <w:p>
            <w:pPr>
              <w:spacing w:after="0"/>
              <w:rPr>
                <w:sz w:val="7"/>
                <w:szCs w:val="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Connecticut</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133,000</w:t>
            </w:r>
          </w:p>
        </w:tc>
        <w:tc>
          <w:tcPr>
            <w:tcW w:w="100" w:type="dxa"/>
            <w:vAlign w:val="bottom"/>
          </w:tcPr>
          <w:p>
            <w:pPr>
              <w:spacing w:after="0"/>
              <w:rPr>
                <w:sz w:val="7"/>
                <w:szCs w:val="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1.1</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87.6</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88.9</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88.9</w:t>
            </w:r>
          </w:p>
        </w:tc>
        <w:tc>
          <w:tcPr>
            <w:tcW w:w="100" w:type="dxa"/>
            <w:vAlign w:val="bottom"/>
          </w:tcPr>
          <w:p>
            <w:pPr>
              <w:spacing w:after="0"/>
              <w:rPr>
                <w:sz w:val="7"/>
                <w:szCs w:val="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88.9</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5,151,462</w:t>
            </w:r>
          </w:p>
        </w:tc>
        <w:tc>
          <w:tcPr>
            <w:tcW w:w="540" w:type="dxa"/>
            <w:vAlign w:val="bottom"/>
          </w:tcPr>
          <w:p>
            <w:pPr>
              <w:spacing w:after="0"/>
              <w:rPr>
                <w:sz w:val="7"/>
                <w:szCs w:val="7"/>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Stamford,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86"/>
        </w:trPr>
        <w:tc>
          <w:tcPr>
            <w:tcW w:w="260" w:type="dxa"/>
            <w:vAlign w:val="bottom"/>
          </w:tcPr>
          <w:p>
            <w:pPr>
              <w:ind w:left="120"/>
              <w:spacing w:after="0"/>
              <w:rPr>
                <w:sz w:val="20"/>
                <w:szCs w:val="20"/>
                <w:color w:val="auto"/>
              </w:rPr>
            </w:pPr>
            <w:r>
              <w:rPr>
                <w:rFonts w:ascii="Arial" w:cs="Arial" w:eastAsia="Arial" w:hAnsi="Arial"/>
                <w:sz w:val="7"/>
                <w:szCs w:val="7"/>
                <w:color w:val="auto"/>
              </w:rPr>
              <w:t>750</w:t>
            </w:r>
          </w:p>
        </w:tc>
        <w:tc>
          <w:tcPr>
            <w:tcW w:w="1060" w:type="dxa"/>
            <w:vAlign w:val="bottom"/>
            <w:gridSpan w:val="2"/>
          </w:tcPr>
          <w:p>
            <w:pPr>
              <w:spacing w:after="0"/>
              <w:rPr>
                <w:sz w:val="20"/>
                <w:szCs w:val="20"/>
                <w:color w:val="auto"/>
              </w:rPr>
            </w:pPr>
            <w:r>
              <w:rPr>
                <w:rFonts w:ascii="Arial" w:cs="Arial" w:eastAsia="Arial" w:hAnsi="Arial"/>
                <w:sz w:val="7"/>
                <w:szCs w:val="7"/>
                <w:color w:val="auto"/>
              </w:rPr>
              <w:t>Washington Boulevard</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51.0</w:t>
            </w:r>
          </w:p>
        </w:tc>
        <w:tc>
          <w:tcPr>
            <w:tcW w:w="120" w:type="dxa"/>
            <w:vAlign w:val="bottom"/>
          </w:tcPr>
          <w:p>
            <w:pPr>
              <w:spacing w:after="0"/>
              <w:rPr>
                <w:sz w:val="7"/>
                <w:szCs w:val="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Connecticut</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192,000</w:t>
            </w:r>
          </w:p>
        </w:tc>
        <w:tc>
          <w:tcPr>
            <w:tcW w:w="100" w:type="dxa"/>
            <w:vAlign w:val="bottom"/>
          </w:tcPr>
          <w:p>
            <w:pPr>
              <w:spacing w:after="0"/>
              <w:rPr>
                <w:sz w:val="7"/>
                <w:szCs w:val="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1.6</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97.9</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99.1</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7"/>
                <w:szCs w:val="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7,961,168</w:t>
            </w:r>
          </w:p>
        </w:tc>
        <w:tc>
          <w:tcPr>
            <w:tcW w:w="540" w:type="dxa"/>
            <w:vAlign w:val="bottom"/>
          </w:tcPr>
          <w:p>
            <w:pPr>
              <w:spacing w:after="0"/>
              <w:rPr>
                <w:sz w:val="7"/>
                <w:szCs w:val="7"/>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Stamford,</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Leasehold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1055 Washington Boulevard</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7"/>
                <w:szCs w:val="7"/>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Connecticut</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Interest</w:t>
            </w:r>
          </w:p>
        </w:tc>
        <w:tc>
          <w:tcPr>
            <w:tcW w:w="540" w:type="dxa"/>
            <w:vAlign w:val="bottom"/>
            <w:gridSpan w:val="3"/>
          </w:tcPr>
          <w:p>
            <w:pPr>
              <w:jc w:val="right"/>
              <w:ind w:right="40"/>
              <w:spacing w:after="0"/>
              <w:rPr>
                <w:sz w:val="20"/>
                <w:szCs w:val="20"/>
                <w:color w:val="auto"/>
              </w:rPr>
            </w:pPr>
            <w:r>
              <w:rPr>
                <w:rFonts w:ascii="Arial" w:cs="Arial" w:eastAsia="Arial" w:hAnsi="Arial"/>
                <w:sz w:val="7"/>
                <w:szCs w:val="7"/>
                <w:color w:val="auto"/>
              </w:rPr>
              <w:t>182,000</w:t>
            </w:r>
          </w:p>
        </w:tc>
        <w:tc>
          <w:tcPr>
            <w:tcW w:w="100" w:type="dxa"/>
            <w:vAlign w:val="bottom"/>
          </w:tcPr>
          <w:p>
            <w:pPr>
              <w:spacing w:after="0"/>
              <w:rPr>
                <w:sz w:val="7"/>
                <w:szCs w:val="7"/>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79.6</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75.6</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74.7</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80.4</w:t>
            </w:r>
          </w:p>
        </w:tc>
        <w:tc>
          <w:tcPr>
            <w:tcW w:w="100" w:type="dxa"/>
            <w:vAlign w:val="bottom"/>
          </w:tcPr>
          <w:p>
            <w:pPr>
              <w:spacing w:after="0"/>
              <w:rPr>
                <w:sz w:val="7"/>
                <w:szCs w:val="7"/>
                <w:color w:val="auto"/>
              </w:rPr>
            </w:pPr>
          </w:p>
        </w:tc>
        <w:tc>
          <w:tcPr>
            <w:tcW w:w="520" w:type="dxa"/>
            <w:vAlign w:val="bottom"/>
          </w:tcPr>
          <w:p>
            <w:pPr>
              <w:jc w:val="right"/>
              <w:ind w:right="164"/>
              <w:spacing w:after="0"/>
              <w:rPr>
                <w:sz w:val="20"/>
                <w:szCs w:val="20"/>
                <w:color w:val="auto"/>
              </w:rPr>
            </w:pPr>
            <w:r>
              <w:rPr>
                <w:rFonts w:ascii="Arial" w:cs="Arial" w:eastAsia="Arial" w:hAnsi="Arial"/>
                <w:sz w:val="7"/>
                <w:szCs w:val="7"/>
                <w:color w:val="auto"/>
              </w:rPr>
              <w:t>88.0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5,319,754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w:t>
            </w: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0.9</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22</w:t>
            </w: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Stamford,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92"/>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1010 Washington Boulevard</w:t>
            </w:r>
          </w:p>
        </w:tc>
        <w:tc>
          <w:tcPr>
            <w:tcW w:w="380" w:type="dxa"/>
            <w:vAlign w:val="bottom"/>
          </w:tcPr>
          <w:p>
            <w:pPr>
              <w:jc w:val="center"/>
              <w:ind w:left="8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8"/>
                <w:szCs w:val="8"/>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Connecticut</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143,400</w:t>
            </w:r>
          </w:p>
        </w:tc>
        <w:tc>
          <w:tcPr>
            <w:tcW w:w="100" w:type="dxa"/>
            <w:vAlign w:val="bottom"/>
          </w:tcPr>
          <w:p>
            <w:pPr>
              <w:spacing w:after="0"/>
              <w:rPr>
                <w:sz w:val="8"/>
                <w:szCs w:val="8"/>
                <w:color w:val="auto"/>
              </w:rPr>
            </w:pPr>
          </w:p>
        </w:tc>
        <w:tc>
          <w:tcPr>
            <w:tcW w:w="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79.3</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76.9</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75.3</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73.8</w:t>
            </w: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75.6</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3,662,830</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0.7</w:t>
            </w:r>
          </w:p>
        </w:tc>
        <w:tc>
          <w:tcPr>
            <w:tcW w:w="4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0.6</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22</w:t>
            </w: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340"/>
              <w:spacing w:after="0"/>
              <w:rPr>
                <w:sz w:val="20"/>
                <w:szCs w:val="20"/>
                <w:color w:val="auto"/>
              </w:rPr>
            </w:pPr>
            <w:r>
              <w:rPr>
                <w:rFonts w:ascii="Arial" w:cs="Arial" w:eastAsia="Arial" w:hAnsi="Arial"/>
                <w:sz w:val="7"/>
                <w:szCs w:val="7"/>
                <w:b w:val="1"/>
                <w:bCs w:val="1"/>
                <w:color w:val="auto"/>
              </w:rPr>
              <w:t>Connecticut Subtotal/Weighted Average</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687,200</w:t>
            </w:r>
          </w:p>
        </w:tc>
        <w:tc>
          <w:tcPr>
            <w:tcW w:w="10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5.8%</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86.9%</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85.6%</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85.8%</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86.6%</w:t>
            </w:r>
          </w:p>
        </w:tc>
        <w:tc>
          <w:tcPr>
            <w:tcW w:w="100" w:type="dxa"/>
            <w:vAlign w:val="bottom"/>
          </w:tcPr>
          <w:p>
            <w:pPr>
              <w:spacing w:after="0"/>
              <w:rPr>
                <w:sz w:val="16"/>
                <w:szCs w:val="16"/>
                <w:color w:val="auto"/>
              </w:rPr>
            </w:pPr>
          </w:p>
        </w:tc>
        <w:tc>
          <w:tcPr>
            <w:tcW w:w="520" w:type="dxa"/>
            <w:vAlign w:val="bottom"/>
          </w:tcPr>
          <w:p>
            <w:pPr>
              <w:jc w:val="right"/>
              <w:ind w:right="104"/>
              <w:spacing w:after="0"/>
              <w:rPr>
                <w:sz w:val="20"/>
                <w:szCs w:val="20"/>
                <w:color w:val="auto"/>
              </w:rPr>
            </w:pPr>
            <w:r>
              <w:rPr>
                <w:rFonts w:ascii="Arial" w:cs="Arial" w:eastAsia="Arial" w:hAnsi="Arial"/>
                <w:sz w:val="7"/>
                <w:szCs w:val="7"/>
                <w:b w:val="1"/>
                <w:bCs w:val="1"/>
                <w:color w:val="auto"/>
              </w:rPr>
              <w:t>89.0%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22,823,637</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1.8%</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2.7%</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64</w:t>
            </w:r>
          </w:p>
        </w:tc>
      </w:tr>
      <w:tr>
        <w:trPr>
          <w:trHeight w:val="323"/>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"Same Store" New Jersey</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17"/>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Lyndhurst, New</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92"/>
        </w:trPr>
        <w:tc>
          <w:tcPr>
            <w:tcW w:w="260" w:type="dxa"/>
            <w:vAlign w:val="bottom"/>
          </w:tcPr>
          <w:p>
            <w:pPr>
              <w:ind w:left="120"/>
              <w:spacing w:after="0"/>
              <w:rPr>
                <w:sz w:val="20"/>
                <w:szCs w:val="20"/>
                <w:color w:val="auto"/>
              </w:rPr>
            </w:pPr>
            <w:r>
              <w:rPr>
                <w:rFonts w:ascii="Arial" w:cs="Arial" w:eastAsia="Arial" w:hAnsi="Arial"/>
                <w:sz w:val="7"/>
                <w:szCs w:val="7"/>
                <w:color w:val="auto"/>
              </w:rPr>
              <w:t>125</w:t>
            </w:r>
          </w:p>
        </w:tc>
        <w:tc>
          <w:tcPr>
            <w:tcW w:w="1060" w:type="dxa"/>
            <w:vAlign w:val="bottom"/>
            <w:gridSpan w:val="2"/>
          </w:tcPr>
          <w:p>
            <w:pPr>
              <w:spacing w:after="0"/>
              <w:rPr>
                <w:sz w:val="20"/>
                <w:szCs w:val="20"/>
                <w:color w:val="auto"/>
              </w:rPr>
            </w:pPr>
            <w:r>
              <w:rPr>
                <w:rFonts w:ascii="Arial" w:cs="Arial" w:eastAsia="Arial" w:hAnsi="Arial"/>
                <w:sz w:val="7"/>
                <w:szCs w:val="7"/>
                <w:color w:val="auto"/>
              </w:rPr>
              <w:t>Chubb Way</w:t>
            </w:r>
          </w:p>
        </w:tc>
        <w:tc>
          <w:tcPr>
            <w:tcW w:w="380" w:type="dxa"/>
            <w:vAlign w:val="bottom"/>
          </w:tcPr>
          <w:p>
            <w:pPr>
              <w:jc w:val="right"/>
              <w:ind w:right="12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8"/>
                <w:szCs w:val="8"/>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Jersey</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278,000</w:t>
            </w:r>
          </w:p>
        </w:tc>
        <w:tc>
          <w:tcPr>
            <w:tcW w:w="100" w:type="dxa"/>
            <w:vAlign w:val="bottom"/>
          </w:tcPr>
          <w:p>
            <w:pPr>
              <w:spacing w:after="0"/>
              <w:rPr>
                <w:sz w:val="8"/>
                <w:szCs w:val="8"/>
                <w:color w:val="auto"/>
              </w:rPr>
            </w:pPr>
          </w:p>
        </w:tc>
        <w:tc>
          <w:tcPr>
            <w:tcW w:w="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7"/>
                <w:szCs w:val="7"/>
                <w:color w:val="auto"/>
              </w:rPr>
              <w:t>2.4</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66.2</w:t>
            </w: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66.2</w:t>
            </w:r>
          </w:p>
        </w:tc>
        <w:tc>
          <w:tcPr>
            <w:tcW w:w="100" w:type="dxa"/>
            <w:vAlign w:val="bottom"/>
          </w:tcPr>
          <w:p>
            <w:pPr>
              <w:spacing w:after="0"/>
              <w:rPr>
                <w:sz w:val="8"/>
                <w:szCs w:val="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4,379,383</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0.8</w:t>
            </w:r>
          </w:p>
        </w:tc>
        <w:tc>
          <w:tcPr>
            <w:tcW w:w="4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0.7</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w:t>
            </w: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340"/>
              <w:spacing w:after="0"/>
              <w:rPr>
                <w:sz w:val="20"/>
                <w:szCs w:val="20"/>
                <w:color w:val="auto"/>
              </w:rPr>
            </w:pPr>
            <w:r>
              <w:rPr>
                <w:rFonts w:ascii="Arial" w:cs="Arial" w:eastAsia="Arial" w:hAnsi="Arial"/>
                <w:sz w:val="7"/>
                <w:szCs w:val="7"/>
                <w:b w:val="1"/>
                <w:bCs w:val="1"/>
                <w:color w:val="auto"/>
              </w:rPr>
              <w:t>New Jersey Subtotal / Weighted Average</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278,000</w:t>
            </w:r>
          </w:p>
        </w:tc>
        <w:tc>
          <w:tcPr>
            <w:tcW w:w="10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2.4%</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66.2%</w:t>
            </w:r>
          </w:p>
        </w:tc>
        <w:tc>
          <w:tcPr>
            <w:tcW w:w="100" w:type="dxa"/>
            <w:vAlign w:val="bottom"/>
          </w:tcPr>
          <w:p>
            <w:pPr>
              <w:spacing w:after="0"/>
              <w:rPr>
                <w:sz w:val="16"/>
                <w:szCs w:val="16"/>
                <w:color w:val="auto"/>
              </w:rPr>
            </w:pPr>
          </w:p>
        </w:tc>
        <w:tc>
          <w:tcPr>
            <w:tcW w:w="520" w:type="dxa"/>
            <w:vAlign w:val="bottom"/>
          </w:tcPr>
          <w:p>
            <w:pPr>
              <w:jc w:val="right"/>
              <w:ind w:right="104"/>
              <w:spacing w:after="0"/>
              <w:rPr>
                <w:sz w:val="20"/>
                <w:szCs w:val="20"/>
                <w:color w:val="auto"/>
              </w:rPr>
            </w:pPr>
            <w:r>
              <w:rPr>
                <w:rFonts w:ascii="Arial" w:cs="Arial" w:eastAsia="Arial" w:hAnsi="Arial"/>
                <w:sz w:val="7"/>
                <w:szCs w:val="7"/>
                <w:b w:val="1"/>
                <w:bCs w:val="1"/>
                <w:color w:val="auto"/>
              </w:rPr>
              <w:t>66.2%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4,379,383</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0.8%</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0.7%</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6</w:t>
            </w:r>
          </w:p>
        </w:tc>
      </w:tr>
      <w:tr>
        <w:trPr>
          <w:trHeight w:val="223"/>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"Same Store" Brooklyn, New</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00"/>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York</w:t>
            </w: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0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16 Court Street</w:t>
            </w:r>
          </w:p>
        </w:tc>
        <w:tc>
          <w:tcPr>
            <w:tcW w:w="380" w:type="dxa"/>
            <w:vAlign w:val="bottom"/>
          </w:tcPr>
          <w:p>
            <w:pPr>
              <w:jc w:val="right"/>
              <w:ind w:right="12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7"/>
                <w:szCs w:val="7"/>
                <w:color w:val="auto"/>
              </w:rPr>
              <w:t>Brooklyn, New York</w:t>
            </w:r>
          </w:p>
        </w:tc>
        <w:tc>
          <w:tcPr>
            <w:tcW w:w="680" w:type="dxa"/>
            <w:vAlign w:val="bottom"/>
            <w:gridSpan w:val="3"/>
          </w:tcPr>
          <w:p>
            <w:pPr>
              <w:ind w:left="80"/>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317,600</w:t>
            </w:r>
          </w:p>
        </w:tc>
        <w:tc>
          <w:tcPr>
            <w:tcW w:w="10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7"/>
                <w:szCs w:val="7"/>
                <w:color w:val="auto"/>
              </w:rPr>
              <w:t>2.7</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97.3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94.6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95.6</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12,961,524</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2.4</w:t>
            </w:r>
          </w:p>
        </w:tc>
        <w:tc>
          <w:tcPr>
            <w:tcW w:w="4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2.2</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70</w:t>
            </w: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340"/>
              <w:spacing w:after="0"/>
              <w:rPr>
                <w:sz w:val="20"/>
                <w:szCs w:val="20"/>
                <w:color w:val="auto"/>
              </w:rPr>
            </w:pPr>
            <w:r>
              <w:rPr>
                <w:rFonts w:ascii="Arial" w:cs="Arial" w:eastAsia="Arial" w:hAnsi="Arial"/>
                <w:sz w:val="7"/>
                <w:szCs w:val="7"/>
                <w:b w:val="1"/>
                <w:bCs w:val="1"/>
                <w:color w:val="auto"/>
              </w:rPr>
              <w:t>Brooklyn, New York Subtotal / Weighted Average</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317,600</w:t>
            </w:r>
          </w:p>
        </w:tc>
        <w:tc>
          <w:tcPr>
            <w:tcW w:w="10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2.7%</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97.3%</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96.4%</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95.5%</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94.6%</w:t>
            </w:r>
          </w:p>
        </w:tc>
        <w:tc>
          <w:tcPr>
            <w:tcW w:w="100" w:type="dxa"/>
            <w:vAlign w:val="bottom"/>
          </w:tcPr>
          <w:p>
            <w:pPr>
              <w:spacing w:after="0"/>
              <w:rPr>
                <w:sz w:val="16"/>
                <w:szCs w:val="16"/>
                <w:color w:val="auto"/>
              </w:rPr>
            </w:pPr>
          </w:p>
        </w:tc>
        <w:tc>
          <w:tcPr>
            <w:tcW w:w="520" w:type="dxa"/>
            <w:vAlign w:val="bottom"/>
          </w:tcPr>
          <w:p>
            <w:pPr>
              <w:jc w:val="right"/>
              <w:ind w:right="104"/>
              <w:spacing w:after="0"/>
              <w:rPr>
                <w:sz w:val="20"/>
                <w:szCs w:val="20"/>
                <w:color w:val="auto"/>
              </w:rPr>
            </w:pPr>
            <w:r>
              <w:rPr>
                <w:rFonts w:ascii="Arial" w:cs="Arial" w:eastAsia="Arial" w:hAnsi="Arial"/>
                <w:sz w:val="7"/>
                <w:szCs w:val="7"/>
                <w:b w:val="1"/>
                <w:bCs w:val="1"/>
                <w:color w:val="auto"/>
              </w:rPr>
              <w:t>95.6%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12,961,524</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2.4%</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2.2%</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70</w:t>
            </w:r>
          </w:p>
        </w:tc>
      </w:tr>
      <w:tr>
        <w:trPr>
          <w:trHeight w:val="111"/>
        </w:trPr>
        <w:tc>
          <w:tcPr>
            <w:tcW w:w="38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197"/>
        </w:trPr>
        <w:tc>
          <w:tcPr>
            <w:tcW w:w="272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Total / Weighted Average Suburban Consolidated Properties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3,287,800</w:t>
            </w: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28.0%</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81.6%</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83.1%</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80.0%</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81.5%</w:t>
            </w:r>
          </w:p>
        </w:tc>
        <w:tc>
          <w:tcPr>
            <w:tcW w:w="100" w:type="dxa"/>
            <w:vAlign w:val="bottom"/>
          </w:tcPr>
          <w:p>
            <w:pPr>
              <w:spacing w:after="0"/>
              <w:rPr>
                <w:sz w:val="17"/>
                <w:szCs w:val="17"/>
                <w:color w:val="auto"/>
              </w:rPr>
            </w:pPr>
          </w:p>
        </w:tc>
        <w:tc>
          <w:tcPr>
            <w:tcW w:w="520" w:type="dxa"/>
            <w:vAlign w:val="bottom"/>
          </w:tcPr>
          <w:p>
            <w:pPr>
              <w:jc w:val="right"/>
              <w:ind w:right="104"/>
              <w:spacing w:after="0"/>
              <w:rPr>
                <w:sz w:val="20"/>
                <w:szCs w:val="20"/>
                <w:color w:val="auto"/>
              </w:rPr>
            </w:pPr>
            <w:r>
              <w:rPr>
                <w:rFonts w:ascii="Arial" w:cs="Arial" w:eastAsia="Arial" w:hAnsi="Arial"/>
                <w:sz w:val="7"/>
                <w:szCs w:val="7"/>
                <w:b w:val="1"/>
                <w:bCs w:val="1"/>
                <w:color w:val="auto"/>
              </w:rPr>
              <w:t>81.9%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84,668,546</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13.5%</w:t>
            </w:r>
          </w:p>
        </w:tc>
        <w:tc>
          <w:tcPr>
            <w:tcW w:w="480" w:type="dxa"/>
            <w:vAlign w:val="bottom"/>
          </w:tcPr>
          <w:p>
            <w:pPr>
              <w:spacing w:after="0"/>
              <w:rPr>
                <w:sz w:val="17"/>
                <w:szCs w:val="17"/>
                <w:color w:val="auto"/>
              </w:rPr>
            </w:pPr>
          </w:p>
        </w:tc>
        <w:tc>
          <w:tcPr>
            <w:tcW w:w="46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236</w:t>
            </w:r>
          </w:p>
        </w:tc>
      </w:tr>
      <w:tr>
        <w:trPr>
          <w:trHeight w:val="225"/>
        </w:trPr>
        <w:tc>
          <w:tcPr>
            <w:tcW w:w="2720" w:type="dxa"/>
            <w:vAlign w:val="bottom"/>
            <w:tcBorders>
              <w:left w:val="single" w:sz="8" w:color="auto"/>
              <w:bottom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Total Suburban Consolidated Properties - SLG share of Annualized Rent</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78,243,357</w:t>
            </w: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13.1%</w:t>
            </w:r>
          </w:p>
        </w:tc>
        <w:tc>
          <w:tcPr>
            <w:tcW w:w="460" w:type="dxa"/>
            <w:vAlign w:val="bottom"/>
            <w:tcBorders>
              <w:bottom w:val="single" w:sz="8" w:color="auto"/>
              <w:right w:val="single" w:sz="8" w:color="auto"/>
            </w:tcBorders>
          </w:tcPr>
          <w:p>
            <w:pPr>
              <w:spacing w:after="0"/>
              <w:rPr>
                <w:sz w:val="19"/>
                <w:szCs w:val="19"/>
                <w:color w:val="auto"/>
              </w:rPr>
            </w:pPr>
          </w:p>
        </w:tc>
      </w:tr>
      <w:tr>
        <w:trPr>
          <w:trHeight w:val="96"/>
        </w:trPr>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197"/>
        </w:trPr>
        <w:tc>
          <w:tcPr>
            <w:tcW w:w="272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Reckson Operating Properties Grand Total / Weighted Average</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11,751,045</w:t>
            </w: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91.7%</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91.7%</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90.7%</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91.8%</w:t>
            </w:r>
          </w:p>
        </w:tc>
        <w:tc>
          <w:tcPr>
            <w:tcW w:w="100" w:type="dxa"/>
            <w:vAlign w:val="bottom"/>
          </w:tcPr>
          <w:p>
            <w:pPr>
              <w:spacing w:after="0"/>
              <w:rPr>
                <w:sz w:val="17"/>
                <w:szCs w:val="17"/>
                <w:color w:val="auto"/>
              </w:rPr>
            </w:pPr>
          </w:p>
        </w:tc>
        <w:tc>
          <w:tcPr>
            <w:tcW w:w="520" w:type="dxa"/>
            <w:vAlign w:val="bottom"/>
          </w:tcPr>
          <w:p>
            <w:pPr>
              <w:jc w:val="right"/>
              <w:ind w:right="104"/>
              <w:spacing w:after="0"/>
              <w:rPr>
                <w:sz w:val="20"/>
                <w:szCs w:val="20"/>
                <w:color w:val="auto"/>
              </w:rPr>
            </w:pPr>
            <w:r>
              <w:rPr>
                <w:rFonts w:ascii="Arial" w:cs="Arial" w:eastAsia="Arial" w:hAnsi="Arial"/>
                <w:sz w:val="7"/>
                <w:szCs w:val="7"/>
                <w:b w:val="1"/>
                <w:bCs w:val="1"/>
                <w:color w:val="auto"/>
              </w:rPr>
              <w:t>91.6%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651,318,436</w:t>
            </w: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100.0%</w:t>
            </w:r>
          </w:p>
        </w:tc>
        <w:tc>
          <w:tcPr>
            <w:tcW w:w="480" w:type="dxa"/>
            <w:vAlign w:val="bottom"/>
          </w:tcPr>
          <w:p>
            <w:pPr>
              <w:spacing w:after="0"/>
              <w:rPr>
                <w:sz w:val="17"/>
                <w:szCs w:val="17"/>
                <w:color w:val="auto"/>
              </w:rPr>
            </w:pPr>
          </w:p>
        </w:tc>
        <w:tc>
          <w:tcPr>
            <w:tcW w:w="46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579</w:t>
            </w:r>
          </w:p>
        </w:tc>
      </w:tr>
      <w:tr>
        <w:trPr>
          <w:trHeight w:val="125"/>
        </w:trPr>
        <w:tc>
          <w:tcPr>
            <w:tcW w:w="272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Reckson Operating Properties Grand Total - SLG Share of Annualized</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r>
      <w:tr>
        <w:trPr>
          <w:trHeight w:val="94"/>
        </w:trPr>
        <w:tc>
          <w:tcPr>
            <w:tcW w:w="1320" w:type="dxa"/>
            <w:vAlign w:val="bottom"/>
            <w:tcBorders>
              <w:left w:val="single" w:sz="8" w:color="auto"/>
            </w:tcBorders>
            <w:gridSpan w:val="3"/>
          </w:tcPr>
          <w:p>
            <w:pPr>
              <w:ind w:left="140"/>
              <w:spacing w:after="0"/>
              <w:rPr>
                <w:sz w:val="20"/>
                <w:szCs w:val="20"/>
                <w:color w:val="auto"/>
              </w:rPr>
            </w:pPr>
            <w:r>
              <w:rPr>
                <w:rFonts w:ascii="Arial" w:cs="Arial" w:eastAsia="Arial" w:hAnsi="Arial"/>
                <w:sz w:val="7"/>
                <w:szCs w:val="7"/>
                <w:b w:val="1"/>
                <w:bCs w:val="1"/>
                <w:color w:val="auto"/>
              </w:rPr>
              <w:t>Rent</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596,633,520</w:t>
            </w:r>
          </w:p>
        </w:tc>
        <w:tc>
          <w:tcPr>
            <w:tcW w:w="540" w:type="dxa"/>
            <w:vAlign w:val="bottom"/>
          </w:tcPr>
          <w:p>
            <w:pPr>
              <w:spacing w:after="0"/>
              <w:rPr>
                <w:sz w:val="8"/>
                <w:szCs w:val="8"/>
                <w:color w:val="auto"/>
              </w:rPr>
            </w:pP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100.0%</w:t>
            </w:r>
          </w:p>
        </w:tc>
        <w:tc>
          <w:tcPr>
            <w:tcW w:w="460" w:type="dxa"/>
            <w:vAlign w:val="bottom"/>
            <w:tcBorders>
              <w:right w:val="single" w:sz="8" w:color="auto"/>
            </w:tcBorders>
          </w:tcPr>
          <w:p>
            <w:pPr>
              <w:spacing w:after="0"/>
              <w:rPr>
                <w:sz w:val="8"/>
                <w:szCs w:val="8"/>
                <w:color w:val="auto"/>
              </w:rPr>
            </w:pPr>
          </w:p>
        </w:tc>
      </w:tr>
      <w:tr>
        <w:trPr>
          <w:trHeight w:val="225"/>
        </w:trPr>
        <w:tc>
          <w:tcPr>
            <w:tcW w:w="2720" w:type="dxa"/>
            <w:vAlign w:val="bottom"/>
            <w:tcBorders>
              <w:left w:val="single" w:sz="8" w:color="auto"/>
              <w:bottom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Reckson Operating Properties Same Store Occupancy %</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b w:val="1"/>
                <w:bCs w:val="1"/>
                <w:color w:val="auto"/>
              </w:rPr>
              <w:t>11,527,445</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7"/>
                <w:szCs w:val="7"/>
                <w:b w:val="1"/>
                <w:bCs w:val="1"/>
                <w:color w:val="auto"/>
              </w:rPr>
              <w:t>98.1%</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92.0%</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91.9%</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91.0%</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91.9%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91.6%</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r>
    </w:tbl>
    <w:p>
      <w:pPr>
        <w:spacing w:after="0" w:line="120" w:lineRule="exact"/>
        <w:rPr>
          <w:sz w:val="20"/>
          <w:szCs w:val="20"/>
          <w:color w:val="auto"/>
        </w:rPr>
      </w:pPr>
    </w:p>
    <w:p>
      <w:pPr>
        <w:ind w:left="280" w:hanging="117"/>
        <w:spacing w:after="0"/>
        <w:tabs>
          <w:tab w:leader="none" w:pos="280" w:val="left"/>
        </w:tabs>
        <w:numPr>
          <w:ilvl w:val="0"/>
          <w:numId w:val="26"/>
        </w:numPr>
        <w:rPr>
          <w:rFonts w:ascii="Arial" w:cs="Arial" w:eastAsia="Arial" w:hAnsi="Arial"/>
          <w:sz w:val="7"/>
          <w:szCs w:val="7"/>
          <w:color w:val="auto"/>
        </w:rPr>
      </w:pPr>
      <w:r>
        <w:rPr>
          <w:rFonts w:ascii="Arial" w:cs="Arial" w:eastAsia="Arial" w:hAnsi="Arial"/>
          <w:sz w:val="7"/>
          <w:szCs w:val="7"/>
          <w:color w:val="auto"/>
        </w:rPr>
        <w:t>The Company has an option to acquire the fee interest for a fixed price on a specific date.</w:t>
      </w:r>
    </w:p>
    <w:p>
      <w:pPr>
        <w:spacing w:after="0" w:line="138" w:lineRule="exact"/>
        <w:rPr>
          <w:rFonts w:ascii="Arial" w:cs="Arial" w:eastAsia="Arial" w:hAnsi="Arial"/>
          <w:sz w:val="7"/>
          <w:szCs w:val="7"/>
          <w:color w:val="auto"/>
        </w:rPr>
      </w:pPr>
    </w:p>
    <w:p>
      <w:pPr>
        <w:ind w:left="280" w:hanging="117"/>
        <w:spacing w:after="0"/>
        <w:tabs>
          <w:tab w:leader="none" w:pos="280" w:val="left"/>
        </w:tabs>
        <w:numPr>
          <w:ilvl w:val="0"/>
          <w:numId w:val="26"/>
        </w:numPr>
        <w:rPr>
          <w:rFonts w:ascii="Arial" w:cs="Arial" w:eastAsia="Arial" w:hAnsi="Arial"/>
          <w:sz w:val="7"/>
          <w:szCs w:val="7"/>
          <w:color w:val="auto"/>
        </w:rPr>
      </w:pPr>
      <w:r>
        <w:rPr>
          <w:rFonts w:ascii="Arial" w:cs="Arial" w:eastAsia="Arial" w:hAnsi="Arial"/>
          <w:sz w:val="7"/>
          <w:szCs w:val="7"/>
          <w:color w:val="auto"/>
        </w:rPr>
        <w:t>The Company owns 50% of the fee interest.</w:t>
      </w:r>
    </w:p>
    <w:p>
      <w:pPr>
        <w:sectPr>
          <w:pgSz w:w="11900" w:h="16838" w:orient="portrait"/>
          <w:cols w:equalWidth="0" w:num="1">
            <w:col w:w="10100"/>
          </w:cols>
          <w:pgMar w:left="900" w:top="338" w:right="899" w:bottom="123" w:gutter="0" w:footer="0" w:header="0"/>
        </w:sectPr>
      </w:pPr>
    </w:p>
    <w:p>
      <w:pPr>
        <w:spacing w:after="0" w:line="341"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38</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23" w:gutter="0" w:footer="0" w:header="0"/>
          <w:type w:val="continuous"/>
        </w:sectPr>
      </w:pPr>
    </w:p>
    <w:bookmarkStart w:id="55" w:name="page56"/>
    <w:bookmarkEnd w:id="5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5207635</wp:posOffset>
            </wp:positionH>
            <wp:positionV relativeFrom="paragraph">
              <wp:posOffset>-90170</wp:posOffset>
            </wp:positionV>
            <wp:extent cx="1207770" cy="3606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7770" cy="360680"/>
                    </a:xfrm>
                    <a:prstGeom prst="rect">
                      <a:avLst/>
                    </a:prstGeom>
                    <a:noFill/>
                  </pic:spPr>
                </pic:pic>
              </a:graphicData>
            </a:graphic>
          </wp:anchor>
        </w:drawing>
      </w:r>
    </w:p>
    <w:p>
      <w:pPr>
        <w:spacing w:after="0" w:line="11" w:lineRule="exact"/>
        <w:rPr>
          <w:sz w:val="20"/>
          <w:szCs w:val="20"/>
          <w:color w:val="auto"/>
        </w:rPr>
      </w:pPr>
    </w:p>
    <w:p>
      <w:pPr>
        <w:ind w:right="5240"/>
        <w:spacing w:after="0" w:line="234" w:lineRule="auto"/>
        <w:rPr>
          <w:sz w:val="20"/>
          <w:szCs w:val="20"/>
          <w:color w:val="auto"/>
        </w:rPr>
      </w:pPr>
      <w:r>
        <w:rPr>
          <w:rFonts w:ascii="Arial" w:cs="Arial" w:eastAsia="Arial" w:hAnsi="Arial"/>
          <w:sz w:val="15"/>
          <w:szCs w:val="15"/>
          <w:b w:val="1"/>
          <w:bCs w:val="1"/>
          <w:color w:val="auto"/>
        </w:rPr>
        <w:t>Reckson Operating Portfolio - Retail, Land, and Residential Properties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140" w:type="dxa"/>
            <w:vAlign w:val="bottom"/>
          </w:tcPr>
          <w:p>
            <w:pPr>
              <w:spacing w:after="0"/>
              <w:rPr>
                <w:sz w:val="8"/>
                <w:szCs w:val="8"/>
                <w:color w:val="auto"/>
              </w:rPr>
            </w:pPr>
          </w:p>
        </w:tc>
        <w:tc>
          <w:tcPr>
            <w:tcW w:w="56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4"/>
          </w:tcPr>
          <w:p>
            <w:pPr>
              <w:ind w:left="40"/>
              <w:spacing w:after="0"/>
              <w:rPr>
                <w:sz w:val="20"/>
                <w:szCs w:val="20"/>
                <w:color w:val="auto"/>
              </w:rPr>
            </w:pPr>
            <w:r>
              <w:rPr>
                <w:rFonts w:ascii="Arial" w:cs="Arial" w:eastAsia="Arial" w:hAnsi="Arial"/>
                <w:sz w:val="7"/>
                <w:szCs w:val="7"/>
                <w:b w:val="1"/>
                <w:bCs w:val="1"/>
                <w:color w:val="auto"/>
              </w:rPr>
              <w:t>Occupancy (%)</w:t>
            </w: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64"/>
              <w:spacing w:after="0"/>
              <w:rPr>
                <w:sz w:val="20"/>
                <w:szCs w:val="20"/>
                <w:color w:val="auto"/>
              </w:rPr>
            </w:pPr>
            <w:r>
              <w:rPr>
                <w:rFonts w:ascii="Arial" w:cs="Arial" w:eastAsia="Arial" w:hAnsi="Arial"/>
                <w:sz w:val="7"/>
                <w:szCs w:val="7"/>
                <w:b w:val="1"/>
                <w:bCs w:val="1"/>
                <w:color w:val="auto"/>
              </w:rPr>
              <w:t>Annualized</w:t>
            </w:r>
          </w:p>
        </w:tc>
        <w:tc>
          <w:tcPr>
            <w:tcW w:w="80" w:type="dxa"/>
            <w:vAlign w:val="bottom"/>
          </w:tcPr>
          <w:p>
            <w:pPr>
              <w:spacing w:after="0"/>
              <w:rPr>
                <w:sz w:val="8"/>
                <w:szCs w:val="8"/>
                <w:color w:val="auto"/>
              </w:rPr>
            </w:pPr>
          </w:p>
        </w:tc>
        <w:tc>
          <w:tcPr>
            <w:tcW w:w="840" w:type="dxa"/>
            <w:vAlign w:val="bottom"/>
          </w:tcPr>
          <w:p>
            <w:pPr>
              <w:jc w:val="center"/>
              <w:ind w:right="64"/>
              <w:spacing w:after="0"/>
              <w:rPr>
                <w:sz w:val="20"/>
                <w:szCs w:val="20"/>
                <w:color w:val="auto"/>
              </w:rPr>
            </w:pPr>
            <w:r>
              <w:rPr>
                <w:rFonts w:ascii="Arial" w:cs="Arial" w:eastAsia="Arial" w:hAnsi="Arial"/>
                <w:sz w:val="7"/>
                <w:szCs w:val="7"/>
                <w:b w:val="1"/>
                <w:bCs w:val="1"/>
                <w:color w:val="auto"/>
              </w:rPr>
              <w:t>Annualized</w:t>
            </w:r>
          </w:p>
        </w:tc>
        <w:tc>
          <w:tcPr>
            <w:tcW w:w="120" w:type="dxa"/>
            <w:vAlign w:val="bottom"/>
          </w:tcPr>
          <w:p>
            <w:pPr>
              <w:spacing w:after="0"/>
              <w:rPr>
                <w:sz w:val="8"/>
                <w:szCs w:val="8"/>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Gross Total RE</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ind w:left="80"/>
              <w:spacing w:after="0"/>
              <w:rPr>
                <w:sz w:val="20"/>
                <w:szCs w:val="20"/>
                <w:color w:val="auto"/>
              </w:rPr>
            </w:pPr>
            <w:r>
              <w:rPr>
                <w:rFonts w:ascii="Arial" w:cs="Arial" w:eastAsia="Arial" w:hAnsi="Arial"/>
                <w:sz w:val="7"/>
                <w:szCs w:val="7"/>
                <w:b w:val="1"/>
                <w:bCs w:val="1"/>
                <w:color w:val="auto"/>
              </w:rPr>
              <w:t>Jun-16</w:t>
            </w:r>
          </w:p>
        </w:tc>
        <w:tc>
          <w:tcPr>
            <w:tcW w:w="380" w:type="dxa"/>
            <w:vAlign w:val="bottom"/>
          </w:tcPr>
          <w:p>
            <w:pPr>
              <w:jc w:val="right"/>
              <w:ind w:right="44"/>
              <w:spacing w:after="0"/>
              <w:rPr>
                <w:sz w:val="20"/>
                <w:szCs w:val="20"/>
                <w:color w:val="auto"/>
              </w:rPr>
            </w:pPr>
            <w:r>
              <w:rPr>
                <w:rFonts w:ascii="Arial" w:cs="Arial" w:eastAsia="Arial" w:hAnsi="Arial"/>
                <w:sz w:val="7"/>
                <w:szCs w:val="7"/>
                <w:b w:val="1"/>
                <w:bCs w:val="1"/>
                <w:color w:val="auto"/>
              </w:rPr>
              <w:t>Mar-16</w:t>
            </w:r>
          </w:p>
        </w:tc>
        <w:tc>
          <w:tcPr>
            <w:tcW w:w="80" w:type="dxa"/>
            <w:vAlign w:val="bottom"/>
          </w:tcPr>
          <w:p>
            <w:pPr>
              <w:spacing w:after="0"/>
              <w:rPr>
                <w:sz w:val="9"/>
                <w:szCs w:val="9"/>
                <w:color w:val="auto"/>
              </w:rPr>
            </w:pPr>
          </w:p>
        </w:tc>
        <w:tc>
          <w:tcPr>
            <w:tcW w:w="540" w:type="dxa"/>
            <w:vAlign w:val="bottom"/>
            <w:gridSpan w:val="3"/>
          </w:tcPr>
          <w:p>
            <w:pPr>
              <w:ind w:left="80"/>
              <w:spacing w:after="0"/>
              <w:rPr>
                <w:sz w:val="20"/>
                <w:szCs w:val="20"/>
                <w:color w:val="auto"/>
              </w:rPr>
            </w:pPr>
            <w:r>
              <w:rPr>
                <w:rFonts w:ascii="Arial" w:cs="Arial" w:eastAsia="Arial" w:hAnsi="Arial"/>
                <w:sz w:val="7"/>
                <w:szCs w:val="7"/>
                <w:b w:val="1"/>
                <w:bCs w:val="1"/>
                <w:color w:val="auto"/>
              </w:rPr>
              <w:t>Dec-15</w:t>
            </w:r>
          </w:p>
        </w:tc>
        <w:tc>
          <w:tcPr>
            <w:tcW w:w="420" w:type="dxa"/>
            <w:vAlign w:val="bottom"/>
            <w:gridSpan w:val="2"/>
          </w:tcPr>
          <w:p>
            <w:pPr>
              <w:spacing w:after="0"/>
              <w:rPr>
                <w:sz w:val="20"/>
                <w:szCs w:val="20"/>
                <w:color w:val="auto"/>
              </w:rPr>
            </w:pPr>
            <w:r>
              <w:rPr>
                <w:rFonts w:ascii="Arial" w:cs="Arial" w:eastAsia="Arial" w:hAnsi="Arial"/>
                <w:sz w:val="7"/>
                <w:szCs w:val="7"/>
                <w:b w:val="1"/>
                <w:bCs w:val="1"/>
                <w:color w:val="auto"/>
              </w:rPr>
              <w:t>Sep-15</w:t>
            </w:r>
          </w:p>
        </w:tc>
        <w:tc>
          <w:tcPr>
            <w:tcW w:w="480" w:type="dxa"/>
            <w:vAlign w:val="bottom"/>
            <w:gridSpan w:val="2"/>
          </w:tcPr>
          <w:p>
            <w:pPr>
              <w:ind w:left="80"/>
              <w:spacing w:after="0"/>
              <w:rPr>
                <w:sz w:val="20"/>
                <w:szCs w:val="20"/>
                <w:color w:val="auto"/>
              </w:rPr>
            </w:pPr>
            <w:r>
              <w:rPr>
                <w:rFonts w:ascii="Arial" w:cs="Arial" w:eastAsia="Arial" w:hAnsi="Arial"/>
                <w:sz w:val="7"/>
                <w:szCs w:val="7"/>
                <w:b w:val="1"/>
                <w:bCs w:val="1"/>
                <w:color w:val="auto"/>
              </w:rPr>
              <w:t>Jun-15</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60" w:type="dxa"/>
            <w:vAlign w:val="bottom"/>
            <w:gridSpan w:val="3"/>
          </w:tcPr>
          <w:p>
            <w:pPr>
              <w:spacing w:after="0"/>
              <w:rPr>
                <w:sz w:val="20"/>
                <w:szCs w:val="20"/>
                <w:color w:val="auto"/>
              </w:rPr>
            </w:pPr>
            <w:r>
              <w:rPr>
                <w:rFonts w:ascii="Arial" w:cs="Arial" w:eastAsia="Arial" w:hAnsi="Arial"/>
                <w:sz w:val="7"/>
                <w:szCs w:val="7"/>
                <w:b w:val="1"/>
                <w:bCs w:val="1"/>
                <w:color w:val="auto"/>
              </w:rPr>
              <w:t>Properties</w:t>
            </w:r>
          </w:p>
        </w:tc>
        <w:tc>
          <w:tcPr>
            <w:tcW w:w="580" w:type="dxa"/>
            <w:vAlign w:val="bottom"/>
            <w:gridSpan w:val="3"/>
          </w:tcPr>
          <w:p>
            <w:pPr>
              <w:ind w:left="120"/>
              <w:spacing w:after="0"/>
              <w:rPr>
                <w:sz w:val="20"/>
                <w:szCs w:val="20"/>
                <w:color w:val="auto"/>
              </w:rPr>
            </w:pPr>
            <w:r>
              <w:rPr>
                <w:rFonts w:ascii="Arial" w:cs="Arial" w:eastAsia="Arial" w:hAnsi="Arial"/>
                <w:sz w:val="7"/>
                <w:szCs w:val="7"/>
                <w:b w:val="1"/>
                <w:bCs w:val="1"/>
                <w:color w:val="auto"/>
              </w:rPr>
              <w:t>Interest (%)</w:t>
            </w:r>
          </w:p>
        </w:tc>
        <w:tc>
          <w:tcPr>
            <w:tcW w:w="740" w:type="dxa"/>
            <w:vAlign w:val="bottom"/>
            <w:gridSpan w:val="3"/>
          </w:tcPr>
          <w:p>
            <w:pPr>
              <w:ind w:left="60"/>
              <w:spacing w:after="0"/>
              <w:rPr>
                <w:sz w:val="20"/>
                <w:szCs w:val="20"/>
                <w:color w:val="auto"/>
              </w:rPr>
            </w:pPr>
            <w:r>
              <w:rPr>
                <w:rFonts w:ascii="Arial" w:cs="Arial" w:eastAsia="Arial" w:hAnsi="Arial"/>
                <w:sz w:val="7"/>
                <w:szCs w:val="7"/>
                <w:b w:val="1"/>
                <w:bCs w:val="1"/>
                <w:color w:val="auto"/>
              </w:rPr>
              <w:t>SubMarket</w:t>
            </w:r>
          </w:p>
        </w:tc>
        <w:tc>
          <w:tcPr>
            <w:tcW w:w="6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160" w:type="dxa"/>
            <w:vAlign w:val="bottom"/>
          </w:tcPr>
          <w:p>
            <w:pPr>
              <w:spacing w:after="0"/>
              <w:rPr>
                <w:sz w:val="7"/>
                <w:szCs w:val="7"/>
                <w:color w:val="auto"/>
              </w:rPr>
            </w:pP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Sq. Feet</w:t>
            </w:r>
          </w:p>
        </w:tc>
        <w:tc>
          <w:tcPr>
            <w:tcW w:w="140" w:type="dxa"/>
            <w:vAlign w:val="bottom"/>
          </w:tcPr>
          <w:p>
            <w:pPr>
              <w:spacing w:after="0"/>
              <w:rPr>
                <w:sz w:val="7"/>
                <w:szCs w:val="7"/>
                <w:color w:val="auto"/>
              </w:rPr>
            </w:pPr>
          </w:p>
        </w:tc>
        <w:tc>
          <w:tcPr>
            <w:tcW w:w="56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Sq. Feet</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ind w:right="64"/>
              <w:spacing w:after="0"/>
              <w:rPr>
                <w:sz w:val="20"/>
                <w:szCs w:val="20"/>
                <w:color w:val="auto"/>
              </w:rPr>
            </w:pPr>
            <w:r>
              <w:rPr>
                <w:rFonts w:ascii="Arial" w:cs="Arial" w:eastAsia="Arial" w:hAnsi="Arial"/>
                <w:sz w:val="7"/>
                <w:szCs w:val="7"/>
                <w:b w:val="1"/>
                <w:bCs w:val="1"/>
                <w:color w:val="auto"/>
              </w:rPr>
              <w:t>Cash Rent ($'s)</w:t>
            </w:r>
          </w:p>
        </w:tc>
        <w:tc>
          <w:tcPr>
            <w:tcW w:w="80" w:type="dxa"/>
            <w:vAlign w:val="bottom"/>
          </w:tcPr>
          <w:p>
            <w:pPr>
              <w:spacing w:after="0"/>
              <w:rPr>
                <w:sz w:val="7"/>
                <w:szCs w:val="7"/>
                <w:color w:val="auto"/>
              </w:rPr>
            </w:pPr>
          </w:p>
        </w:tc>
        <w:tc>
          <w:tcPr>
            <w:tcW w:w="840" w:type="dxa"/>
            <w:vAlign w:val="bottom"/>
          </w:tcPr>
          <w:p>
            <w:pPr>
              <w:jc w:val="center"/>
              <w:ind w:right="44"/>
              <w:spacing w:after="0"/>
              <w:rPr>
                <w:sz w:val="20"/>
                <w:szCs w:val="20"/>
                <w:color w:val="auto"/>
              </w:rPr>
            </w:pPr>
            <w:r>
              <w:rPr>
                <w:rFonts w:ascii="Arial" w:cs="Arial" w:eastAsia="Arial" w:hAnsi="Arial"/>
                <w:sz w:val="7"/>
                <w:szCs w:val="7"/>
                <w:b w:val="1"/>
                <w:bCs w:val="1"/>
                <w:color w:val="auto"/>
              </w:rPr>
              <w:t>Cash Rent (SLG%)</w:t>
            </w:r>
          </w:p>
        </w:tc>
        <w:tc>
          <w:tcPr>
            <w:tcW w:w="120" w:type="dxa"/>
            <w:vAlign w:val="bottom"/>
          </w:tcPr>
          <w:p>
            <w:pPr>
              <w:spacing w:after="0"/>
              <w:rPr>
                <w:sz w:val="7"/>
                <w:szCs w:val="7"/>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Book Value</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7"/>
                <w:szCs w:val="7"/>
                <w:b w:val="1"/>
                <w:bCs w:val="1"/>
                <w:color w:val="auto"/>
              </w:rPr>
              <w:t>Retail</w:t>
            </w:r>
          </w:p>
        </w:tc>
        <w:tc>
          <w:tcPr>
            <w:tcW w:w="1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gridSpan w:val="2"/>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102</w:t>
            </w:r>
          </w:p>
        </w:tc>
        <w:tc>
          <w:tcPr>
            <w:tcW w:w="142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520" w:type="dxa"/>
            <w:vAlign w:val="bottom"/>
            <w:gridSpan w:val="2"/>
          </w:tcPr>
          <w:p>
            <w:pPr>
              <w:jc w:val="center"/>
              <w:ind w:left="84"/>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7"/>
                <w:szCs w:val="7"/>
                <w:color w:val="auto"/>
                <w:w w:val="97"/>
              </w:rPr>
              <w:t>Soho</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460" w:type="dxa"/>
            <w:vAlign w:val="bottom"/>
            <w:gridSpan w:val="2"/>
          </w:tcPr>
          <w:p>
            <w:pPr>
              <w:jc w:val="right"/>
              <w:spacing w:after="0"/>
              <w:rPr>
                <w:sz w:val="20"/>
                <w:szCs w:val="20"/>
                <w:color w:val="auto"/>
              </w:rPr>
            </w:pPr>
            <w:r>
              <w:rPr>
                <w:rFonts w:ascii="Arial" w:cs="Arial" w:eastAsia="Arial" w:hAnsi="Arial"/>
                <w:sz w:val="7"/>
                <w:szCs w:val="7"/>
                <w:color w:val="auto"/>
              </w:rPr>
              <w:t>9,200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7"/>
                <w:szCs w:val="7"/>
                <w:color w:val="auto"/>
              </w:rPr>
              <w:t>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7"/>
                <w:szCs w:val="17"/>
                <w:color w:val="auto"/>
              </w:rPr>
            </w:pPr>
          </w:p>
        </w:tc>
        <w:tc>
          <w:tcPr>
            <w:tcW w:w="3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360,000</w:t>
            </w:r>
          </w:p>
        </w:tc>
        <w:tc>
          <w:tcPr>
            <w:tcW w:w="80" w:type="dxa"/>
            <w:vAlign w:val="bottom"/>
          </w:tcPr>
          <w:p>
            <w:pPr>
              <w:spacing w:after="0"/>
              <w:rPr>
                <w:sz w:val="17"/>
                <w:szCs w:val="17"/>
                <w:color w:val="auto"/>
              </w:rPr>
            </w:pP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1.0</w:t>
            </w:r>
          </w:p>
        </w:tc>
        <w:tc>
          <w:tcPr>
            <w:tcW w:w="12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34,586,359</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115</w:t>
            </w:r>
          </w:p>
        </w:tc>
        <w:tc>
          <w:tcPr>
            <w:tcW w:w="1420" w:type="dxa"/>
            <w:vAlign w:val="bottom"/>
            <w:gridSpan w:val="2"/>
          </w:tcPr>
          <w:p>
            <w:pPr>
              <w:spacing w:after="0"/>
              <w:rPr>
                <w:sz w:val="20"/>
                <w:szCs w:val="20"/>
                <w:color w:val="auto"/>
              </w:rPr>
            </w:pPr>
            <w:r>
              <w:rPr>
                <w:rFonts w:ascii="Arial" w:cs="Arial" w:eastAsia="Arial" w:hAnsi="Arial"/>
                <w:sz w:val="7"/>
                <w:szCs w:val="7"/>
                <w:color w:val="auto"/>
              </w:rPr>
              <w:t>Spring Street</w:t>
            </w:r>
          </w:p>
        </w:tc>
        <w:tc>
          <w:tcPr>
            <w:tcW w:w="520" w:type="dxa"/>
            <w:vAlign w:val="bottom"/>
            <w:gridSpan w:val="2"/>
          </w:tcPr>
          <w:p>
            <w:pPr>
              <w:jc w:val="center"/>
              <w:ind w:left="84"/>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7"/>
                <w:szCs w:val="7"/>
                <w:color w:val="auto"/>
                <w:w w:val="97"/>
              </w:rPr>
              <w:t>Soho</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460" w:type="dxa"/>
            <w:vAlign w:val="bottom"/>
            <w:gridSpan w:val="2"/>
          </w:tcPr>
          <w:p>
            <w:pPr>
              <w:jc w:val="right"/>
              <w:spacing w:after="0"/>
              <w:rPr>
                <w:sz w:val="20"/>
                <w:szCs w:val="20"/>
                <w:color w:val="auto"/>
              </w:rPr>
            </w:pPr>
            <w:r>
              <w:rPr>
                <w:rFonts w:ascii="Arial" w:cs="Arial" w:eastAsia="Arial" w:hAnsi="Arial"/>
                <w:sz w:val="7"/>
                <w:szCs w:val="7"/>
                <w:color w:val="auto"/>
              </w:rPr>
              <w:t>5,218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7"/>
                <w:szCs w:val="7"/>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3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2,800,000</w:t>
            </w:r>
          </w:p>
        </w:tc>
        <w:tc>
          <w:tcPr>
            <w:tcW w:w="80" w:type="dxa"/>
            <w:vAlign w:val="bottom"/>
          </w:tcPr>
          <w:p>
            <w:pPr>
              <w:spacing w:after="0"/>
              <w:rPr>
                <w:sz w:val="19"/>
                <w:szCs w:val="19"/>
                <w:color w:val="auto"/>
              </w:rPr>
            </w:pP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8.0</w:t>
            </w:r>
          </w:p>
        </w:tc>
        <w:tc>
          <w:tcPr>
            <w:tcW w:w="12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53,606,046</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580" w:type="dxa"/>
            <w:vAlign w:val="bottom"/>
            <w:gridSpan w:val="4"/>
          </w:tcPr>
          <w:p>
            <w:pPr>
              <w:ind w:left="20"/>
              <w:spacing w:after="0"/>
              <w:rPr>
                <w:sz w:val="20"/>
                <w:szCs w:val="20"/>
                <w:color w:val="auto"/>
              </w:rPr>
            </w:pPr>
            <w:r>
              <w:rPr>
                <w:rFonts w:ascii="Arial" w:cs="Arial" w:eastAsia="Arial" w:hAnsi="Arial"/>
                <w:sz w:val="7"/>
                <w:szCs w:val="7"/>
                <w:color w:val="auto"/>
              </w:rPr>
              <w:t>131-137 Spring Street</w:t>
            </w:r>
          </w:p>
        </w:tc>
        <w:tc>
          <w:tcPr>
            <w:tcW w:w="520" w:type="dxa"/>
            <w:vAlign w:val="bottom"/>
            <w:gridSpan w:val="2"/>
          </w:tcPr>
          <w:p>
            <w:pPr>
              <w:jc w:val="center"/>
              <w:ind w:left="84"/>
              <w:spacing w:after="0"/>
              <w:rPr>
                <w:sz w:val="20"/>
                <w:szCs w:val="20"/>
                <w:color w:val="auto"/>
              </w:rPr>
            </w:pPr>
            <w:r>
              <w:rPr>
                <w:rFonts w:ascii="Arial" w:cs="Arial" w:eastAsia="Arial" w:hAnsi="Arial"/>
                <w:sz w:val="7"/>
                <w:szCs w:val="7"/>
                <w:color w:val="auto"/>
              </w:rPr>
              <w:t>20.0%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7"/>
                <w:szCs w:val="7"/>
                <w:color w:val="auto"/>
                <w:w w:val="97"/>
              </w:rPr>
              <w:t>Soho</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20"/>
              <w:spacing w:after="0"/>
              <w:rPr>
                <w:sz w:val="20"/>
                <w:szCs w:val="20"/>
                <w:color w:val="auto"/>
              </w:rPr>
            </w:pPr>
            <w:r>
              <w:rPr>
                <w:rFonts w:ascii="Arial" w:cs="Arial" w:eastAsia="Arial" w:hAnsi="Arial"/>
                <w:sz w:val="7"/>
                <w:szCs w:val="7"/>
                <w:color w:val="auto"/>
              </w:rPr>
              <w:t>68,342</w:t>
            </w: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7"/>
                <w:szCs w:val="7"/>
                <w:color w:val="auto"/>
              </w:rPr>
              <w:t>16.0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380" w:type="dxa"/>
            <w:vAlign w:val="bottom"/>
          </w:tcPr>
          <w:p>
            <w:pPr>
              <w:jc w:val="right"/>
              <w:ind w:right="64"/>
              <w:spacing w:after="0"/>
              <w:rPr>
                <w:sz w:val="20"/>
                <w:szCs w:val="20"/>
                <w:color w:val="auto"/>
              </w:rPr>
            </w:pPr>
            <w:r>
              <w:rPr>
                <w:rFonts w:ascii="Arial" w:cs="Arial" w:eastAsia="Arial" w:hAnsi="Arial"/>
                <w:sz w:val="7"/>
                <w:szCs w:val="7"/>
                <w:color w:val="auto"/>
              </w:rPr>
              <w:t>93.9</w:t>
            </w: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11,676,003</w:t>
            </w:r>
          </w:p>
        </w:tc>
        <w:tc>
          <w:tcPr>
            <w:tcW w:w="80" w:type="dxa"/>
            <w:vAlign w:val="bottom"/>
          </w:tcPr>
          <w:p>
            <w:pPr>
              <w:spacing w:after="0"/>
              <w:rPr>
                <w:sz w:val="19"/>
                <w:szCs w:val="19"/>
                <w:color w:val="auto"/>
              </w:rPr>
            </w:pP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6.6</w:t>
            </w:r>
          </w:p>
        </w:tc>
        <w:tc>
          <w:tcPr>
            <w:tcW w:w="12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277,736,039</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315</w:t>
            </w:r>
          </w:p>
        </w:tc>
        <w:tc>
          <w:tcPr>
            <w:tcW w:w="1420" w:type="dxa"/>
            <w:vAlign w:val="bottom"/>
            <w:gridSpan w:val="2"/>
          </w:tcPr>
          <w:p>
            <w:pPr>
              <w:spacing w:after="0"/>
              <w:rPr>
                <w:sz w:val="20"/>
                <w:szCs w:val="20"/>
                <w:color w:val="auto"/>
              </w:rPr>
            </w:pPr>
            <w:r>
              <w:rPr>
                <w:rFonts w:ascii="Arial" w:cs="Arial" w:eastAsia="Arial" w:hAnsi="Arial"/>
                <w:sz w:val="7"/>
                <w:szCs w:val="7"/>
                <w:color w:val="auto"/>
              </w:rPr>
              <w:t>West 33rd Street - The Olivia</w:t>
            </w:r>
          </w:p>
        </w:tc>
        <w:tc>
          <w:tcPr>
            <w:tcW w:w="520" w:type="dxa"/>
            <w:vAlign w:val="bottom"/>
            <w:gridSpan w:val="2"/>
          </w:tcPr>
          <w:p>
            <w:pPr>
              <w:jc w:val="center"/>
              <w:ind w:left="84"/>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7"/>
                <w:szCs w:val="7"/>
                <w:color w:val="auto"/>
              </w:rPr>
              <w:t>Penn Station</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20"/>
              <w:spacing w:after="0"/>
              <w:rPr>
                <w:sz w:val="20"/>
                <w:szCs w:val="20"/>
                <w:color w:val="auto"/>
              </w:rPr>
            </w:pPr>
            <w:r>
              <w:rPr>
                <w:rFonts w:ascii="Arial" w:cs="Arial" w:eastAsia="Arial" w:hAnsi="Arial"/>
                <w:sz w:val="7"/>
                <w:szCs w:val="7"/>
                <w:color w:val="auto"/>
              </w:rPr>
              <w:t>270,132</w:t>
            </w: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7"/>
                <w:szCs w:val="7"/>
                <w:color w:val="auto"/>
              </w:rPr>
              <w:t>63.0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3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14,903,527</w:t>
            </w:r>
          </w:p>
        </w:tc>
        <w:tc>
          <w:tcPr>
            <w:tcW w:w="80" w:type="dxa"/>
            <w:vAlign w:val="bottom"/>
          </w:tcPr>
          <w:p>
            <w:pPr>
              <w:spacing w:after="0"/>
              <w:rPr>
                <w:sz w:val="19"/>
                <w:szCs w:val="19"/>
                <w:color w:val="auto"/>
              </w:rPr>
            </w:pP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42.4</w:t>
            </w:r>
          </w:p>
        </w:tc>
        <w:tc>
          <w:tcPr>
            <w:tcW w:w="12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215,650,986</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1580" w:type="dxa"/>
            <w:vAlign w:val="bottom"/>
            <w:gridSpan w:val="4"/>
          </w:tcPr>
          <w:p>
            <w:pPr>
              <w:ind w:left="20"/>
              <w:spacing w:after="0"/>
              <w:rPr>
                <w:sz w:val="20"/>
                <w:szCs w:val="20"/>
                <w:color w:val="auto"/>
              </w:rPr>
            </w:pPr>
            <w:r>
              <w:rPr>
                <w:rFonts w:ascii="Arial" w:cs="Arial" w:eastAsia="Arial" w:hAnsi="Arial"/>
                <w:sz w:val="7"/>
                <w:szCs w:val="7"/>
                <w:color w:val="auto"/>
              </w:rPr>
              <w:t>752-760 Madison Avenue</w:t>
            </w:r>
          </w:p>
        </w:tc>
        <w:tc>
          <w:tcPr>
            <w:tcW w:w="520" w:type="dxa"/>
            <w:vAlign w:val="bottom"/>
            <w:gridSpan w:val="2"/>
          </w:tcPr>
          <w:p>
            <w:pPr>
              <w:jc w:val="center"/>
              <w:ind w:left="84"/>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7"/>
                <w:szCs w:val="7"/>
                <w:color w:val="auto"/>
              </w:rPr>
              <w:t>Plaza District</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480" w:type="dxa"/>
            <w:vAlign w:val="bottom"/>
            <w:gridSpan w:val="3"/>
          </w:tcPr>
          <w:p>
            <w:pPr>
              <w:jc w:val="right"/>
              <w:ind w:right="20"/>
              <w:spacing w:after="0"/>
              <w:rPr>
                <w:sz w:val="20"/>
                <w:szCs w:val="20"/>
                <w:color w:val="auto"/>
              </w:rPr>
            </w:pPr>
            <w:r>
              <w:rPr>
                <w:rFonts w:ascii="Arial" w:cs="Arial" w:eastAsia="Arial" w:hAnsi="Arial"/>
                <w:sz w:val="7"/>
                <w:szCs w:val="7"/>
                <w:color w:val="auto"/>
              </w:rPr>
              <w:t>21,124</w:t>
            </w: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7"/>
                <w:szCs w:val="7"/>
                <w:color w:val="auto"/>
              </w:rPr>
              <w:t>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3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12,954,824</w:t>
            </w:r>
          </w:p>
        </w:tc>
        <w:tc>
          <w:tcPr>
            <w:tcW w:w="80" w:type="dxa"/>
            <w:vAlign w:val="bottom"/>
          </w:tcPr>
          <w:p>
            <w:pPr>
              <w:spacing w:after="0"/>
              <w:rPr>
                <w:sz w:val="19"/>
                <w:szCs w:val="19"/>
                <w:color w:val="auto"/>
              </w:rPr>
            </w:pPr>
          </w:p>
        </w:tc>
        <w:tc>
          <w:tcPr>
            <w:tcW w:w="840" w:type="dxa"/>
            <w:vAlign w:val="bottom"/>
          </w:tcPr>
          <w:p>
            <w:pPr>
              <w:jc w:val="right"/>
              <w:ind w:right="64"/>
              <w:spacing w:after="0"/>
              <w:rPr>
                <w:sz w:val="20"/>
                <w:szCs w:val="20"/>
                <w:color w:val="auto"/>
              </w:rPr>
            </w:pPr>
            <w:r>
              <w:rPr>
                <w:rFonts w:ascii="Arial" w:cs="Arial" w:eastAsia="Arial" w:hAnsi="Arial"/>
                <w:sz w:val="7"/>
                <w:szCs w:val="7"/>
                <w:color w:val="auto"/>
              </w:rPr>
              <w:t>36.9</w:t>
            </w:r>
          </w:p>
        </w:tc>
        <w:tc>
          <w:tcPr>
            <w:tcW w:w="12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295,426,572</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25"/>
        </w:trPr>
        <w:tc>
          <w:tcPr>
            <w:tcW w:w="1580" w:type="dxa"/>
            <w:vAlign w:val="bottom"/>
            <w:gridSpan w:val="4"/>
          </w:tcPr>
          <w:p>
            <w:pPr>
              <w:ind w:left="20"/>
              <w:spacing w:after="0"/>
              <w:rPr>
                <w:sz w:val="20"/>
                <w:szCs w:val="20"/>
                <w:color w:val="auto"/>
              </w:rPr>
            </w:pPr>
            <w:r>
              <w:rPr>
                <w:rFonts w:ascii="Arial" w:cs="Arial" w:eastAsia="Arial" w:hAnsi="Arial"/>
                <w:sz w:val="7"/>
                <w:szCs w:val="7"/>
                <w:color w:val="auto"/>
              </w:rPr>
              <w:t>Williamsburg Terrace</w:t>
            </w:r>
          </w:p>
        </w:tc>
        <w:tc>
          <w:tcPr>
            <w:tcW w:w="520" w:type="dxa"/>
            <w:vAlign w:val="bottom"/>
            <w:gridSpan w:val="2"/>
          </w:tcPr>
          <w:p>
            <w:pPr>
              <w:jc w:val="center"/>
              <w:ind w:left="84"/>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7"/>
                <w:szCs w:val="7"/>
                <w:color w:val="auto"/>
              </w:rPr>
              <w:t>Brooklyn, New 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52,000</w:t>
            </w:r>
          </w:p>
        </w:tc>
        <w:tc>
          <w:tcPr>
            <w:tcW w:w="100" w:type="dxa"/>
            <w:vAlign w:val="bottom"/>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color w:val="auto"/>
              </w:rPr>
              <w:t>12.0</w:t>
            </w: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1,786,484</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5.1</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16,357,696</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196"/>
        </w:trPr>
        <w:tc>
          <w:tcPr>
            <w:tcW w:w="1580" w:type="dxa"/>
            <w:vAlign w:val="bottom"/>
            <w:gridSpan w:val="4"/>
          </w:tcPr>
          <w:p>
            <w:pPr>
              <w:ind w:left="20"/>
              <w:spacing w:after="0"/>
              <w:rPr>
                <w:sz w:val="20"/>
                <w:szCs w:val="20"/>
                <w:color w:val="auto"/>
              </w:rPr>
            </w:pPr>
            <w:r>
              <w:rPr>
                <w:rFonts w:ascii="Arial" w:cs="Arial" w:eastAsia="Arial" w:hAnsi="Arial"/>
                <w:sz w:val="7"/>
                <w:szCs w:val="7"/>
                <w:b w:val="1"/>
                <w:bCs w:val="1"/>
                <w:color w:val="auto"/>
              </w:rPr>
              <w:t>Total Retail Properties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426,016</w:t>
            </w:r>
          </w:p>
        </w:tc>
        <w:tc>
          <w:tcPr>
            <w:tcW w:w="100" w:type="dxa"/>
            <w:vAlign w:val="bottom"/>
          </w:tcPr>
          <w:p>
            <w:pPr>
              <w:spacing w:after="0"/>
              <w:rPr>
                <w:sz w:val="17"/>
                <w:szCs w:val="17"/>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98.0%</w:t>
            </w: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96.9%</w:t>
            </w:r>
          </w:p>
        </w:tc>
        <w:tc>
          <w:tcPr>
            <w:tcW w:w="460" w:type="dxa"/>
            <w:vAlign w:val="bottom"/>
            <w:gridSpan w:val="2"/>
          </w:tcPr>
          <w:p>
            <w:pPr>
              <w:jc w:val="right"/>
              <w:spacing w:after="0"/>
              <w:rPr>
                <w:sz w:val="20"/>
                <w:szCs w:val="20"/>
                <w:color w:val="auto"/>
              </w:rPr>
            </w:pPr>
            <w:r>
              <w:rPr>
                <w:rFonts w:ascii="Arial" w:cs="Arial" w:eastAsia="Arial" w:hAnsi="Arial"/>
                <w:sz w:val="7"/>
                <w:szCs w:val="7"/>
                <w:b w:val="1"/>
                <w:bCs w:val="1"/>
                <w:color w:val="auto"/>
              </w:rPr>
              <w:t>98.0%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7"/>
                <w:szCs w:val="7"/>
                <w:b w:val="1"/>
                <w:bCs w:val="1"/>
                <w:color w:val="auto"/>
              </w:rPr>
              <w:t>99.0%</w:t>
            </w:r>
          </w:p>
        </w:tc>
        <w:tc>
          <w:tcPr>
            <w:tcW w:w="100" w:type="dxa"/>
            <w:vAlign w:val="bottom"/>
          </w:tcPr>
          <w:p>
            <w:pPr>
              <w:spacing w:after="0"/>
              <w:rPr>
                <w:sz w:val="17"/>
                <w:szCs w:val="17"/>
                <w:color w:val="auto"/>
              </w:rPr>
            </w:pPr>
          </w:p>
        </w:tc>
        <w:tc>
          <w:tcPr>
            <w:tcW w:w="400" w:type="dxa"/>
            <w:vAlign w:val="bottom"/>
          </w:tcPr>
          <w:p>
            <w:pPr>
              <w:jc w:val="right"/>
              <w:ind w:right="4"/>
              <w:spacing w:after="0"/>
              <w:rPr>
                <w:sz w:val="20"/>
                <w:szCs w:val="20"/>
                <w:color w:val="auto"/>
              </w:rPr>
            </w:pPr>
            <w:r>
              <w:rPr>
                <w:rFonts w:ascii="Arial" w:cs="Arial" w:eastAsia="Arial" w:hAnsi="Arial"/>
                <w:sz w:val="7"/>
                <w:szCs w:val="7"/>
                <w:b w:val="1"/>
                <w:bCs w:val="1"/>
                <w:color w:val="auto"/>
              </w:rPr>
              <w:t>99.0%</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44,480,838</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7"/>
                <w:szCs w:val="7"/>
                <w:b w:val="1"/>
                <w:bCs w:val="1"/>
                <w:color w:val="auto"/>
              </w:rPr>
              <w:t>100.0%</w:t>
            </w:r>
          </w:p>
        </w:tc>
        <w:tc>
          <w:tcPr>
            <w:tcW w:w="120" w:type="dxa"/>
            <w:vAlign w:val="bottom"/>
          </w:tcPr>
          <w:p>
            <w:pPr>
              <w:jc w:val="right"/>
              <w:ind w:right="24"/>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893,363,698</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25</w:t>
            </w:r>
          </w:p>
        </w:tc>
        <w:tc>
          <w:tcPr>
            <w:tcW w:w="0" w:type="dxa"/>
            <w:vAlign w:val="bottom"/>
          </w:tcPr>
          <w:p>
            <w:pPr>
              <w:spacing w:after="0"/>
              <w:rPr>
                <w:sz w:val="1"/>
                <w:szCs w:val="1"/>
                <w:color w:val="auto"/>
              </w:rPr>
            </w:pPr>
          </w:p>
        </w:tc>
      </w:tr>
      <w:tr>
        <w:trPr>
          <w:trHeight w:val="311"/>
        </w:trPr>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rPr>
              <w:t>Land</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635</w:t>
            </w:r>
          </w:p>
        </w:tc>
        <w:tc>
          <w:tcPr>
            <w:tcW w:w="142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520" w:type="dxa"/>
            <w:vAlign w:val="bottom"/>
            <w:gridSpan w:val="2"/>
          </w:tcPr>
          <w:p>
            <w:pPr>
              <w:jc w:val="center"/>
              <w:ind w:left="84"/>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7"/>
                <w:szCs w:val="7"/>
                <w:color w:val="auto"/>
              </w:rPr>
              <w:t>Plaza District</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176,530</w:t>
            </w:r>
          </w:p>
        </w:tc>
        <w:tc>
          <w:tcPr>
            <w:tcW w:w="100" w:type="dxa"/>
            <w:vAlign w:val="bottom"/>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color w:val="auto"/>
              </w:rPr>
              <w:t>100.0</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3,677,574</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153,745,356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80" w:type="dxa"/>
            <w:vAlign w:val="bottom"/>
            <w:gridSpan w:val="4"/>
          </w:tcPr>
          <w:p>
            <w:pPr>
              <w:ind w:left="20"/>
              <w:spacing w:after="0"/>
              <w:rPr>
                <w:sz w:val="20"/>
                <w:szCs w:val="20"/>
                <w:color w:val="auto"/>
              </w:rPr>
            </w:pPr>
            <w:r>
              <w:rPr>
                <w:rFonts w:ascii="Arial" w:cs="Arial" w:eastAsia="Arial" w:hAnsi="Arial"/>
                <w:sz w:val="7"/>
                <w:szCs w:val="7"/>
                <w:b w:val="1"/>
                <w:bCs w:val="1"/>
                <w:color w:val="auto"/>
              </w:rPr>
              <w:t>Total Land Properties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176,530</w:t>
            </w:r>
          </w:p>
        </w:tc>
        <w:tc>
          <w:tcPr>
            <w:tcW w:w="100" w:type="dxa"/>
            <w:vAlign w:val="bottom"/>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460" w:type="dxa"/>
            <w:vAlign w:val="bottom"/>
            <w:gridSpan w:val="2"/>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400" w:type="dxa"/>
            <w:vAlign w:val="bottom"/>
          </w:tcPr>
          <w:p>
            <w:pPr>
              <w:jc w:val="right"/>
              <w:ind w:right="4"/>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3,677,574</w:t>
            </w:r>
          </w:p>
        </w:tc>
        <w:tc>
          <w:tcPr>
            <w:tcW w:w="8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Arial" w:cs="Arial" w:eastAsia="Arial" w:hAnsi="Arial"/>
                <w:sz w:val="7"/>
                <w:szCs w:val="7"/>
                <w:b w:val="1"/>
                <w:bCs w:val="1"/>
                <w:color w:val="auto"/>
              </w:rPr>
              <w:t>100.0%</w:t>
            </w:r>
          </w:p>
        </w:tc>
        <w:tc>
          <w:tcPr>
            <w:tcW w:w="120" w:type="dxa"/>
            <w:vAlign w:val="bottom"/>
          </w:tcPr>
          <w:p>
            <w:pPr>
              <w:jc w:val="right"/>
              <w:ind w:right="24"/>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153,745,356</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shd w:val="clear" w:color="auto" w:fill="00497F"/>
          </w:tcPr>
          <w:p>
            <w:pPr>
              <w:spacing w:after="0"/>
              <w:rPr>
                <w:sz w:val="8"/>
                <w:szCs w:val="8"/>
                <w:color w:val="auto"/>
              </w:rPr>
            </w:pPr>
          </w:p>
        </w:tc>
        <w:tc>
          <w:tcPr>
            <w:tcW w:w="360" w:type="dxa"/>
            <w:vAlign w:val="bottom"/>
            <w:gridSpan w:val="2"/>
            <w:shd w:val="clear" w:color="auto" w:fill="00497F"/>
          </w:tcPr>
          <w:p>
            <w:pPr>
              <w:spacing w:after="0"/>
              <w:rPr>
                <w:sz w:val="8"/>
                <w:szCs w:val="8"/>
                <w:color w:val="auto"/>
              </w:rPr>
            </w:pPr>
          </w:p>
        </w:tc>
        <w:tc>
          <w:tcPr>
            <w:tcW w:w="1200" w:type="dxa"/>
            <w:vAlign w:val="bottom"/>
            <w:shd w:val="clear" w:color="auto" w:fill="00497F"/>
          </w:tcPr>
          <w:p>
            <w:pPr>
              <w:spacing w:after="0"/>
              <w:rPr>
                <w:sz w:val="8"/>
                <w:szCs w:val="8"/>
                <w:color w:val="auto"/>
              </w:rPr>
            </w:pPr>
          </w:p>
        </w:tc>
        <w:tc>
          <w:tcPr>
            <w:tcW w:w="12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30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260" w:type="dxa"/>
            <w:vAlign w:val="bottom"/>
            <w:shd w:val="clear" w:color="auto" w:fill="00497F"/>
          </w:tcPr>
          <w:p>
            <w:pPr>
              <w:spacing w:after="0"/>
              <w:rPr>
                <w:sz w:val="8"/>
                <w:szCs w:val="8"/>
                <w:color w:val="auto"/>
              </w:rPr>
            </w:pPr>
          </w:p>
        </w:tc>
        <w:tc>
          <w:tcPr>
            <w:tcW w:w="160" w:type="dxa"/>
            <w:vAlign w:val="bottom"/>
            <w:shd w:val="clear" w:color="auto" w:fill="00497F"/>
          </w:tcPr>
          <w:p>
            <w:pPr>
              <w:spacing w:after="0"/>
              <w:rPr>
                <w:sz w:val="8"/>
                <w:szCs w:val="8"/>
                <w:color w:val="auto"/>
              </w:rPr>
            </w:pPr>
          </w:p>
        </w:tc>
        <w:tc>
          <w:tcPr>
            <w:tcW w:w="300" w:type="dxa"/>
            <w:vAlign w:val="bottom"/>
            <w:shd w:val="clear" w:color="auto" w:fill="00497F"/>
          </w:tcPr>
          <w:p>
            <w:pPr>
              <w:spacing w:after="0"/>
              <w:rPr>
                <w:sz w:val="8"/>
                <w:szCs w:val="8"/>
                <w:color w:val="auto"/>
              </w:rPr>
            </w:pPr>
          </w:p>
        </w:tc>
        <w:tc>
          <w:tcPr>
            <w:tcW w:w="2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14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28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32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64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840" w:type="dxa"/>
            <w:vAlign w:val="bottom"/>
            <w:shd w:val="clear" w:color="auto" w:fill="00497F"/>
          </w:tcPr>
          <w:p>
            <w:pPr>
              <w:spacing w:after="0"/>
              <w:rPr>
                <w:sz w:val="8"/>
                <w:szCs w:val="8"/>
                <w:color w:val="auto"/>
              </w:rPr>
            </w:pPr>
          </w:p>
        </w:tc>
        <w:tc>
          <w:tcPr>
            <w:tcW w:w="120" w:type="dxa"/>
            <w:vAlign w:val="bottom"/>
            <w:shd w:val="clear" w:color="auto" w:fill="00497F"/>
          </w:tcPr>
          <w:p>
            <w:pPr>
              <w:spacing w:after="0"/>
              <w:rPr>
                <w:sz w:val="8"/>
                <w:szCs w:val="8"/>
                <w:color w:val="auto"/>
              </w:rPr>
            </w:pPr>
          </w:p>
        </w:tc>
        <w:tc>
          <w:tcPr>
            <w:tcW w:w="640" w:type="dxa"/>
            <w:vAlign w:val="bottom"/>
            <w:shd w:val="clear" w:color="auto" w:fill="00497F"/>
          </w:tcPr>
          <w:p>
            <w:pPr>
              <w:spacing w:after="0"/>
              <w:rPr>
                <w:sz w:val="8"/>
                <w:szCs w:val="8"/>
                <w:color w:val="auto"/>
              </w:rPr>
            </w:pPr>
          </w:p>
        </w:tc>
        <w:tc>
          <w:tcPr>
            <w:tcW w:w="480" w:type="dxa"/>
            <w:vAlign w:val="bottom"/>
            <w:shd w:val="clear" w:color="auto" w:fill="00497F"/>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rPr>
              <w:t>Residential Properties - Reckson Portfolio</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4"/>
          </w:tcPr>
          <w:p>
            <w:pPr>
              <w:ind w:left="80"/>
              <w:spacing w:after="0"/>
              <w:rPr>
                <w:sz w:val="20"/>
                <w:szCs w:val="20"/>
                <w:color w:val="auto"/>
              </w:rPr>
            </w:pPr>
            <w:r>
              <w:rPr>
                <w:rFonts w:ascii="Arial" w:cs="Arial" w:eastAsia="Arial" w:hAnsi="Arial"/>
                <w:sz w:val="7"/>
                <w:szCs w:val="7"/>
                <w:b w:val="1"/>
                <w:bCs w:val="1"/>
                <w:color w:val="auto"/>
              </w:rPr>
              <w:t>Occupancy (%)</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64"/>
              <w:spacing w:after="0"/>
              <w:rPr>
                <w:sz w:val="20"/>
                <w:szCs w:val="20"/>
                <w:color w:val="auto"/>
              </w:rPr>
            </w:pPr>
            <w:r>
              <w:rPr>
                <w:rFonts w:ascii="Arial" w:cs="Arial" w:eastAsia="Arial" w:hAnsi="Arial"/>
                <w:sz w:val="7"/>
                <w:szCs w:val="7"/>
                <w:b w:val="1"/>
                <w:bCs w:val="1"/>
                <w:color w:val="auto"/>
              </w:rPr>
              <w:t>Annualized</w:t>
            </w:r>
          </w:p>
        </w:tc>
        <w:tc>
          <w:tcPr>
            <w:tcW w:w="80" w:type="dxa"/>
            <w:vAlign w:val="bottom"/>
          </w:tcPr>
          <w:p>
            <w:pPr>
              <w:spacing w:after="0"/>
              <w:rPr>
                <w:sz w:val="16"/>
                <w:szCs w:val="16"/>
                <w:color w:val="auto"/>
              </w:rPr>
            </w:pPr>
          </w:p>
        </w:tc>
        <w:tc>
          <w:tcPr>
            <w:tcW w:w="840" w:type="dxa"/>
            <w:vAlign w:val="bottom"/>
          </w:tcPr>
          <w:p>
            <w:pPr>
              <w:jc w:val="center"/>
              <w:ind w:right="64"/>
              <w:spacing w:after="0"/>
              <w:rPr>
                <w:sz w:val="20"/>
                <w:szCs w:val="20"/>
                <w:color w:val="auto"/>
              </w:rPr>
            </w:pPr>
            <w:r>
              <w:rPr>
                <w:rFonts w:ascii="Arial" w:cs="Arial" w:eastAsia="Arial" w:hAnsi="Arial"/>
                <w:sz w:val="7"/>
                <w:szCs w:val="7"/>
                <w:b w:val="1"/>
                <w:bCs w:val="1"/>
                <w:color w:val="auto"/>
              </w:rPr>
              <w:t>Average Monthly</w:t>
            </w: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Gross Total RE</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94"/>
        </w:trPr>
        <w:tc>
          <w:tcPr>
            <w:tcW w:w="1580" w:type="dxa"/>
            <w:vAlign w:val="bottom"/>
            <w:gridSpan w:val="4"/>
          </w:tcPr>
          <w:p>
            <w:pPr>
              <w:ind w:left="20"/>
              <w:spacing w:after="0"/>
              <w:rPr>
                <w:sz w:val="20"/>
                <w:szCs w:val="20"/>
                <w:color w:val="auto"/>
              </w:rPr>
            </w:pPr>
            <w:r>
              <w:rPr>
                <w:rFonts w:ascii="Arial" w:cs="Arial" w:eastAsia="Arial" w:hAnsi="Arial"/>
                <w:sz w:val="7"/>
                <w:szCs w:val="7"/>
                <w:b w:val="1"/>
                <w:bCs w:val="1"/>
                <w:color w:val="auto"/>
              </w:rPr>
              <w:t>Properties</w:t>
            </w:r>
          </w:p>
        </w:tc>
        <w:tc>
          <w:tcPr>
            <w:tcW w:w="580" w:type="dxa"/>
            <w:vAlign w:val="bottom"/>
            <w:gridSpan w:val="3"/>
          </w:tcPr>
          <w:p>
            <w:pPr>
              <w:ind w:left="120"/>
              <w:spacing w:after="0"/>
              <w:rPr>
                <w:sz w:val="20"/>
                <w:szCs w:val="20"/>
                <w:color w:val="auto"/>
              </w:rPr>
            </w:pPr>
            <w:r>
              <w:rPr>
                <w:rFonts w:ascii="Arial" w:cs="Arial" w:eastAsia="Arial" w:hAnsi="Arial"/>
                <w:sz w:val="7"/>
                <w:szCs w:val="7"/>
                <w:b w:val="1"/>
                <w:bCs w:val="1"/>
                <w:color w:val="auto"/>
              </w:rPr>
              <w:t>Interest (%)</w:t>
            </w:r>
          </w:p>
        </w:tc>
        <w:tc>
          <w:tcPr>
            <w:tcW w:w="740" w:type="dxa"/>
            <w:vAlign w:val="bottom"/>
            <w:gridSpan w:val="3"/>
          </w:tcPr>
          <w:p>
            <w:pPr>
              <w:ind w:left="60"/>
              <w:spacing w:after="0"/>
              <w:rPr>
                <w:sz w:val="20"/>
                <w:szCs w:val="20"/>
                <w:color w:val="auto"/>
              </w:rPr>
            </w:pPr>
            <w:r>
              <w:rPr>
                <w:rFonts w:ascii="Arial" w:cs="Arial" w:eastAsia="Arial" w:hAnsi="Arial"/>
                <w:sz w:val="7"/>
                <w:szCs w:val="7"/>
                <w:b w:val="1"/>
                <w:bCs w:val="1"/>
                <w:color w:val="auto"/>
              </w:rPr>
              <w:t>SubMarket</w:t>
            </w:r>
          </w:p>
        </w:tc>
        <w:tc>
          <w:tcPr>
            <w:tcW w:w="6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160" w:type="dxa"/>
            <w:vAlign w:val="bottom"/>
          </w:tcPr>
          <w:p>
            <w:pPr>
              <w:spacing w:after="0"/>
              <w:rPr>
                <w:sz w:val="16"/>
                <w:szCs w:val="16"/>
                <w:color w:val="auto"/>
              </w:rPr>
            </w:pP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Sq. Feet</w:t>
            </w:r>
          </w:p>
        </w:tc>
        <w:tc>
          <w:tcPr>
            <w:tcW w:w="140" w:type="dxa"/>
            <w:vAlign w:val="bottom"/>
          </w:tcPr>
          <w:p>
            <w:pPr>
              <w:spacing w:after="0"/>
              <w:rPr>
                <w:sz w:val="16"/>
                <w:szCs w:val="16"/>
                <w:color w:val="auto"/>
              </w:rPr>
            </w:pPr>
          </w:p>
        </w:tc>
        <w:tc>
          <w:tcPr>
            <w:tcW w:w="56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w w:val="99"/>
              </w:rPr>
              <w:t>Total Units</w:t>
            </w:r>
          </w:p>
        </w:tc>
        <w:tc>
          <w:tcPr>
            <w:tcW w:w="480" w:type="dxa"/>
            <w:vAlign w:val="bottom"/>
            <w:gridSpan w:val="2"/>
          </w:tcPr>
          <w:p>
            <w:pPr>
              <w:ind w:left="80"/>
              <w:spacing w:after="0"/>
              <w:rPr>
                <w:sz w:val="20"/>
                <w:szCs w:val="20"/>
                <w:color w:val="auto"/>
              </w:rPr>
            </w:pPr>
            <w:r>
              <w:rPr>
                <w:rFonts w:ascii="Arial" w:cs="Arial" w:eastAsia="Arial" w:hAnsi="Arial"/>
                <w:sz w:val="7"/>
                <w:szCs w:val="7"/>
                <w:b w:val="1"/>
                <w:bCs w:val="1"/>
                <w:color w:val="auto"/>
              </w:rPr>
              <w:t>Mar-16</w:t>
            </w:r>
          </w:p>
        </w:tc>
        <w:tc>
          <w:tcPr>
            <w:tcW w:w="380" w:type="dxa"/>
            <w:vAlign w:val="bottom"/>
          </w:tcPr>
          <w:p>
            <w:pPr>
              <w:jc w:val="right"/>
              <w:ind w:right="44"/>
              <w:spacing w:after="0"/>
              <w:rPr>
                <w:sz w:val="20"/>
                <w:szCs w:val="20"/>
                <w:color w:val="auto"/>
              </w:rPr>
            </w:pPr>
            <w:r>
              <w:rPr>
                <w:rFonts w:ascii="Arial" w:cs="Arial" w:eastAsia="Arial" w:hAnsi="Arial"/>
                <w:sz w:val="7"/>
                <w:szCs w:val="7"/>
                <w:b w:val="1"/>
                <w:bCs w:val="1"/>
                <w:color w:val="auto"/>
              </w:rPr>
              <w:t>Dec-15</w:t>
            </w:r>
          </w:p>
        </w:tc>
        <w:tc>
          <w:tcPr>
            <w:tcW w:w="80" w:type="dxa"/>
            <w:vAlign w:val="bottom"/>
          </w:tcPr>
          <w:p>
            <w:pPr>
              <w:spacing w:after="0"/>
              <w:rPr>
                <w:sz w:val="16"/>
                <w:szCs w:val="16"/>
                <w:color w:val="auto"/>
              </w:rPr>
            </w:pPr>
          </w:p>
        </w:tc>
        <w:tc>
          <w:tcPr>
            <w:tcW w:w="540" w:type="dxa"/>
            <w:vAlign w:val="bottom"/>
            <w:gridSpan w:val="3"/>
          </w:tcPr>
          <w:p>
            <w:pPr>
              <w:ind w:left="80"/>
              <w:spacing w:after="0"/>
              <w:rPr>
                <w:sz w:val="20"/>
                <w:szCs w:val="20"/>
                <w:color w:val="auto"/>
              </w:rPr>
            </w:pPr>
            <w:r>
              <w:rPr>
                <w:rFonts w:ascii="Arial" w:cs="Arial" w:eastAsia="Arial" w:hAnsi="Arial"/>
                <w:sz w:val="7"/>
                <w:szCs w:val="7"/>
                <w:b w:val="1"/>
                <w:bCs w:val="1"/>
                <w:color w:val="auto"/>
              </w:rPr>
              <w:t>Sep-15</w:t>
            </w:r>
          </w:p>
        </w:tc>
        <w:tc>
          <w:tcPr>
            <w:tcW w:w="420" w:type="dxa"/>
            <w:vAlign w:val="bottom"/>
            <w:gridSpan w:val="2"/>
          </w:tcPr>
          <w:p>
            <w:pPr>
              <w:ind w:left="20"/>
              <w:spacing w:after="0"/>
              <w:rPr>
                <w:sz w:val="20"/>
                <w:szCs w:val="20"/>
                <w:color w:val="auto"/>
              </w:rPr>
            </w:pPr>
            <w:r>
              <w:rPr>
                <w:rFonts w:ascii="Arial" w:cs="Arial" w:eastAsia="Arial" w:hAnsi="Arial"/>
                <w:sz w:val="7"/>
                <w:szCs w:val="7"/>
                <w:b w:val="1"/>
                <w:bCs w:val="1"/>
                <w:color w:val="auto"/>
              </w:rPr>
              <w:t>Jun-15</w:t>
            </w:r>
          </w:p>
        </w:tc>
        <w:tc>
          <w:tcPr>
            <w:tcW w:w="480" w:type="dxa"/>
            <w:vAlign w:val="bottom"/>
            <w:gridSpan w:val="2"/>
          </w:tcPr>
          <w:p>
            <w:pPr>
              <w:ind w:left="80"/>
              <w:spacing w:after="0"/>
              <w:rPr>
                <w:sz w:val="20"/>
                <w:szCs w:val="20"/>
                <w:color w:val="auto"/>
              </w:rPr>
            </w:pPr>
            <w:r>
              <w:rPr>
                <w:rFonts w:ascii="Arial" w:cs="Arial" w:eastAsia="Arial" w:hAnsi="Arial"/>
                <w:sz w:val="7"/>
                <w:szCs w:val="7"/>
                <w:b w:val="1"/>
                <w:bCs w:val="1"/>
                <w:color w:val="auto"/>
              </w:rPr>
              <w:t>Mar-15</w:t>
            </w:r>
          </w:p>
        </w:tc>
        <w:tc>
          <w:tcPr>
            <w:tcW w:w="80" w:type="dxa"/>
            <w:vAlign w:val="bottom"/>
          </w:tcPr>
          <w:p>
            <w:pPr>
              <w:spacing w:after="0"/>
              <w:rPr>
                <w:sz w:val="16"/>
                <w:szCs w:val="16"/>
                <w:color w:val="auto"/>
              </w:rPr>
            </w:pPr>
          </w:p>
        </w:tc>
        <w:tc>
          <w:tcPr>
            <w:tcW w:w="640" w:type="dxa"/>
            <w:vAlign w:val="bottom"/>
          </w:tcPr>
          <w:p>
            <w:pPr>
              <w:jc w:val="center"/>
              <w:ind w:right="64"/>
              <w:spacing w:after="0"/>
              <w:rPr>
                <w:sz w:val="20"/>
                <w:szCs w:val="20"/>
                <w:color w:val="auto"/>
              </w:rPr>
            </w:pPr>
            <w:r>
              <w:rPr>
                <w:rFonts w:ascii="Arial" w:cs="Arial" w:eastAsia="Arial" w:hAnsi="Arial"/>
                <w:sz w:val="7"/>
                <w:szCs w:val="7"/>
                <w:b w:val="1"/>
                <w:bCs w:val="1"/>
                <w:color w:val="auto"/>
              </w:rPr>
              <w:t>Cash Rent ($'s)</w:t>
            </w:r>
          </w:p>
        </w:tc>
        <w:tc>
          <w:tcPr>
            <w:tcW w:w="80" w:type="dxa"/>
            <w:vAlign w:val="bottom"/>
          </w:tcPr>
          <w:p>
            <w:pPr>
              <w:spacing w:after="0"/>
              <w:rPr>
                <w:sz w:val="16"/>
                <w:szCs w:val="16"/>
                <w:color w:val="auto"/>
              </w:rPr>
            </w:pPr>
          </w:p>
        </w:tc>
        <w:tc>
          <w:tcPr>
            <w:tcW w:w="840" w:type="dxa"/>
            <w:vAlign w:val="bottom"/>
          </w:tcPr>
          <w:p>
            <w:pPr>
              <w:jc w:val="center"/>
              <w:ind w:right="64"/>
              <w:spacing w:after="0"/>
              <w:rPr>
                <w:sz w:val="20"/>
                <w:szCs w:val="20"/>
                <w:color w:val="auto"/>
              </w:rPr>
            </w:pPr>
            <w:r>
              <w:rPr>
                <w:rFonts w:ascii="Arial" w:cs="Arial" w:eastAsia="Arial" w:hAnsi="Arial"/>
                <w:sz w:val="7"/>
                <w:szCs w:val="7"/>
                <w:b w:val="1"/>
                <w:bCs w:val="1"/>
                <w:color w:val="auto"/>
              </w:rPr>
              <w:t>Rent Per Unit ($'s)</w:t>
            </w:r>
            <w:r>
              <w:rPr>
                <w:rFonts w:ascii="Arial" w:cs="Arial" w:eastAsia="Arial" w:hAnsi="Arial"/>
                <w:sz w:val="6"/>
                <w:szCs w:val="6"/>
                <w:b w:val="1"/>
                <w:bCs w:val="1"/>
                <w:color w:val="auto"/>
              </w:rPr>
              <w:t>(1)</w:t>
            </w: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Book Value</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315</w:t>
            </w:r>
          </w:p>
        </w:tc>
        <w:tc>
          <w:tcPr>
            <w:tcW w:w="1420" w:type="dxa"/>
            <w:vAlign w:val="bottom"/>
            <w:gridSpan w:val="2"/>
          </w:tcPr>
          <w:p>
            <w:pPr>
              <w:spacing w:after="0"/>
              <w:rPr>
                <w:sz w:val="20"/>
                <w:szCs w:val="20"/>
                <w:color w:val="auto"/>
              </w:rPr>
            </w:pPr>
            <w:r>
              <w:rPr>
                <w:rFonts w:ascii="Arial" w:cs="Arial" w:eastAsia="Arial" w:hAnsi="Arial"/>
                <w:sz w:val="7"/>
                <w:szCs w:val="7"/>
                <w:color w:val="auto"/>
              </w:rPr>
              <w:t>West 33rd Street - The Olivia</w:t>
            </w:r>
          </w:p>
        </w:tc>
        <w:tc>
          <w:tcPr>
            <w:tcW w:w="520" w:type="dxa"/>
            <w:vAlign w:val="bottom"/>
            <w:gridSpan w:val="2"/>
          </w:tcPr>
          <w:p>
            <w:pPr>
              <w:jc w:val="center"/>
              <w:ind w:left="84"/>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7"/>
                <w:szCs w:val="7"/>
                <w:color w:val="auto"/>
              </w:rPr>
              <w:t>Penn Station</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222,855</w:t>
            </w:r>
          </w:p>
        </w:tc>
        <w:tc>
          <w:tcPr>
            <w:tcW w:w="100" w:type="dxa"/>
            <w:vAlign w:val="bottom"/>
          </w:tcPr>
          <w:p>
            <w:pPr>
              <w:spacing w:after="0"/>
              <w:rPr>
                <w:sz w:val="15"/>
                <w:szCs w:val="15"/>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333</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92.8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95.2</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89.5</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91.0</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15,001,116</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4,059</w:t>
            </w:r>
          </w:p>
        </w:tc>
        <w:tc>
          <w:tcPr>
            <w:tcW w:w="1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177,908,950</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309</w:t>
            </w:r>
          </w:p>
        </w:tc>
        <w:tc>
          <w:tcPr>
            <w:tcW w:w="0" w:type="dxa"/>
            <w:vAlign w:val="bottom"/>
          </w:tcPr>
          <w:p>
            <w:pPr>
              <w:spacing w:after="0"/>
              <w:rPr>
                <w:sz w:val="1"/>
                <w:szCs w:val="1"/>
                <w:color w:val="auto"/>
              </w:rPr>
            </w:pPr>
          </w:p>
        </w:tc>
      </w:tr>
      <w:tr>
        <w:trPr>
          <w:trHeight w:val="192"/>
        </w:trPr>
        <w:tc>
          <w:tcPr>
            <w:tcW w:w="1580" w:type="dxa"/>
            <w:vAlign w:val="bottom"/>
            <w:gridSpan w:val="4"/>
          </w:tcPr>
          <w:p>
            <w:pPr>
              <w:ind w:left="20"/>
              <w:spacing w:after="0"/>
              <w:rPr>
                <w:sz w:val="20"/>
                <w:szCs w:val="20"/>
                <w:color w:val="auto"/>
              </w:rPr>
            </w:pPr>
            <w:r>
              <w:rPr>
                <w:rFonts w:ascii="Arial" w:cs="Arial" w:eastAsia="Arial" w:hAnsi="Arial"/>
                <w:sz w:val="7"/>
                <w:szCs w:val="7"/>
                <w:b w:val="1"/>
                <w:bCs w:val="1"/>
                <w:color w:val="auto"/>
              </w:rPr>
              <w:t>Total Residential Properties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222,855</w:t>
            </w:r>
          </w:p>
        </w:tc>
        <w:tc>
          <w:tcPr>
            <w:tcW w:w="100" w:type="dxa"/>
            <w:vAlign w:val="bottom"/>
          </w:tcPr>
          <w:p>
            <w:pPr>
              <w:spacing w:after="0"/>
              <w:rPr>
                <w:sz w:val="16"/>
                <w:szCs w:val="16"/>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7"/>
                <w:szCs w:val="7"/>
                <w:b w:val="1"/>
                <w:bCs w:val="1"/>
                <w:color w:val="auto"/>
              </w:rPr>
              <w:t>333</w:t>
            </w: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92.8%</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95.2%</w:t>
            </w:r>
          </w:p>
        </w:tc>
        <w:tc>
          <w:tcPr>
            <w:tcW w:w="460" w:type="dxa"/>
            <w:vAlign w:val="bottom"/>
            <w:gridSpan w:val="2"/>
          </w:tcPr>
          <w:p>
            <w:pPr>
              <w:jc w:val="right"/>
              <w:spacing w:after="0"/>
              <w:rPr>
                <w:sz w:val="20"/>
                <w:szCs w:val="20"/>
                <w:color w:val="auto"/>
              </w:rPr>
            </w:pPr>
            <w:r>
              <w:rPr>
                <w:rFonts w:ascii="Arial" w:cs="Arial" w:eastAsia="Arial" w:hAnsi="Arial"/>
                <w:sz w:val="7"/>
                <w:szCs w:val="7"/>
                <w:b w:val="1"/>
                <w:bCs w:val="1"/>
                <w:color w:val="auto"/>
              </w:rPr>
              <w:t>89.5%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7"/>
                <w:szCs w:val="7"/>
                <w:b w:val="1"/>
                <w:bCs w:val="1"/>
                <w:color w:val="auto"/>
              </w:rPr>
              <w:t>91.0%</w:t>
            </w:r>
          </w:p>
        </w:tc>
        <w:tc>
          <w:tcPr>
            <w:tcW w:w="100" w:type="dxa"/>
            <w:vAlign w:val="bottom"/>
          </w:tcPr>
          <w:p>
            <w:pPr>
              <w:spacing w:after="0"/>
              <w:rPr>
                <w:sz w:val="16"/>
                <w:szCs w:val="16"/>
                <w:color w:val="auto"/>
              </w:rPr>
            </w:pPr>
          </w:p>
        </w:tc>
        <w:tc>
          <w:tcPr>
            <w:tcW w:w="400" w:type="dxa"/>
            <w:vAlign w:val="bottom"/>
          </w:tcPr>
          <w:p>
            <w:pPr>
              <w:jc w:val="right"/>
              <w:ind w:right="4"/>
              <w:spacing w:after="0"/>
              <w:rPr>
                <w:sz w:val="20"/>
                <w:szCs w:val="20"/>
                <w:color w:val="auto"/>
              </w:rPr>
            </w:pPr>
            <w:r>
              <w:rPr>
                <w:rFonts w:ascii="Arial" w:cs="Arial" w:eastAsia="Arial" w:hAnsi="Arial"/>
                <w:sz w:val="7"/>
                <w:szCs w:val="7"/>
                <w:b w:val="1"/>
                <w:bCs w:val="1"/>
                <w:color w:val="auto"/>
              </w:rPr>
              <w:t>96.4%</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15,001,116</w:t>
            </w: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840" w:type="dxa"/>
            <w:vAlign w:val="bottom"/>
          </w:tcPr>
          <w:p>
            <w:pPr>
              <w:jc w:val="right"/>
              <w:ind w:right="64"/>
              <w:spacing w:after="0"/>
              <w:rPr>
                <w:sz w:val="20"/>
                <w:szCs w:val="20"/>
                <w:color w:val="auto"/>
              </w:rPr>
            </w:pPr>
            <w:r>
              <w:rPr>
                <w:rFonts w:ascii="Arial" w:cs="Arial" w:eastAsia="Arial" w:hAnsi="Arial"/>
                <w:sz w:val="7"/>
                <w:szCs w:val="7"/>
                <w:b w:val="1"/>
                <w:bCs w:val="1"/>
                <w:color w:val="auto"/>
              </w:rPr>
              <w:t>4,059</w:t>
            </w:r>
          </w:p>
        </w:tc>
        <w:tc>
          <w:tcPr>
            <w:tcW w:w="120" w:type="dxa"/>
            <w:vAlign w:val="bottom"/>
          </w:tcPr>
          <w:p>
            <w:pPr>
              <w:jc w:val="right"/>
              <w:ind w:right="24"/>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177,908,950</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309</w:t>
            </w: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580" w:type="dxa"/>
            <w:vAlign w:val="bottom"/>
            <w:gridSpan w:val="4"/>
          </w:tcPr>
          <w:p>
            <w:pPr>
              <w:ind w:left="20"/>
              <w:spacing w:after="0"/>
              <w:rPr>
                <w:sz w:val="20"/>
                <w:szCs w:val="20"/>
                <w:color w:val="auto"/>
              </w:rPr>
            </w:pPr>
            <w:r>
              <w:rPr>
                <w:rFonts w:ascii="Arial" w:cs="Arial" w:eastAsia="Arial" w:hAnsi="Arial"/>
                <w:sz w:val="7"/>
                <w:szCs w:val="7"/>
                <w:color w:val="auto"/>
              </w:rPr>
              <w:t>(1) Calculated based on occupied units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39</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sectPr>
      </w:pPr>
    </w:p>
    <w:bookmarkStart w:id="56" w:name="page57"/>
    <w:bookmarkEnd w:id="5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LARGEST TENANTS BY SQUARE FEET 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 and Suburban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jc w:val="center"/>
              <w:ind w:right="16"/>
              <w:spacing w:after="0"/>
              <w:rPr>
                <w:sz w:val="20"/>
                <w:szCs w:val="20"/>
                <w:color w:val="auto"/>
              </w:rPr>
            </w:pPr>
            <w:r>
              <w:rPr>
                <w:rFonts w:ascii="Arial" w:cs="Arial" w:eastAsia="Arial" w:hAnsi="Arial"/>
                <w:sz w:val="9"/>
                <w:szCs w:val="9"/>
                <w:b w:val="1"/>
                <w:bCs w:val="1"/>
                <w:color w:val="auto"/>
                <w:w w:val="94"/>
              </w:rPr>
              <w:t>% of</w:t>
            </w:r>
          </w:p>
        </w:tc>
        <w:tc>
          <w:tcPr>
            <w:tcW w:w="760" w:type="dxa"/>
            <w:vAlign w:val="bottom"/>
          </w:tcPr>
          <w:p>
            <w:pPr>
              <w:spacing w:after="0"/>
              <w:rPr>
                <w:sz w:val="10"/>
                <w:szCs w:val="10"/>
                <w:color w:val="auto"/>
              </w:rPr>
            </w:pPr>
          </w:p>
        </w:tc>
      </w:tr>
      <w:tr>
        <w:trPr>
          <w:trHeight w:val="219"/>
        </w:trPr>
        <w:tc>
          <w:tcPr>
            <w:tcW w:w="2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4"/>
              </w:rPr>
              <w:t>% of</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4"/>
              </w:rPr>
              <w:t>SLG Share of</w:t>
            </w:r>
          </w:p>
        </w:tc>
        <w:tc>
          <w:tcPr>
            <w:tcW w:w="800" w:type="dxa"/>
            <w:vAlign w:val="bottom"/>
          </w:tcPr>
          <w:p>
            <w:pPr>
              <w:jc w:val="center"/>
              <w:ind w:right="16"/>
              <w:spacing w:after="0"/>
              <w:rPr>
                <w:sz w:val="20"/>
                <w:szCs w:val="20"/>
                <w:color w:val="auto"/>
              </w:rPr>
            </w:pPr>
            <w:r>
              <w:rPr>
                <w:rFonts w:ascii="Arial" w:cs="Arial" w:eastAsia="Arial" w:hAnsi="Arial"/>
                <w:sz w:val="9"/>
                <w:szCs w:val="9"/>
                <w:b w:val="1"/>
                <w:bCs w:val="1"/>
                <w:color w:val="auto"/>
                <w:w w:val="94"/>
              </w:rPr>
              <w:t>SLG Share of</w:t>
            </w:r>
          </w:p>
        </w:tc>
        <w:tc>
          <w:tcPr>
            <w:tcW w:w="760" w:type="dxa"/>
            <w:vAlign w:val="bottom"/>
          </w:tcPr>
          <w:p>
            <w:pPr>
              <w:spacing w:after="0"/>
              <w:rPr>
                <w:sz w:val="19"/>
                <w:szCs w:val="19"/>
                <w:color w:val="auto"/>
              </w:rPr>
            </w:pPr>
          </w:p>
        </w:tc>
      </w:tr>
      <w:tr>
        <w:trPr>
          <w:trHeight w:val="219"/>
        </w:trPr>
        <w:tc>
          <w:tcPr>
            <w:tcW w:w="2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jc w:val="center"/>
              <w:ind w:left="376"/>
              <w:spacing w:after="0"/>
              <w:rPr>
                <w:sz w:val="20"/>
                <w:szCs w:val="20"/>
                <w:color w:val="auto"/>
              </w:rPr>
            </w:pPr>
            <w:r>
              <w:rPr>
                <w:rFonts w:ascii="Arial" w:cs="Arial" w:eastAsia="Arial" w:hAnsi="Arial"/>
                <w:sz w:val="9"/>
                <w:szCs w:val="9"/>
                <w:b w:val="1"/>
                <w:bCs w:val="1"/>
                <w:color w:val="auto"/>
              </w:rPr>
              <w:t>Lease</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2"/>
              </w:rPr>
              <w:t>Total</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5"/>
              </w:rPr>
              <w:t>Annualized</w:t>
            </w: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Rent PSF</w:t>
            </w: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5"/>
              </w:rPr>
              <w:t>Annualized</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5"/>
              </w:rPr>
              <w:t>Annualized</w:t>
            </w:r>
          </w:p>
        </w:tc>
        <w:tc>
          <w:tcPr>
            <w:tcW w:w="800" w:type="dxa"/>
            <w:vAlign w:val="bottom"/>
          </w:tcPr>
          <w:p>
            <w:pPr>
              <w:jc w:val="center"/>
              <w:ind w:right="16"/>
              <w:spacing w:after="0"/>
              <w:rPr>
                <w:sz w:val="20"/>
                <w:szCs w:val="20"/>
                <w:color w:val="auto"/>
              </w:rPr>
            </w:pPr>
            <w:r>
              <w:rPr>
                <w:rFonts w:ascii="Arial" w:cs="Arial" w:eastAsia="Arial" w:hAnsi="Arial"/>
                <w:sz w:val="9"/>
                <w:szCs w:val="9"/>
                <w:b w:val="1"/>
                <w:bCs w:val="1"/>
                <w:color w:val="auto"/>
                <w:w w:val="95"/>
              </w:rPr>
              <w:t>Annualized</w:t>
            </w:r>
          </w:p>
        </w:tc>
        <w:tc>
          <w:tcPr>
            <w:tcW w:w="760" w:type="dxa"/>
            <w:vAlign w:val="bottom"/>
          </w:tcPr>
          <w:p>
            <w:pPr>
              <w:jc w:val="center"/>
              <w:ind w:right="16"/>
              <w:spacing w:after="0"/>
              <w:rPr>
                <w:sz w:val="20"/>
                <w:szCs w:val="20"/>
                <w:color w:val="auto"/>
              </w:rPr>
            </w:pPr>
            <w:r>
              <w:rPr>
                <w:rFonts w:ascii="Arial" w:cs="Arial" w:eastAsia="Arial" w:hAnsi="Arial"/>
                <w:sz w:val="9"/>
                <w:szCs w:val="9"/>
                <w:b w:val="1"/>
                <w:bCs w:val="1"/>
                <w:color w:val="auto"/>
                <w:w w:val="99"/>
              </w:rPr>
              <w:t>Credit</w:t>
            </w:r>
          </w:p>
        </w:tc>
      </w:tr>
      <w:tr>
        <w:trPr>
          <w:trHeight w:val="142"/>
        </w:trPr>
        <w:tc>
          <w:tcPr>
            <w:tcW w:w="2180" w:type="dxa"/>
            <w:vAlign w:val="bottom"/>
          </w:tcPr>
          <w:p>
            <w:pPr>
              <w:ind w:left="760"/>
              <w:spacing w:after="0"/>
              <w:rPr>
                <w:sz w:val="20"/>
                <w:szCs w:val="20"/>
                <w:color w:val="auto"/>
              </w:rPr>
            </w:pPr>
            <w:r>
              <w:rPr>
                <w:rFonts w:ascii="Arial" w:cs="Arial" w:eastAsia="Arial" w:hAnsi="Arial"/>
                <w:sz w:val="9"/>
                <w:szCs w:val="9"/>
                <w:b w:val="1"/>
                <w:bCs w:val="1"/>
                <w:color w:val="auto"/>
              </w:rPr>
              <w:t>Tenant Name</w:t>
            </w:r>
          </w:p>
        </w:tc>
        <w:tc>
          <w:tcPr>
            <w:tcW w:w="1780" w:type="dxa"/>
            <w:vAlign w:val="bottom"/>
          </w:tcPr>
          <w:p>
            <w:pPr>
              <w:ind w:left="860"/>
              <w:spacing w:after="0"/>
              <w:rPr>
                <w:sz w:val="20"/>
                <w:szCs w:val="20"/>
                <w:color w:val="auto"/>
              </w:rPr>
            </w:pPr>
            <w:r>
              <w:rPr>
                <w:rFonts w:ascii="Arial" w:cs="Arial" w:eastAsia="Arial" w:hAnsi="Arial"/>
                <w:sz w:val="9"/>
                <w:szCs w:val="9"/>
                <w:b w:val="1"/>
                <w:bCs w:val="1"/>
                <w:color w:val="auto"/>
              </w:rPr>
              <w:t>Property</w:t>
            </w:r>
          </w:p>
        </w:tc>
        <w:tc>
          <w:tcPr>
            <w:tcW w:w="1120" w:type="dxa"/>
            <w:vAlign w:val="bottom"/>
          </w:tcPr>
          <w:p>
            <w:pPr>
              <w:jc w:val="center"/>
              <w:ind w:left="376"/>
              <w:spacing w:after="0"/>
              <w:rPr>
                <w:sz w:val="20"/>
                <w:szCs w:val="20"/>
                <w:color w:val="auto"/>
              </w:rPr>
            </w:pPr>
            <w:r>
              <w:rPr>
                <w:rFonts w:ascii="Arial" w:cs="Arial" w:eastAsia="Arial" w:hAnsi="Arial"/>
                <w:sz w:val="9"/>
                <w:szCs w:val="9"/>
                <w:b w:val="1"/>
                <w:bCs w:val="1"/>
                <w:color w:val="auto"/>
                <w:w w:val="95"/>
              </w:rPr>
              <w:t>Expiration</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6"/>
              </w:rPr>
              <w:t>Square Feet</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6"/>
              </w:rPr>
              <w:t>Cash Rent ($)</w:t>
            </w: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Annualized</w:t>
            </w: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8"/>
              </w:rPr>
              <w:t>Cash Rent</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9"/>
              </w:rPr>
              <w:t>Cash Rent ($)</w:t>
            </w:r>
          </w:p>
        </w:tc>
        <w:tc>
          <w:tcPr>
            <w:tcW w:w="800" w:type="dxa"/>
            <w:vAlign w:val="bottom"/>
          </w:tcPr>
          <w:p>
            <w:pPr>
              <w:jc w:val="center"/>
              <w:ind w:right="16"/>
              <w:spacing w:after="0"/>
              <w:rPr>
                <w:sz w:val="20"/>
                <w:szCs w:val="20"/>
                <w:color w:val="auto"/>
              </w:rPr>
            </w:pPr>
            <w:r>
              <w:rPr>
                <w:rFonts w:ascii="Arial" w:cs="Arial" w:eastAsia="Arial" w:hAnsi="Arial"/>
                <w:sz w:val="9"/>
                <w:szCs w:val="9"/>
                <w:b w:val="1"/>
                <w:bCs w:val="1"/>
                <w:color w:val="auto"/>
                <w:w w:val="94"/>
              </w:rPr>
              <w:t>Cash Rent</w:t>
            </w:r>
          </w:p>
        </w:tc>
        <w:tc>
          <w:tcPr>
            <w:tcW w:w="760" w:type="dxa"/>
            <w:vAlign w:val="bottom"/>
          </w:tcPr>
          <w:p>
            <w:pPr>
              <w:jc w:val="center"/>
              <w:ind w:right="36"/>
              <w:spacing w:after="0"/>
              <w:rPr>
                <w:sz w:val="20"/>
                <w:szCs w:val="20"/>
                <w:color w:val="auto"/>
              </w:rPr>
            </w:pPr>
            <w:r>
              <w:rPr>
                <w:rFonts w:ascii="Arial" w:cs="Arial" w:eastAsia="Arial" w:hAnsi="Arial"/>
                <w:sz w:val="9"/>
                <w:szCs w:val="9"/>
                <w:b w:val="1"/>
                <w:bCs w:val="1"/>
                <w:color w:val="auto"/>
                <w:w w:val="96"/>
              </w:rPr>
              <w:t>Rating (1)</w:t>
            </w:r>
          </w:p>
        </w:tc>
      </w:tr>
      <w:tr>
        <w:trPr>
          <w:trHeight w:val="127"/>
        </w:trPr>
        <w:tc>
          <w:tcPr>
            <w:tcW w:w="21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bl>
    <w:p>
      <w:pPr>
        <w:spacing w:after="0" w:line="145" w:lineRule="exact"/>
        <w:rPr>
          <w:sz w:val="20"/>
          <w:szCs w:val="20"/>
          <w:color w:val="auto"/>
        </w:rPr>
      </w:pPr>
    </w:p>
    <w:p>
      <w:pPr>
        <w:sectPr>
          <w:pgSz w:w="11900" w:h="16838" w:orient="portrait"/>
          <w:cols w:equalWidth="0" w:num="1">
            <w:col w:w="10120"/>
          </w:cols>
          <w:pgMar w:left="900" w:top="338" w:right="879" w:bottom="1440" w:gutter="0" w:footer="0" w:header="0"/>
        </w:sectPr>
      </w:pPr>
    </w:p>
    <w:tbl>
      <w:tblPr>
        <w:tblLayout w:type="fixed"/>
        <w:tblInd w:w="20" w:type="dxa"/>
        <w:tblCellMar>
          <w:top w:w="0" w:type="dxa"/>
          <w:left w:w="0" w:type="dxa"/>
          <w:bottom w:w="0" w:type="dxa"/>
          <w:right w:w="0" w:type="dxa"/>
        </w:tblCellMar>
      </w:tblPr>
      <w:tr>
        <w:trPr>
          <w:trHeight w:val="103"/>
        </w:trPr>
        <w:tc>
          <w:tcPr>
            <w:tcW w:w="1980" w:type="dxa"/>
            <w:vAlign w:val="bottom"/>
            <w:vMerge w:val="restart"/>
          </w:tcPr>
          <w:p>
            <w:pPr>
              <w:spacing w:after="0"/>
              <w:rPr>
                <w:sz w:val="20"/>
                <w:szCs w:val="20"/>
                <w:color w:val="auto"/>
              </w:rPr>
            </w:pPr>
            <w:r>
              <w:rPr>
                <w:rFonts w:ascii="Arial" w:cs="Arial" w:eastAsia="Arial" w:hAnsi="Arial"/>
                <w:sz w:val="9"/>
                <w:szCs w:val="9"/>
                <w:color w:val="auto"/>
              </w:rPr>
              <w:t>Credit Suisse Securities (USA), Inc.</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 Madison Avenue, 11 Madison Avenue &amp;</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6"/>
              </w:rPr>
              <w:t>2017, 2019,</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0" w:type="dxa"/>
            <w:vAlign w:val="bottom"/>
            <w:gridSpan w:val="2"/>
            <w:vMerge w:val="restart"/>
          </w:tcPr>
          <w:p>
            <w:pPr>
              <w:ind w:left="80"/>
              <w:spacing w:after="0"/>
              <w:rPr>
                <w:sz w:val="20"/>
                <w:szCs w:val="20"/>
                <w:color w:val="auto"/>
              </w:rPr>
            </w:pPr>
            <w:r>
              <w:rPr>
                <w:rFonts w:ascii="Arial" w:cs="Arial" w:eastAsia="Arial" w:hAnsi="Arial"/>
                <w:sz w:val="9"/>
                <w:szCs w:val="9"/>
                <w:color w:val="auto"/>
              </w:rPr>
              <w:t>1055 Washington Blvd</w:t>
            </w:r>
          </w:p>
        </w:tc>
        <w:tc>
          <w:tcPr>
            <w:tcW w:w="600" w:type="dxa"/>
            <w:vAlign w:val="bottom"/>
            <w:vMerge w:val="restart"/>
          </w:tcPr>
          <w:p>
            <w:pPr>
              <w:jc w:val="center"/>
              <w:ind w:left="16"/>
              <w:spacing w:after="0"/>
              <w:rPr>
                <w:sz w:val="20"/>
                <w:szCs w:val="20"/>
                <w:color w:val="auto"/>
              </w:rPr>
            </w:pPr>
            <w:r>
              <w:rPr>
                <w:rFonts w:ascii="Arial" w:cs="Arial" w:eastAsia="Arial" w:hAnsi="Arial"/>
                <w:sz w:val="9"/>
                <w:szCs w:val="9"/>
                <w:color w:val="auto"/>
                <w:w w:val="97"/>
              </w:rPr>
              <w:t>2020 &amp; 2037</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Viacom International, Inc.</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1515 Broadway</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2031</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Penguin Random House, Inc.</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1745 Broadway</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7"/>
              </w:rPr>
              <w:t>2018 &amp; 2023</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Sony Corporation</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11 Madison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2031</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Debevoise &amp; Plimpton, LLP</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919</w:t>
            </w:r>
          </w:p>
        </w:tc>
        <w:tc>
          <w:tcPr>
            <w:tcW w:w="2160" w:type="dxa"/>
            <w:vAlign w:val="bottom"/>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2021</w:t>
            </w:r>
          </w:p>
        </w:tc>
        <w:tc>
          <w:tcPr>
            <w:tcW w:w="0" w:type="dxa"/>
            <w:vAlign w:val="bottom"/>
          </w:tcPr>
          <w:p>
            <w:pPr>
              <w:spacing w:after="0"/>
              <w:rPr>
                <w:sz w:val="1"/>
                <w:szCs w:val="1"/>
                <w:color w:val="auto"/>
              </w:rPr>
            </w:pPr>
          </w:p>
        </w:tc>
      </w:tr>
      <w:tr>
        <w:trPr>
          <w:trHeight w:val="179"/>
        </w:trPr>
        <w:tc>
          <w:tcPr>
            <w:tcW w:w="1980" w:type="dxa"/>
            <w:vAlign w:val="bottom"/>
            <w:vMerge w:val="restart"/>
          </w:tcPr>
          <w:p>
            <w:pPr>
              <w:spacing w:after="0"/>
              <w:rPr>
                <w:sz w:val="20"/>
                <w:szCs w:val="20"/>
                <w:color w:val="auto"/>
              </w:rPr>
            </w:pPr>
            <w:r>
              <w:rPr>
                <w:rFonts w:ascii="Arial" w:cs="Arial" w:eastAsia="Arial" w:hAnsi="Arial"/>
                <w:sz w:val="9"/>
                <w:szCs w:val="9"/>
                <w:color w:val="auto"/>
              </w:rPr>
              <w:t>The City of New York</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16 Court Street, 100 Church Street &amp;</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6"/>
              </w:rPr>
              <w:t>2017, 2020,</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420</w:t>
            </w:r>
          </w:p>
        </w:tc>
        <w:tc>
          <w:tcPr>
            <w:tcW w:w="2160" w:type="dxa"/>
            <w:vAlign w:val="bottom"/>
            <w:vMerge w:val="restart"/>
          </w:tcPr>
          <w:p>
            <w:pPr>
              <w:ind w:left="20"/>
              <w:spacing w:after="0"/>
              <w:rPr>
                <w:sz w:val="20"/>
                <w:szCs w:val="20"/>
                <w:color w:val="auto"/>
              </w:rPr>
            </w:pPr>
            <w:r>
              <w:rPr>
                <w:rFonts w:ascii="Arial" w:cs="Arial" w:eastAsia="Arial" w:hAnsi="Arial"/>
                <w:sz w:val="9"/>
                <w:szCs w:val="9"/>
                <w:color w:val="auto"/>
              </w:rPr>
              <w:t>Lexington Avenue</w:t>
            </w:r>
          </w:p>
        </w:tc>
        <w:tc>
          <w:tcPr>
            <w:tcW w:w="600" w:type="dxa"/>
            <w:vAlign w:val="bottom"/>
            <w:vMerge w:val="restart"/>
          </w:tcPr>
          <w:p>
            <w:pPr>
              <w:jc w:val="center"/>
              <w:ind w:left="16"/>
              <w:spacing w:after="0"/>
              <w:rPr>
                <w:sz w:val="20"/>
                <w:szCs w:val="20"/>
                <w:color w:val="auto"/>
              </w:rPr>
            </w:pPr>
            <w:r>
              <w:rPr>
                <w:rFonts w:ascii="Arial" w:cs="Arial" w:eastAsia="Arial" w:hAnsi="Arial"/>
                <w:sz w:val="9"/>
                <w:szCs w:val="9"/>
                <w:color w:val="auto"/>
                <w:w w:val="97"/>
              </w:rPr>
              <w:t>2030 &amp; 2034</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1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Omnicom Group, Inc., Cardinia Real Estate</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220</w:t>
            </w:r>
          </w:p>
        </w:tc>
        <w:tc>
          <w:tcPr>
            <w:tcW w:w="2160" w:type="dxa"/>
            <w:vAlign w:val="bottom"/>
          </w:tcPr>
          <w:p>
            <w:pPr>
              <w:ind w:left="20"/>
              <w:spacing w:after="0"/>
              <w:rPr>
                <w:sz w:val="20"/>
                <w:szCs w:val="20"/>
                <w:color w:val="auto"/>
              </w:rPr>
            </w:pPr>
            <w:r>
              <w:rPr>
                <w:rFonts w:ascii="Arial" w:cs="Arial" w:eastAsia="Arial" w:hAnsi="Arial"/>
                <w:sz w:val="9"/>
                <w:szCs w:val="9"/>
                <w:color w:val="auto"/>
              </w:rPr>
              <w:t>East 42nd Street</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7"/>
              </w:rPr>
              <w:t>2017 &amp; 2032</w:t>
            </w:r>
          </w:p>
        </w:tc>
        <w:tc>
          <w:tcPr>
            <w:tcW w:w="0" w:type="dxa"/>
            <w:vAlign w:val="bottom"/>
          </w:tcPr>
          <w:p>
            <w:pPr>
              <w:spacing w:after="0"/>
              <w:rPr>
                <w:sz w:val="1"/>
                <w:szCs w:val="1"/>
                <w:color w:val="auto"/>
              </w:rPr>
            </w:pPr>
          </w:p>
        </w:tc>
      </w:tr>
      <w:tr>
        <w:trPr>
          <w:trHeight w:val="157"/>
        </w:trPr>
        <w:tc>
          <w:tcPr>
            <w:tcW w:w="1980" w:type="dxa"/>
            <w:vAlign w:val="bottom"/>
            <w:vMerge w:val="restart"/>
          </w:tcPr>
          <w:p>
            <w:pPr>
              <w:spacing w:after="0"/>
              <w:rPr>
                <w:sz w:val="20"/>
                <w:szCs w:val="20"/>
                <w:color w:val="auto"/>
              </w:rPr>
            </w:pPr>
            <w:r>
              <w:rPr>
                <w:rFonts w:ascii="Arial" w:cs="Arial" w:eastAsia="Arial" w:hAnsi="Arial"/>
                <w:sz w:val="9"/>
                <w:szCs w:val="9"/>
                <w:color w:val="auto"/>
              </w:rPr>
              <w:t>Citigroup, N.A.</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485</w:t>
            </w:r>
          </w:p>
        </w:tc>
        <w:tc>
          <w:tcPr>
            <w:tcW w:w="2160" w:type="dxa"/>
            <w:vAlign w:val="bottom"/>
          </w:tcPr>
          <w:p>
            <w:pPr>
              <w:ind w:left="20"/>
              <w:spacing w:after="0"/>
              <w:rPr>
                <w:sz w:val="20"/>
                <w:szCs w:val="20"/>
                <w:color w:val="auto"/>
              </w:rPr>
            </w:pPr>
            <w:r>
              <w:rPr>
                <w:rFonts w:ascii="Arial" w:cs="Arial" w:eastAsia="Arial" w:hAnsi="Arial"/>
                <w:sz w:val="9"/>
                <w:szCs w:val="9"/>
                <w:color w:val="auto"/>
              </w:rPr>
              <w:t>Lexington Avenue, 750 Third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7"/>
              </w:rPr>
              <w:t>2017, 2019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800</w:t>
            </w:r>
          </w:p>
        </w:tc>
        <w:tc>
          <w:tcPr>
            <w:tcW w:w="2160" w:type="dxa"/>
            <w:vAlign w:val="bottom"/>
            <w:vMerge w:val="restart"/>
          </w:tcPr>
          <w:p>
            <w:pPr>
              <w:ind w:left="20"/>
              <w:spacing w:after="0"/>
              <w:rPr>
                <w:sz w:val="20"/>
                <w:szCs w:val="20"/>
                <w:color w:val="auto"/>
              </w:rPr>
            </w:pPr>
            <w:r>
              <w:rPr>
                <w:rFonts w:ascii="Arial" w:cs="Arial" w:eastAsia="Arial" w:hAnsi="Arial"/>
                <w:sz w:val="9"/>
                <w:szCs w:val="9"/>
                <w:color w:val="auto"/>
              </w:rPr>
              <w:t>Third Avenue &amp; 750 Washington Blvd</w:t>
            </w:r>
          </w:p>
        </w:tc>
        <w:tc>
          <w:tcPr>
            <w:tcW w:w="600" w:type="dxa"/>
            <w:vAlign w:val="bottom"/>
            <w:vMerge w:val="restart"/>
          </w:tcPr>
          <w:p>
            <w:pPr>
              <w:jc w:val="center"/>
              <w:spacing w:after="0"/>
              <w:rPr>
                <w:sz w:val="20"/>
                <w:szCs w:val="20"/>
                <w:color w:val="auto"/>
              </w:rPr>
            </w:pPr>
            <w:r>
              <w:rPr>
                <w:rFonts w:ascii="Arial" w:cs="Arial" w:eastAsia="Arial" w:hAnsi="Arial"/>
                <w:sz w:val="9"/>
                <w:szCs w:val="9"/>
                <w:color w:val="auto"/>
                <w:w w:val="99"/>
              </w:rPr>
              <w:t>2027</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1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Ralph Lauren Corporation</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625</w:t>
            </w:r>
          </w:p>
        </w:tc>
        <w:tc>
          <w:tcPr>
            <w:tcW w:w="2160" w:type="dxa"/>
            <w:vAlign w:val="bottom"/>
          </w:tcPr>
          <w:p>
            <w:pPr>
              <w:ind w:left="20"/>
              <w:spacing w:after="0"/>
              <w:rPr>
                <w:sz w:val="20"/>
                <w:szCs w:val="20"/>
                <w:color w:val="auto"/>
              </w:rPr>
            </w:pPr>
            <w:r>
              <w:rPr>
                <w:rFonts w:ascii="Arial" w:cs="Arial" w:eastAsia="Arial" w:hAnsi="Arial"/>
                <w:sz w:val="9"/>
                <w:szCs w:val="9"/>
                <w:color w:val="auto"/>
              </w:rPr>
              <w:t>Madison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2019</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Advance Magazine Group, Fairchild Publications</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750</w:t>
            </w:r>
          </w:p>
        </w:tc>
        <w:tc>
          <w:tcPr>
            <w:tcW w:w="2160" w:type="dxa"/>
            <w:vAlign w:val="bottom"/>
          </w:tcPr>
          <w:p>
            <w:pPr>
              <w:ind w:left="20"/>
              <w:spacing w:after="0"/>
              <w:rPr>
                <w:sz w:val="20"/>
                <w:szCs w:val="20"/>
                <w:color w:val="auto"/>
              </w:rPr>
            </w:pPr>
            <w:r>
              <w:rPr>
                <w:rFonts w:ascii="Arial" w:cs="Arial" w:eastAsia="Arial" w:hAnsi="Arial"/>
                <w:sz w:val="9"/>
                <w:szCs w:val="9"/>
                <w:color w:val="auto"/>
              </w:rPr>
              <w:t>Third Avenue &amp; 485 Lexington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2021</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C.B.S. Broadcasting, Inc.</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555</w:t>
            </w:r>
          </w:p>
        </w:tc>
        <w:tc>
          <w:tcPr>
            <w:tcW w:w="2160" w:type="dxa"/>
            <w:vAlign w:val="bottom"/>
          </w:tcPr>
          <w:p>
            <w:pPr>
              <w:ind w:left="20"/>
              <w:spacing w:after="0"/>
              <w:rPr>
                <w:sz w:val="20"/>
                <w:szCs w:val="20"/>
                <w:color w:val="auto"/>
              </w:rPr>
            </w:pPr>
            <w:r>
              <w:rPr>
                <w:rFonts w:ascii="Arial" w:cs="Arial" w:eastAsia="Arial" w:hAnsi="Arial"/>
                <w:sz w:val="9"/>
                <w:szCs w:val="9"/>
                <w:color w:val="auto"/>
              </w:rPr>
              <w:t>West 57th Street</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2023</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Metro-North Commuter Railroad Company</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110</w:t>
            </w:r>
          </w:p>
        </w:tc>
        <w:tc>
          <w:tcPr>
            <w:tcW w:w="2160" w:type="dxa"/>
            <w:vAlign w:val="bottom"/>
          </w:tcPr>
          <w:p>
            <w:pPr>
              <w:ind w:left="20"/>
              <w:spacing w:after="0"/>
              <w:rPr>
                <w:sz w:val="20"/>
                <w:szCs w:val="20"/>
                <w:color w:val="auto"/>
              </w:rPr>
            </w:pPr>
            <w:r>
              <w:rPr>
                <w:rFonts w:ascii="Arial" w:cs="Arial" w:eastAsia="Arial" w:hAnsi="Arial"/>
                <w:sz w:val="9"/>
                <w:szCs w:val="9"/>
                <w:color w:val="auto"/>
              </w:rPr>
              <w:t>East 42nd Street &amp; 420 Lexington Avenue</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7"/>
              </w:rPr>
              <w:t>2021 &amp; 2034</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Schulte, Roth &amp; Zabel LLP</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919</w:t>
            </w:r>
          </w:p>
        </w:tc>
        <w:tc>
          <w:tcPr>
            <w:tcW w:w="2160" w:type="dxa"/>
            <w:vAlign w:val="bottom"/>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2036</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9"/>
                <w:szCs w:val="9"/>
                <w:color w:val="auto"/>
              </w:rPr>
              <w:t>HF Management Services LLC</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100</w:t>
            </w:r>
          </w:p>
        </w:tc>
        <w:tc>
          <w:tcPr>
            <w:tcW w:w="2160" w:type="dxa"/>
            <w:vAlign w:val="bottom"/>
          </w:tcPr>
          <w:p>
            <w:pPr>
              <w:ind w:left="20"/>
              <w:spacing w:after="0"/>
              <w:rPr>
                <w:sz w:val="20"/>
                <w:szCs w:val="20"/>
                <w:color w:val="auto"/>
              </w:rPr>
            </w:pPr>
            <w:r>
              <w:rPr>
                <w:rFonts w:ascii="Arial" w:cs="Arial" w:eastAsia="Arial" w:hAnsi="Arial"/>
                <w:sz w:val="9"/>
                <w:szCs w:val="9"/>
                <w:color w:val="auto"/>
              </w:rPr>
              <w:t>Church Street</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2032</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BMW of Manhattan</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555</w:t>
            </w:r>
          </w:p>
        </w:tc>
        <w:tc>
          <w:tcPr>
            <w:tcW w:w="2160" w:type="dxa"/>
            <w:vAlign w:val="bottom"/>
          </w:tcPr>
          <w:p>
            <w:pPr>
              <w:ind w:left="20"/>
              <w:spacing w:after="0"/>
              <w:rPr>
                <w:sz w:val="20"/>
                <w:szCs w:val="20"/>
                <w:color w:val="auto"/>
              </w:rPr>
            </w:pPr>
            <w:r>
              <w:rPr>
                <w:rFonts w:ascii="Arial" w:cs="Arial" w:eastAsia="Arial" w:hAnsi="Arial"/>
                <w:sz w:val="9"/>
                <w:szCs w:val="9"/>
                <w:color w:val="auto"/>
              </w:rPr>
              <w:t>West 57th Street</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2022</w:t>
            </w:r>
          </w:p>
        </w:tc>
        <w:tc>
          <w:tcPr>
            <w:tcW w:w="0" w:type="dxa"/>
            <w:vAlign w:val="bottom"/>
          </w:tcPr>
          <w:p>
            <w:pPr>
              <w:spacing w:after="0"/>
              <w:rPr>
                <w:sz w:val="1"/>
                <w:szCs w:val="1"/>
                <w:color w:val="auto"/>
              </w:rPr>
            </w:pPr>
          </w:p>
        </w:tc>
      </w:tr>
      <w:tr>
        <w:trPr>
          <w:trHeight w:val="157"/>
        </w:trPr>
        <w:tc>
          <w:tcPr>
            <w:tcW w:w="1980" w:type="dxa"/>
            <w:vAlign w:val="bottom"/>
            <w:vMerge w:val="restart"/>
          </w:tcPr>
          <w:p>
            <w:pPr>
              <w:spacing w:after="0"/>
              <w:rPr>
                <w:sz w:val="20"/>
                <w:szCs w:val="20"/>
                <w:color w:val="auto"/>
              </w:rPr>
            </w:pPr>
            <w:r>
              <w:rPr>
                <w:rFonts w:ascii="Arial" w:cs="Arial" w:eastAsia="Arial" w:hAnsi="Arial"/>
                <w:sz w:val="9"/>
                <w:szCs w:val="9"/>
                <w:color w:val="auto"/>
              </w:rPr>
              <w:t>The City University of New York - CUNY</w:t>
            </w: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555</w:t>
            </w:r>
          </w:p>
        </w:tc>
        <w:tc>
          <w:tcPr>
            <w:tcW w:w="2160" w:type="dxa"/>
            <w:vAlign w:val="bottom"/>
            <w:vMerge w:val="restart"/>
          </w:tcPr>
          <w:p>
            <w:pPr>
              <w:ind w:left="20"/>
              <w:spacing w:after="0"/>
              <w:rPr>
                <w:sz w:val="20"/>
                <w:szCs w:val="20"/>
                <w:color w:val="auto"/>
              </w:rPr>
            </w:pPr>
            <w:r>
              <w:rPr>
                <w:rFonts w:ascii="Arial" w:cs="Arial" w:eastAsia="Arial" w:hAnsi="Arial"/>
                <w:sz w:val="9"/>
                <w:szCs w:val="9"/>
                <w:color w:val="auto"/>
              </w:rPr>
              <w:t>West 57th Street &amp; 16 Court Street</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7"/>
              </w:rPr>
              <w:t>2020, 2024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160" w:type="dxa"/>
            <w:vAlign w:val="bottom"/>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Arial" w:cs="Arial" w:eastAsia="Arial" w:hAnsi="Arial"/>
                <w:sz w:val="9"/>
                <w:szCs w:val="9"/>
                <w:color w:val="auto"/>
                <w:w w:val="99"/>
              </w:rPr>
              <w:t>2030</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Bloomberg LP</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919</w:t>
            </w:r>
          </w:p>
        </w:tc>
        <w:tc>
          <w:tcPr>
            <w:tcW w:w="2160" w:type="dxa"/>
            <w:vAlign w:val="bottom"/>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2029</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9"/>
                <w:szCs w:val="9"/>
                <w:color w:val="auto"/>
              </w:rPr>
              <w:t>WME IMG, LLC</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11 Madison Avenue &amp; 304 Park Avenue</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7"/>
              </w:rPr>
              <w:t>2028 &amp; 2030</w:t>
            </w:r>
          </w:p>
        </w:tc>
        <w:tc>
          <w:tcPr>
            <w:tcW w:w="0" w:type="dxa"/>
            <w:vAlign w:val="bottom"/>
          </w:tcPr>
          <w:p>
            <w:pPr>
              <w:spacing w:after="0"/>
              <w:rPr>
                <w:sz w:val="1"/>
                <w:szCs w:val="1"/>
                <w:color w:val="auto"/>
              </w:rPr>
            </w:pPr>
          </w:p>
        </w:tc>
      </w:tr>
      <w:tr>
        <w:trPr>
          <w:trHeight w:val="179"/>
        </w:trPr>
        <w:tc>
          <w:tcPr>
            <w:tcW w:w="1980" w:type="dxa"/>
            <w:vAlign w:val="bottom"/>
            <w:vMerge w:val="restart"/>
          </w:tcPr>
          <w:p>
            <w:pPr>
              <w:spacing w:after="0"/>
              <w:rPr>
                <w:sz w:val="20"/>
                <w:szCs w:val="20"/>
                <w:color w:val="auto"/>
              </w:rPr>
            </w:pPr>
            <w:r>
              <w:rPr>
                <w:rFonts w:ascii="Arial" w:cs="Arial" w:eastAsia="Arial" w:hAnsi="Arial"/>
                <w:sz w:val="9"/>
                <w:szCs w:val="9"/>
                <w:color w:val="auto"/>
              </w:rPr>
              <w:t>Newmark &amp; Company Real Estate Inc.</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125</w:t>
            </w:r>
          </w:p>
        </w:tc>
        <w:tc>
          <w:tcPr>
            <w:tcW w:w="2160" w:type="dxa"/>
            <w:vAlign w:val="bottom"/>
          </w:tcPr>
          <w:p>
            <w:pPr>
              <w:ind w:left="20"/>
              <w:spacing w:after="0"/>
              <w:rPr>
                <w:sz w:val="20"/>
                <w:szCs w:val="20"/>
                <w:color w:val="auto"/>
              </w:rPr>
            </w:pPr>
            <w:r>
              <w:rPr>
                <w:rFonts w:ascii="Arial" w:cs="Arial" w:eastAsia="Arial" w:hAnsi="Arial"/>
                <w:sz w:val="9"/>
                <w:szCs w:val="9"/>
                <w:color w:val="auto"/>
              </w:rPr>
              <w:t>Park Avenue, 110 East 42nd Street &amp;</w:t>
            </w:r>
          </w:p>
        </w:tc>
        <w:tc>
          <w:tcPr>
            <w:tcW w:w="600" w:type="dxa"/>
            <w:vAlign w:val="bottom"/>
          </w:tcPr>
          <w:p>
            <w:pPr>
              <w:jc w:val="center"/>
              <w:spacing w:after="0"/>
              <w:rPr>
                <w:sz w:val="20"/>
                <w:szCs w:val="20"/>
                <w:color w:val="auto"/>
              </w:rPr>
            </w:pPr>
            <w:r>
              <w:rPr>
                <w:rFonts w:ascii="Arial" w:cs="Arial" w:eastAsia="Arial" w:hAnsi="Arial"/>
                <w:sz w:val="9"/>
                <w:szCs w:val="9"/>
                <w:color w:val="auto"/>
                <w:w w:val="97"/>
              </w:rPr>
              <w:t>2016, 2026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680</w:t>
            </w:r>
          </w:p>
        </w:tc>
        <w:tc>
          <w:tcPr>
            <w:tcW w:w="2160" w:type="dxa"/>
            <w:vAlign w:val="bottom"/>
            <w:vMerge w:val="restart"/>
          </w:tcPr>
          <w:p>
            <w:pPr>
              <w:ind w:left="20"/>
              <w:spacing w:after="0"/>
              <w:rPr>
                <w:sz w:val="20"/>
                <w:szCs w:val="20"/>
                <w:color w:val="auto"/>
              </w:rPr>
            </w:pPr>
            <w:r>
              <w:rPr>
                <w:rFonts w:ascii="Arial" w:cs="Arial" w:eastAsia="Arial" w:hAnsi="Arial"/>
                <w:sz w:val="9"/>
                <w:szCs w:val="9"/>
                <w:color w:val="auto"/>
              </w:rPr>
              <w:t>Washington Blvd</w:t>
            </w:r>
          </w:p>
        </w:tc>
        <w:tc>
          <w:tcPr>
            <w:tcW w:w="600" w:type="dxa"/>
            <w:vAlign w:val="bottom"/>
            <w:vMerge w:val="restart"/>
          </w:tcPr>
          <w:p>
            <w:pPr>
              <w:jc w:val="center"/>
              <w:spacing w:after="0"/>
              <w:rPr>
                <w:sz w:val="20"/>
                <w:szCs w:val="20"/>
                <w:color w:val="auto"/>
              </w:rPr>
            </w:pPr>
            <w:r>
              <w:rPr>
                <w:rFonts w:ascii="Arial" w:cs="Arial" w:eastAsia="Arial" w:hAnsi="Arial"/>
                <w:sz w:val="9"/>
                <w:szCs w:val="9"/>
                <w:color w:val="auto"/>
                <w:w w:val="99"/>
              </w:rPr>
              <w:t>2031</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1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Amerada Hess Corp.</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1185 Avenue of the Americas</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2027</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The Travelers Indemnity Company</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485</w:t>
            </w:r>
          </w:p>
        </w:tc>
        <w:tc>
          <w:tcPr>
            <w:tcW w:w="2160" w:type="dxa"/>
            <w:vAlign w:val="bottom"/>
          </w:tcPr>
          <w:p>
            <w:pPr>
              <w:ind w:left="20"/>
              <w:spacing w:after="0"/>
              <w:rPr>
                <w:sz w:val="20"/>
                <w:szCs w:val="20"/>
                <w:color w:val="auto"/>
              </w:rPr>
            </w:pPr>
            <w:r>
              <w:rPr>
                <w:rFonts w:ascii="Arial" w:cs="Arial" w:eastAsia="Arial" w:hAnsi="Arial"/>
                <w:sz w:val="9"/>
                <w:szCs w:val="9"/>
                <w:color w:val="auto"/>
              </w:rPr>
              <w:t>Lexington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2021</w:t>
            </w:r>
          </w:p>
        </w:tc>
        <w:tc>
          <w:tcPr>
            <w:tcW w:w="0" w:type="dxa"/>
            <w:vAlign w:val="bottom"/>
          </w:tcPr>
          <w:p>
            <w:pPr>
              <w:spacing w:after="0"/>
              <w:rPr>
                <w:sz w:val="1"/>
                <w:szCs w:val="1"/>
                <w:color w:val="auto"/>
              </w:rPr>
            </w:pPr>
          </w:p>
        </w:tc>
      </w:tr>
      <w:tr>
        <w:trPr>
          <w:trHeight w:val="157"/>
        </w:trPr>
        <w:tc>
          <w:tcPr>
            <w:tcW w:w="1980" w:type="dxa"/>
            <w:vAlign w:val="bottom"/>
            <w:vMerge w:val="restart"/>
          </w:tcPr>
          <w:p>
            <w:pPr>
              <w:spacing w:after="0"/>
              <w:rPr>
                <w:sz w:val="20"/>
                <w:szCs w:val="20"/>
                <w:color w:val="auto"/>
              </w:rPr>
            </w:pPr>
            <w:r>
              <w:rPr>
                <w:rFonts w:ascii="Arial" w:cs="Arial" w:eastAsia="Arial" w:hAnsi="Arial"/>
                <w:sz w:val="9"/>
                <w:szCs w:val="9"/>
                <w:color w:val="auto"/>
              </w:rPr>
              <w:t>United Nations</w:t>
            </w: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220</w:t>
            </w:r>
          </w:p>
        </w:tc>
        <w:tc>
          <w:tcPr>
            <w:tcW w:w="2160" w:type="dxa"/>
            <w:vAlign w:val="bottom"/>
            <w:vMerge w:val="restart"/>
          </w:tcPr>
          <w:p>
            <w:pPr>
              <w:ind w:left="20"/>
              <w:spacing w:after="0"/>
              <w:rPr>
                <w:sz w:val="20"/>
                <w:szCs w:val="20"/>
                <w:color w:val="auto"/>
              </w:rPr>
            </w:pPr>
            <w:r>
              <w:rPr>
                <w:rFonts w:ascii="Arial" w:cs="Arial" w:eastAsia="Arial" w:hAnsi="Arial"/>
                <w:sz w:val="9"/>
                <w:szCs w:val="9"/>
                <w:color w:val="auto"/>
              </w:rPr>
              <w:t>East 42nd Street</w:t>
            </w:r>
          </w:p>
        </w:tc>
        <w:tc>
          <w:tcPr>
            <w:tcW w:w="600" w:type="dxa"/>
            <w:vAlign w:val="bottom"/>
          </w:tcPr>
          <w:p>
            <w:pPr>
              <w:jc w:val="center"/>
              <w:spacing w:after="0"/>
              <w:rPr>
                <w:sz w:val="20"/>
                <w:szCs w:val="20"/>
                <w:color w:val="auto"/>
              </w:rPr>
            </w:pPr>
            <w:r>
              <w:rPr>
                <w:rFonts w:ascii="Arial" w:cs="Arial" w:eastAsia="Arial" w:hAnsi="Arial"/>
                <w:sz w:val="9"/>
                <w:szCs w:val="9"/>
                <w:color w:val="auto"/>
                <w:w w:val="97"/>
              </w:rPr>
              <w:t>2017, 2021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160" w:type="dxa"/>
            <w:vAlign w:val="bottom"/>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Arial" w:cs="Arial" w:eastAsia="Arial" w:hAnsi="Arial"/>
                <w:sz w:val="9"/>
                <w:szCs w:val="9"/>
                <w:color w:val="auto"/>
                <w:w w:val="99"/>
              </w:rPr>
              <w:t>2022</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RSM McGladrey, Inc.</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1185 Avenue of the Americas</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2018</w:t>
            </w:r>
          </w:p>
        </w:tc>
        <w:tc>
          <w:tcPr>
            <w:tcW w:w="0" w:type="dxa"/>
            <w:vAlign w:val="bottom"/>
          </w:tcPr>
          <w:p>
            <w:pPr>
              <w:spacing w:after="0"/>
              <w:rPr>
                <w:sz w:val="1"/>
                <w:szCs w:val="1"/>
                <w:color w:val="auto"/>
              </w:rPr>
            </w:pPr>
          </w:p>
        </w:tc>
      </w:tr>
      <w:tr>
        <w:trPr>
          <w:trHeight w:val="179"/>
        </w:trPr>
        <w:tc>
          <w:tcPr>
            <w:tcW w:w="1980" w:type="dxa"/>
            <w:vAlign w:val="bottom"/>
            <w:vMerge w:val="restart"/>
          </w:tcPr>
          <w:p>
            <w:pPr>
              <w:spacing w:after="0"/>
              <w:rPr>
                <w:sz w:val="20"/>
                <w:szCs w:val="20"/>
                <w:color w:val="auto"/>
              </w:rPr>
            </w:pPr>
            <w:r>
              <w:rPr>
                <w:rFonts w:ascii="Arial" w:cs="Arial" w:eastAsia="Arial" w:hAnsi="Arial"/>
                <w:sz w:val="9"/>
                <w:szCs w:val="9"/>
                <w:color w:val="auto"/>
              </w:rPr>
              <w:t>Verizon</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w w:val="99"/>
              </w:rPr>
              <w:t>1100 King Street Bldg 1, 1 Landmark Square, 2 Landmark</w:t>
            </w:r>
          </w:p>
        </w:tc>
        <w:tc>
          <w:tcPr>
            <w:tcW w:w="600" w:type="dxa"/>
            <w:vAlign w:val="bottom"/>
          </w:tcPr>
          <w:p>
            <w:pPr>
              <w:jc w:val="center"/>
              <w:spacing w:after="0"/>
              <w:rPr>
                <w:sz w:val="20"/>
                <w:szCs w:val="20"/>
                <w:color w:val="auto"/>
              </w:rPr>
            </w:pPr>
            <w:r>
              <w:rPr>
                <w:rFonts w:ascii="Arial" w:cs="Arial" w:eastAsia="Arial" w:hAnsi="Arial"/>
                <w:sz w:val="9"/>
                <w:szCs w:val="9"/>
                <w:color w:val="auto"/>
                <w:w w:val="97"/>
              </w:rPr>
              <w:t>2018, 2019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0" w:type="dxa"/>
            <w:vAlign w:val="bottom"/>
            <w:gridSpan w:val="2"/>
            <w:vMerge w:val="restart"/>
          </w:tcPr>
          <w:p>
            <w:pPr>
              <w:ind w:left="80"/>
              <w:spacing w:after="0"/>
              <w:rPr>
                <w:sz w:val="20"/>
                <w:szCs w:val="20"/>
                <w:color w:val="auto"/>
              </w:rPr>
            </w:pPr>
            <w:r>
              <w:rPr>
                <w:rFonts w:ascii="Arial" w:cs="Arial" w:eastAsia="Arial" w:hAnsi="Arial"/>
                <w:sz w:val="9"/>
                <w:szCs w:val="9"/>
                <w:color w:val="auto"/>
              </w:rPr>
              <w:t>Square &amp; 500 Summit Lake Drive</w:t>
            </w:r>
          </w:p>
        </w:tc>
        <w:tc>
          <w:tcPr>
            <w:tcW w:w="600" w:type="dxa"/>
            <w:vAlign w:val="bottom"/>
            <w:vMerge w:val="restart"/>
          </w:tcPr>
          <w:p>
            <w:pPr>
              <w:jc w:val="center"/>
              <w:spacing w:after="0"/>
              <w:rPr>
                <w:sz w:val="20"/>
                <w:szCs w:val="20"/>
                <w:color w:val="auto"/>
              </w:rPr>
            </w:pPr>
            <w:r>
              <w:rPr>
                <w:rFonts w:ascii="Arial" w:cs="Arial" w:eastAsia="Arial" w:hAnsi="Arial"/>
                <w:sz w:val="9"/>
                <w:szCs w:val="9"/>
                <w:color w:val="auto"/>
                <w:w w:val="99"/>
              </w:rPr>
              <w:t>2026</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News America Incorporated</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1185 Avenue of the Americas</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2020</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King &amp; Spalding</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1185 Avenue of the Americas</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2025</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Young &amp; Rubicam, Inc.</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3 Columbus Circle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2033</w:t>
            </w:r>
          </w:p>
        </w:tc>
        <w:tc>
          <w:tcPr>
            <w:tcW w:w="0" w:type="dxa"/>
            <w:vAlign w:val="bottom"/>
          </w:tcPr>
          <w:p>
            <w:pPr>
              <w:spacing w:after="0"/>
              <w:rPr>
                <w:sz w:val="1"/>
                <w:szCs w:val="1"/>
                <w:color w:val="auto"/>
              </w:rPr>
            </w:pPr>
          </w:p>
        </w:tc>
      </w:tr>
      <w:tr>
        <w:trPr>
          <w:trHeight w:val="157"/>
        </w:trPr>
        <w:tc>
          <w:tcPr>
            <w:tcW w:w="1980" w:type="dxa"/>
            <w:vAlign w:val="bottom"/>
            <w:vMerge w:val="restart"/>
          </w:tcPr>
          <w:p>
            <w:pPr>
              <w:spacing w:after="0"/>
              <w:rPr>
                <w:sz w:val="20"/>
                <w:szCs w:val="20"/>
                <w:color w:val="auto"/>
              </w:rPr>
            </w:pPr>
            <w:r>
              <w:rPr>
                <w:rFonts w:ascii="Arial" w:cs="Arial" w:eastAsia="Arial" w:hAnsi="Arial"/>
                <w:sz w:val="9"/>
                <w:szCs w:val="9"/>
                <w:color w:val="auto"/>
              </w:rPr>
              <w:t>Amazon Corporate LLC</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1185 Avenue of the Americas &amp; 1350 Avenue of the</w:t>
            </w:r>
          </w:p>
        </w:tc>
        <w:tc>
          <w:tcPr>
            <w:tcW w:w="600" w:type="dxa"/>
            <w:vAlign w:val="bottom"/>
            <w:vMerge w:val="restart"/>
          </w:tcPr>
          <w:p>
            <w:pPr>
              <w:jc w:val="center"/>
              <w:ind w:left="16"/>
              <w:spacing w:after="0"/>
              <w:rPr>
                <w:sz w:val="20"/>
                <w:szCs w:val="20"/>
                <w:color w:val="auto"/>
              </w:rPr>
            </w:pPr>
            <w:r>
              <w:rPr>
                <w:rFonts w:ascii="Arial" w:cs="Arial" w:eastAsia="Arial" w:hAnsi="Arial"/>
                <w:sz w:val="9"/>
                <w:szCs w:val="9"/>
                <w:color w:val="auto"/>
                <w:w w:val="97"/>
              </w:rPr>
              <w:t>2016 &amp; 2023</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0" w:type="dxa"/>
            <w:vAlign w:val="bottom"/>
            <w:gridSpan w:val="2"/>
            <w:vMerge w:val="restart"/>
          </w:tcPr>
          <w:p>
            <w:pPr>
              <w:ind w:left="80"/>
              <w:spacing w:after="0"/>
              <w:rPr>
                <w:sz w:val="20"/>
                <w:szCs w:val="20"/>
                <w:color w:val="auto"/>
              </w:rPr>
            </w:pPr>
            <w:r>
              <w:rPr>
                <w:rFonts w:ascii="Arial" w:cs="Arial" w:eastAsia="Arial" w:hAnsi="Arial"/>
                <w:sz w:val="9"/>
                <w:szCs w:val="9"/>
                <w:color w:val="auto"/>
              </w:rPr>
              <w:t>Americas</w:t>
            </w: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Bloomingdales, Inc.</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919</w:t>
            </w:r>
          </w:p>
        </w:tc>
        <w:tc>
          <w:tcPr>
            <w:tcW w:w="2160" w:type="dxa"/>
            <w:vAlign w:val="bottom"/>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2024</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Yelp, Inc.</w:t>
            </w:r>
          </w:p>
        </w:tc>
        <w:tc>
          <w:tcPr>
            <w:tcW w:w="2400" w:type="dxa"/>
            <w:vAlign w:val="bottom"/>
            <w:gridSpan w:val="2"/>
          </w:tcPr>
          <w:p>
            <w:pPr>
              <w:ind w:left="80"/>
              <w:spacing w:after="0"/>
              <w:rPr>
                <w:sz w:val="20"/>
                <w:szCs w:val="20"/>
                <w:color w:val="auto"/>
              </w:rPr>
            </w:pPr>
            <w:r>
              <w:rPr>
                <w:rFonts w:ascii="Arial" w:cs="Arial" w:eastAsia="Arial" w:hAnsi="Arial"/>
                <w:sz w:val="9"/>
                <w:szCs w:val="9"/>
                <w:color w:val="auto"/>
              </w:rPr>
              <w:t>11 Madison Avenue</w:t>
            </w:r>
          </w:p>
        </w:tc>
        <w:tc>
          <w:tcPr>
            <w:tcW w:w="600" w:type="dxa"/>
            <w:vAlign w:val="bottom"/>
          </w:tcPr>
          <w:p>
            <w:pPr>
              <w:jc w:val="center"/>
              <w:spacing w:after="0"/>
              <w:rPr>
                <w:sz w:val="20"/>
                <w:szCs w:val="20"/>
                <w:color w:val="auto"/>
              </w:rPr>
            </w:pPr>
            <w:r>
              <w:rPr>
                <w:rFonts w:ascii="Arial" w:cs="Arial" w:eastAsia="Arial" w:hAnsi="Arial"/>
                <w:sz w:val="9"/>
                <w:szCs w:val="9"/>
                <w:color w:val="auto"/>
                <w:w w:val="99"/>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5"/>
        </w:trPr>
        <w:tc>
          <w:tcPr>
            <w:tcW w:w="720" w:type="dxa"/>
            <w:vAlign w:val="bottom"/>
          </w:tcPr>
          <w:p>
            <w:pPr>
              <w:jc w:val="right"/>
              <w:spacing w:after="0"/>
              <w:rPr>
                <w:sz w:val="20"/>
                <w:szCs w:val="20"/>
                <w:color w:val="auto"/>
              </w:rPr>
            </w:pPr>
            <w:r>
              <w:rPr>
                <w:rFonts w:ascii="Arial" w:cs="Arial" w:eastAsia="Arial" w:hAnsi="Arial"/>
                <w:sz w:val="9"/>
                <w:szCs w:val="9"/>
                <w:color w:val="auto"/>
              </w:rPr>
              <w:t>2,403,080</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124,432,990</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$51.78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7.9%</w:t>
            </w:r>
          </w:p>
        </w:tc>
        <w:tc>
          <w:tcPr>
            <w:tcW w:w="2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124,432,990</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9.1%</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A</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1,330,735</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86,422,248</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$64.94</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5.5%</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86,422,248</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6.4%</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4"/>
              </w:rPr>
              <w:t>BBB-</w:t>
            </w:r>
          </w:p>
        </w:tc>
      </w:tr>
      <w:tr>
        <w:trPr>
          <w:trHeight w:val="175"/>
        </w:trPr>
        <w:tc>
          <w:tcPr>
            <w:tcW w:w="720" w:type="dxa"/>
            <w:vAlign w:val="bottom"/>
          </w:tcPr>
          <w:p>
            <w:pPr>
              <w:jc w:val="right"/>
              <w:spacing w:after="0"/>
              <w:rPr>
                <w:sz w:val="20"/>
                <w:szCs w:val="20"/>
                <w:color w:val="auto"/>
              </w:rPr>
            </w:pPr>
            <w:r>
              <w:rPr>
                <w:rFonts w:ascii="Arial" w:cs="Arial" w:eastAsia="Arial" w:hAnsi="Arial"/>
                <w:sz w:val="9"/>
                <w:szCs w:val="9"/>
                <w:color w:val="auto"/>
              </w:rPr>
              <w:t>644,598</w:t>
            </w:r>
          </w:p>
        </w:tc>
        <w:tc>
          <w:tcPr>
            <w:tcW w:w="16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41,529,629</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$64.43</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2.6%</w:t>
            </w:r>
          </w:p>
        </w:tc>
        <w:tc>
          <w:tcPr>
            <w:tcW w:w="26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23,617,900</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1.7%</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175"/>
        </w:trPr>
        <w:tc>
          <w:tcPr>
            <w:tcW w:w="720" w:type="dxa"/>
            <w:vAlign w:val="bottom"/>
          </w:tcPr>
          <w:p>
            <w:pPr>
              <w:jc w:val="right"/>
              <w:spacing w:after="0"/>
              <w:rPr>
                <w:sz w:val="20"/>
                <w:szCs w:val="20"/>
                <w:color w:val="auto"/>
              </w:rPr>
            </w:pPr>
            <w:r>
              <w:rPr>
                <w:rFonts w:ascii="Arial" w:cs="Arial" w:eastAsia="Arial" w:hAnsi="Arial"/>
                <w:sz w:val="9"/>
                <w:szCs w:val="9"/>
                <w:color w:val="auto"/>
              </w:rPr>
              <w:t>578,791</w:t>
            </w:r>
          </w:p>
        </w:tc>
        <w:tc>
          <w:tcPr>
            <w:tcW w:w="16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42,688,648</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$73.75</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2.7%</w:t>
            </w:r>
          </w:p>
        </w:tc>
        <w:tc>
          <w:tcPr>
            <w:tcW w:w="26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42,688,648</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3.1%</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4"/>
              </w:rPr>
              <w:t>BBB-</w:t>
            </w:r>
          </w:p>
        </w:tc>
      </w:tr>
      <w:tr>
        <w:trPr>
          <w:trHeight w:val="197"/>
        </w:trPr>
        <w:tc>
          <w:tcPr>
            <w:tcW w:w="720" w:type="dxa"/>
            <w:vAlign w:val="bottom"/>
          </w:tcPr>
          <w:p>
            <w:pPr>
              <w:jc w:val="right"/>
              <w:spacing w:after="0"/>
              <w:rPr>
                <w:sz w:val="20"/>
                <w:szCs w:val="20"/>
                <w:color w:val="auto"/>
              </w:rPr>
            </w:pPr>
            <w:r>
              <w:rPr>
                <w:rFonts w:ascii="Arial" w:cs="Arial" w:eastAsia="Arial" w:hAnsi="Arial"/>
                <w:sz w:val="9"/>
                <w:szCs w:val="9"/>
                <w:color w:val="auto"/>
              </w:rPr>
              <w:t>575,324</w:t>
            </w:r>
          </w:p>
        </w:tc>
        <w:tc>
          <w:tcPr>
            <w:tcW w:w="16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43,990,650</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$76.46</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2.8%</w:t>
            </w:r>
          </w:p>
        </w:tc>
        <w:tc>
          <w:tcPr>
            <w:tcW w:w="260" w:type="dxa"/>
            <w:vAlign w:val="bottom"/>
          </w:tcPr>
          <w:p>
            <w:pPr>
              <w:spacing w:after="0"/>
              <w:rPr>
                <w:sz w:val="17"/>
                <w:szCs w:val="17"/>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22,435,231</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1.6%</w:t>
            </w:r>
          </w:p>
        </w:tc>
        <w:tc>
          <w:tcPr>
            <w:tcW w:w="520" w:type="dxa"/>
            <w:vAlign w:val="bottom"/>
          </w:tcPr>
          <w:p>
            <w:pPr>
              <w:spacing w:after="0"/>
              <w:rPr>
                <w:sz w:val="17"/>
                <w:szCs w:val="17"/>
                <w:color w:val="auto"/>
              </w:rPr>
            </w:pPr>
          </w:p>
        </w:tc>
      </w:tr>
      <w:tr>
        <w:trPr>
          <w:trHeight w:val="229"/>
        </w:trPr>
        <w:tc>
          <w:tcPr>
            <w:tcW w:w="720" w:type="dxa"/>
            <w:vAlign w:val="bottom"/>
          </w:tcPr>
          <w:p>
            <w:pPr>
              <w:jc w:val="right"/>
              <w:spacing w:after="0"/>
              <w:rPr>
                <w:sz w:val="20"/>
                <w:szCs w:val="20"/>
                <w:color w:val="auto"/>
              </w:rPr>
            </w:pPr>
            <w:r>
              <w:rPr>
                <w:rFonts w:ascii="Arial" w:cs="Arial" w:eastAsia="Arial" w:hAnsi="Arial"/>
                <w:sz w:val="9"/>
                <w:szCs w:val="9"/>
                <w:color w:val="auto"/>
              </w:rPr>
              <w:t>554,694</w:t>
            </w: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18,840,382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$33.97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1.2%</w:t>
            </w:r>
          </w:p>
        </w:tc>
        <w:tc>
          <w:tcPr>
            <w:tcW w:w="260" w:type="dxa"/>
            <w:vAlign w:val="bottom"/>
          </w:tcPr>
          <w:p>
            <w:pPr>
              <w:spacing w:after="0"/>
              <w:rPr>
                <w:sz w:val="19"/>
                <w:szCs w:val="19"/>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18,840,382</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1.4%</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9"/>
              </w:rPr>
              <w:t>Aa2</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493,560</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21,469,826</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$43.50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1.4%</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21,469,826</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1.6%</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388,753</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22,609,381</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$58.16</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1.4%</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20,527,624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1.5%</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385,325</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27,850,057</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$72.28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1.8%</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27,850,057</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2.0%</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A</w:t>
            </w:r>
          </w:p>
        </w:tc>
      </w:tr>
      <w:tr>
        <w:trPr>
          <w:trHeight w:val="197"/>
        </w:trPr>
        <w:tc>
          <w:tcPr>
            <w:tcW w:w="720" w:type="dxa"/>
            <w:vAlign w:val="bottom"/>
          </w:tcPr>
          <w:p>
            <w:pPr>
              <w:jc w:val="right"/>
              <w:spacing w:after="0"/>
              <w:rPr>
                <w:sz w:val="20"/>
                <w:szCs w:val="20"/>
                <w:color w:val="auto"/>
              </w:rPr>
            </w:pPr>
            <w:r>
              <w:rPr>
                <w:rFonts w:ascii="Arial" w:cs="Arial" w:eastAsia="Arial" w:hAnsi="Arial"/>
                <w:sz w:val="9"/>
                <w:szCs w:val="9"/>
                <w:color w:val="auto"/>
              </w:rPr>
              <w:t>339,195</w:t>
            </w:r>
          </w:p>
        </w:tc>
        <w:tc>
          <w:tcPr>
            <w:tcW w:w="16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17,242,647</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$50.83</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1.1%</w:t>
            </w:r>
          </w:p>
        </w:tc>
        <w:tc>
          <w:tcPr>
            <w:tcW w:w="260" w:type="dxa"/>
            <w:vAlign w:val="bottom"/>
          </w:tcPr>
          <w:p>
            <w:pPr>
              <w:spacing w:after="0"/>
              <w:rPr>
                <w:sz w:val="17"/>
                <w:szCs w:val="17"/>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17,242,647</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1.3%</w:t>
            </w:r>
          </w:p>
        </w:tc>
        <w:tc>
          <w:tcPr>
            <w:tcW w:w="520" w:type="dxa"/>
            <w:vAlign w:val="bottom"/>
          </w:tcPr>
          <w:p>
            <w:pPr>
              <w:spacing w:after="0"/>
              <w:rPr>
                <w:sz w:val="17"/>
                <w:szCs w:val="17"/>
                <w:color w:val="auto"/>
              </w:rPr>
            </w:pPr>
          </w:p>
        </w:tc>
      </w:tr>
      <w:tr>
        <w:trPr>
          <w:trHeight w:val="197"/>
        </w:trPr>
        <w:tc>
          <w:tcPr>
            <w:tcW w:w="720" w:type="dxa"/>
            <w:vAlign w:val="bottom"/>
          </w:tcPr>
          <w:p>
            <w:pPr>
              <w:jc w:val="right"/>
              <w:spacing w:after="0"/>
              <w:rPr>
                <w:sz w:val="20"/>
                <w:szCs w:val="20"/>
                <w:color w:val="auto"/>
              </w:rPr>
            </w:pPr>
            <w:r>
              <w:rPr>
                <w:rFonts w:ascii="Arial" w:cs="Arial" w:eastAsia="Arial" w:hAnsi="Arial"/>
                <w:sz w:val="9"/>
                <w:szCs w:val="9"/>
                <w:color w:val="auto"/>
              </w:rPr>
              <w:t>338,527</w:t>
            </w:r>
          </w:p>
        </w:tc>
        <w:tc>
          <w:tcPr>
            <w:tcW w:w="16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14,916,352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$44.06</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0.9%</w:t>
            </w:r>
          </w:p>
        </w:tc>
        <w:tc>
          <w:tcPr>
            <w:tcW w:w="260" w:type="dxa"/>
            <w:vAlign w:val="bottom"/>
          </w:tcPr>
          <w:p>
            <w:pPr>
              <w:spacing w:after="0"/>
              <w:rPr>
                <w:sz w:val="17"/>
                <w:szCs w:val="17"/>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14,916,352</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1.1%</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BBB</w:t>
            </w:r>
          </w:p>
        </w:tc>
      </w:tr>
      <w:tr>
        <w:trPr>
          <w:trHeight w:val="175"/>
        </w:trPr>
        <w:tc>
          <w:tcPr>
            <w:tcW w:w="720" w:type="dxa"/>
            <w:vAlign w:val="bottom"/>
          </w:tcPr>
          <w:p>
            <w:pPr>
              <w:jc w:val="right"/>
              <w:spacing w:after="0"/>
              <w:rPr>
                <w:sz w:val="20"/>
                <w:szCs w:val="20"/>
                <w:color w:val="auto"/>
              </w:rPr>
            </w:pPr>
            <w:r>
              <w:rPr>
                <w:rFonts w:ascii="Arial" w:cs="Arial" w:eastAsia="Arial" w:hAnsi="Arial"/>
                <w:sz w:val="9"/>
                <w:szCs w:val="9"/>
                <w:color w:val="auto"/>
              </w:rPr>
              <w:t>328,957</w:t>
            </w:r>
          </w:p>
        </w:tc>
        <w:tc>
          <w:tcPr>
            <w:tcW w:w="16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17,962,761</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$54.61</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1.1%</w:t>
            </w:r>
          </w:p>
        </w:tc>
        <w:tc>
          <w:tcPr>
            <w:tcW w:w="26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17,962,761</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1.3%</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9"/>
              </w:rPr>
              <w:t>Aa2</w:t>
            </w:r>
          </w:p>
        </w:tc>
      </w:tr>
      <w:tr>
        <w:trPr>
          <w:trHeight w:val="197"/>
        </w:trPr>
        <w:tc>
          <w:tcPr>
            <w:tcW w:w="720" w:type="dxa"/>
            <w:vAlign w:val="bottom"/>
          </w:tcPr>
          <w:p>
            <w:pPr>
              <w:jc w:val="right"/>
              <w:spacing w:after="0"/>
              <w:rPr>
                <w:sz w:val="20"/>
                <w:szCs w:val="20"/>
                <w:color w:val="auto"/>
              </w:rPr>
            </w:pPr>
            <w:r>
              <w:rPr>
                <w:rFonts w:ascii="Arial" w:cs="Arial" w:eastAsia="Arial" w:hAnsi="Arial"/>
                <w:sz w:val="9"/>
                <w:szCs w:val="9"/>
                <w:color w:val="auto"/>
              </w:rPr>
              <w:t>263,186</w:t>
            </w:r>
          </w:p>
        </w:tc>
        <w:tc>
          <w:tcPr>
            <w:tcW w:w="16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18,585,108</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$70.62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1.2%</w:t>
            </w:r>
          </w:p>
        </w:tc>
        <w:tc>
          <w:tcPr>
            <w:tcW w:w="260" w:type="dxa"/>
            <w:vAlign w:val="bottom"/>
          </w:tcPr>
          <w:p>
            <w:pPr>
              <w:spacing w:after="0"/>
              <w:rPr>
                <w:sz w:val="17"/>
                <w:szCs w:val="17"/>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9,478,405</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0.7%</w:t>
            </w:r>
          </w:p>
        </w:tc>
        <w:tc>
          <w:tcPr>
            <w:tcW w:w="520" w:type="dxa"/>
            <w:vAlign w:val="bottom"/>
          </w:tcPr>
          <w:p>
            <w:pPr>
              <w:spacing w:after="0"/>
              <w:rPr>
                <w:sz w:val="17"/>
                <w:szCs w:val="17"/>
                <w:color w:val="auto"/>
              </w:rPr>
            </w:pPr>
          </w:p>
        </w:tc>
      </w:tr>
      <w:tr>
        <w:trPr>
          <w:trHeight w:val="219"/>
        </w:trPr>
        <w:tc>
          <w:tcPr>
            <w:tcW w:w="720" w:type="dxa"/>
            <w:vAlign w:val="bottom"/>
          </w:tcPr>
          <w:p>
            <w:pPr>
              <w:jc w:val="right"/>
              <w:spacing w:after="0"/>
              <w:rPr>
                <w:sz w:val="20"/>
                <w:szCs w:val="20"/>
                <w:color w:val="auto"/>
              </w:rPr>
            </w:pPr>
            <w:r>
              <w:rPr>
                <w:rFonts w:ascii="Arial" w:cs="Arial" w:eastAsia="Arial" w:hAnsi="Arial"/>
                <w:sz w:val="9"/>
                <w:szCs w:val="9"/>
                <w:color w:val="auto"/>
              </w:rPr>
              <w:t>230,394</w:t>
            </w: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7,610,993</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$33.03</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0.5%</w:t>
            </w:r>
          </w:p>
        </w:tc>
        <w:tc>
          <w:tcPr>
            <w:tcW w:w="260" w:type="dxa"/>
            <w:vAlign w:val="bottom"/>
          </w:tcPr>
          <w:p>
            <w:pPr>
              <w:spacing w:after="0"/>
              <w:rPr>
                <w:sz w:val="19"/>
                <w:szCs w:val="19"/>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7,610,993</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0.6%</w:t>
            </w:r>
          </w:p>
        </w:tc>
        <w:tc>
          <w:tcPr>
            <w:tcW w:w="520" w:type="dxa"/>
            <w:vAlign w:val="bottom"/>
          </w:tcPr>
          <w:p>
            <w:pPr>
              <w:spacing w:after="0"/>
              <w:rPr>
                <w:sz w:val="19"/>
                <w:szCs w:val="19"/>
                <w:color w:val="auto"/>
              </w:rPr>
            </w:pPr>
          </w:p>
        </w:tc>
      </w:tr>
      <w:tr>
        <w:trPr>
          <w:trHeight w:val="197"/>
        </w:trPr>
        <w:tc>
          <w:tcPr>
            <w:tcW w:w="720" w:type="dxa"/>
            <w:vAlign w:val="bottom"/>
          </w:tcPr>
          <w:p>
            <w:pPr>
              <w:jc w:val="right"/>
              <w:spacing w:after="0"/>
              <w:rPr>
                <w:sz w:val="20"/>
                <w:szCs w:val="20"/>
                <w:color w:val="auto"/>
              </w:rPr>
            </w:pPr>
            <w:r>
              <w:rPr>
                <w:rFonts w:ascii="Arial" w:cs="Arial" w:eastAsia="Arial" w:hAnsi="Arial"/>
                <w:sz w:val="9"/>
                <w:szCs w:val="9"/>
                <w:color w:val="auto"/>
              </w:rPr>
              <w:t>227,782</w:t>
            </w:r>
          </w:p>
        </w:tc>
        <w:tc>
          <w:tcPr>
            <w:tcW w:w="16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6,449,228</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$28.31</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0.4%</w:t>
            </w:r>
          </w:p>
        </w:tc>
        <w:tc>
          <w:tcPr>
            <w:tcW w:w="260" w:type="dxa"/>
            <w:vAlign w:val="bottom"/>
          </w:tcPr>
          <w:p>
            <w:pPr>
              <w:spacing w:after="0"/>
              <w:rPr>
                <w:sz w:val="17"/>
                <w:szCs w:val="17"/>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6,449,228</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0.5%</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rPr>
              <w:t>A+</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227,622</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9,406,250</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$41.32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0.6%</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9,406,250</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0.7%</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9"/>
              </w:rPr>
              <w:t>Aa2</w:t>
            </w:r>
          </w:p>
        </w:tc>
      </w:tr>
      <w:tr>
        <w:trPr>
          <w:trHeight w:val="230"/>
        </w:trPr>
        <w:tc>
          <w:tcPr>
            <w:tcW w:w="720" w:type="dxa"/>
            <w:vAlign w:val="bottom"/>
          </w:tcPr>
          <w:p>
            <w:pPr>
              <w:jc w:val="right"/>
              <w:spacing w:after="0"/>
              <w:rPr>
                <w:sz w:val="20"/>
                <w:szCs w:val="20"/>
                <w:color w:val="auto"/>
              </w:rPr>
            </w:pPr>
            <w:r>
              <w:rPr>
                <w:rFonts w:ascii="Arial" w:cs="Arial" w:eastAsia="Arial" w:hAnsi="Arial"/>
                <w:sz w:val="9"/>
                <w:szCs w:val="9"/>
                <w:color w:val="auto"/>
              </w:rPr>
              <w:t>225,579</w:t>
            </w: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11,783,619</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$52.24</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260" w:type="dxa"/>
            <w:vAlign w:val="bottom"/>
          </w:tcPr>
          <w:p>
            <w:pPr>
              <w:spacing w:after="0"/>
              <w:rPr>
                <w:sz w:val="19"/>
                <w:szCs w:val="19"/>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6,009,646</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0.4%</w:t>
            </w:r>
          </w:p>
        </w:tc>
        <w:tc>
          <w:tcPr>
            <w:tcW w:w="520" w:type="dxa"/>
            <w:vAlign w:val="bottom"/>
          </w:tcPr>
          <w:p>
            <w:pPr>
              <w:spacing w:after="0"/>
              <w:rPr>
                <w:sz w:val="19"/>
                <w:szCs w:val="19"/>
                <w:color w:val="auto"/>
              </w:rPr>
            </w:pPr>
          </w:p>
        </w:tc>
      </w:tr>
      <w:tr>
        <w:trPr>
          <w:trHeight w:val="219"/>
        </w:trPr>
        <w:tc>
          <w:tcPr>
            <w:tcW w:w="720" w:type="dxa"/>
            <w:vAlign w:val="bottom"/>
          </w:tcPr>
          <w:p>
            <w:pPr>
              <w:jc w:val="right"/>
              <w:spacing w:after="0"/>
              <w:rPr>
                <w:sz w:val="20"/>
                <w:szCs w:val="20"/>
                <w:color w:val="auto"/>
              </w:rPr>
            </w:pPr>
            <w:r>
              <w:rPr>
                <w:rFonts w:ascii="Arial" w:cs="Arial" w:eastAsia="Arial" w:hAnsi="Arial"/>
                <w:sz w:val="9"/>
                <w:szCs w:val="9"/>
                <w:color w:val="auto"/>
              </w:rPr>
              <w:t>214,707</w:t>
            </w: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16,105,323</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$75.01</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1.0%</w:t>
            </w:r>
          </w:p>
        </w:tc>
        <w:tc>
          <w:tcPr>
            <w:tcW w:w="260" w:type="dxa"/>
            <w:vAlign w:val="bottom"/>
          </w:tcPr>
          <w:p>
            <w:pPr>
              <w:spacing w:after="0"/>
              <w:rPr>
                <w:sz w:val="19"/>
                <w:szCs w:val="19"/>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16,105,323</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1.2%</w:t>
            </w:r>
          </w:p>
        </w:tc>
        <w:tc>
          <w:tcPr>
            <w:tcW w:w="520" w:type="dxa"/>
            <w:vAlign w:val="bottom"/>
          </w:tcPr>
          <w:p>
            <w:pPr>
              <w:spacing w:after="0"/>
              <w:rPr>
                <w:sz w:val="19"/>
                <w:szCs w:val="19"/>
                <w:color w:val="auto"/>
              </w:rPr>
            </w:pPr>
          </w:p>
        </w:tc>
      </w:tr>
      <w:tr>
        <w:trPr>
          <w:trHeight w:val="230"/>
        </w:trPr>
        <w:tc>
          <w:tcPr>
            <w:tcW w:w="720" w:type="dxa"/>
            <w:vAlign w:val="bottom"/>
          </w:tcPr>
          <w:p>
            <w:pPr>
              <w:jc w:val="right"/>
              <w:spacing w:after="0"/>
              <w:rPr>
                <w:sz w:val="20"/>
                <w:szCs w:val="20"/>
                <w:color w:val="auto"/>
              </w:rPr>
            </w:pPr>
            <w:r>
              <w:rPr>
                <w:rFonts w:ascii="Arial" w:cs="Arial" w:eastAsia="Arial" w:hAnsi="Arial"/>
                <w:sz w:val="9"/>
                <w:szCs w:val="9"/>
                <w:color w:val="auto"/>
              </w:rPr>
              <w:t>182,696</w:t>
            </w: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10,354,722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$56.68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260" w:type="dxa"/>
            <w:vAlign w:val="bottom"/>
          </w:tcPr>
          <w:p>
            <w:pPr>
              <w:spacing w:after="0"/>
              <w:rPr>
                <w:sz w:val="19"/>
                <w:szCs w:val="19"/>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10,146,295</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0.7%</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4"/>
              </w:rPr>
              <w:t>BBB-</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181,569</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14,130,831</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$77.83</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0.9%</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14,130,831</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1.0%</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4"/>
              </w:rPr>
              <w:t>BBB-</w:t>
            </w:r>
          </w:p>
        </w:tc>
      </w:tr>
      <w:tr>
        <w:trPr>
          <w:trHeight w:val="175"/>
        </w:trPr>
        <w:tc>
          <w:tcPr>
            <w:tcW w:w="720" w:type="dxa"/>
            <w:vAlign w:val="bottom"/>
          </w:tcPr>
          <w:p>
            <w:pPr>
              <w:jc w:val="right"/>
              <w:spacing w:after="0"/>
              <w:rPr>
                <w:sz w:val="20"/>
                <w:szCs w:val="20"/>
                <w:color w:val="auto"/>
              </w:rPr>
            </w:pPr>
            <w:r>
              <w:rPr>
                <w:rFonts w:ascii="Arial" w:cs="Arial" w:eastAsia="Arial" w:hAnsi="Arial"/>
                <w:sz w:val="9"/>
                <w:szCs w:val="9"/>
                <w:color w:val="auto"/>
              </w:rPr>
              <w:t>173,278</w:t>
            </w:r>
          </w:p>
        </w:tc>
        <w:tc>
          <w:tcPr>
            <w:tcW w:w="16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10,359,890</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$59.79</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26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10,359,890</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0.8%</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9"/>
              </w:rPr>
              <w:t>AA</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171,091</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8,215,963</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$48.02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0.5%</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8,215,963</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0.6%</w:t>
            </w:r>
          </w:p>
        </w:tc>
        <w:tc>
          <w:tcPr>
            <w:tcW w:w="520" w:type="dxa"/>
            <w:vAlign w:val="bottom"/>
          </w:tcPr>
          <w:p>
            <w:pPr>
              <w:spacing w:after="0"/>
              <w:rPr>
                <w:sz w:val="18"/>
                <w:szCs w:val="18"/>
                <w:color w:val="auto"/>
              </w:rPr>
            </w:pPr>
          </w:p>
        </w:tc>
      </w:tr>
      <w:tr>
        <w:trPr>
          <w:trHeight w:val="230"/>
        </w:trPr>
        <w:tc>
          <w:tcPr>
            <w:tcW w:w="720" w:type="dxa"/>
            <w:vAlign w:val="bottom"/>
          </w:tcPr>
          <w:p>
            <w:pPr>
              <w:jc w:val="right"/>
              <w:spacing w:after="0"/>
              <w:rPr>
                <w:sz w:val="20"/>
                <w:szCs w:val="20"/>
                <w:color w:val="auto"/>
              </w:rPr>
            </w:pPr>
            <w:r>
              <w:rPr>
                <w:rFonts w:ascii="Arial" w:cs="Arial" w:eastAsia="Arial" w:hAnsi="Arial"/>
                <w:sz w:val="9"/>
                <w:szCs w:val="9"/>
                <w:color w:val="auto"/>
              </w:rPr>
              <w:t>164,771</w:t>
            </w: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10,754,081</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$65.27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260" w:type="dxa"/>
            <w:vAlign w:val="bottom"/>
          </w:tcPr>
          <w:p>
            <w:pPr>
              <w:spacing w:after="0"/>
              <w:rPr>
                <w:sz w:val="19"/>
                <w:szCs w:val="19"/>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10,754,081</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0.8%</w:t>
            </w:r>
          </w:p>
        </w:tc>
        <w:tc>
          <w:tcPr>
            <w:tcW w:w="520" w:type="dxa"/>
            <w:vAlign w:val="bottom"/>
          </w:tcPr>
          <w:p>
            <w:pPr>
              <w:spacing w:after="0"/>
              <w:rPr>
                <w:sz w:val="19"/>
                <w:szCs w:val="19"/>
                <w:color w:val="auto"/>
              </w:rPr>
            </w:pPr>
          </w:p>
        </w:tc>
      </w:tr>
      <w:tr>
        <w:trPr>
          <w:trHeight w:val="230"/>
        </w:trPr>
        <w:tc>
          <w:tcPr>
            <w:tcW w:w="720" w:type="dxa"/>
            <w:vAlign w:val="bottom"/>
          </w:tcPr>
          <w:p>
            <w:pPr>
              <w:jc w:val="right"/>
              <w:spacing w:after="0"/>
              <w:rPr>
                <w:sz w:val="20"/>
                <w:szCs w:val="20"/>
                <w:color w:val="auto"/>
              </w:rPr>
            </w:pPr>
            <w:r>
              <w:rPr>
                <w:rFonts w:ascii="Arial" w:cs="Arial" w:eastAsia="Arial" w:hAnsi="Arial"/>
                <w:sz w:val="9"/>
                <w:szCs w:val="9"/>
                <w:color w:val="auto"/>
              </w:rPr>
              <w:t>162,409</w:t>
            </w: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4,491,225</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$27.65</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0.3%</w:t>
            </w:r>
          </w:p>
        </w:tc>
        <w:tc>
          <w:tcPr>
            <w:tcW w:w="260" w:type="dxa"/>
            <w:vAlign w:val="bottom"/>
          </w:tcPr>
          <w:p>
            <w:pPr>
              <w:spacing w:after="0"/>
              <w:rPr>
                <w:sz w:val="19"/>
                <w:szCs w:val="19"/>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4,491,225</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0.3%</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161,722</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15,427,693</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$95.40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1.0%</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15,427,693</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1.1%</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197"/>
        </w:trPr>
        <w:tc>
          <w:tcPr>
            <w:tcW w:w="720" w:type="dxa"/>
            <w:vAlign w:val="bottom"/>
          </w:tcPr>
          <w:p>
            <w:pPr>
              <w:jc w:val="right"/>
              <w:spacing w:after="0"/>
              <w:rPr>
                <w:sz w:val="20"/>
                <w:szCs w:val="20"/>
                <w:color w:val="auto"/>
              </w:rPr>
            </w:pPr>
            <w:r>
              <w:rPr>
                <w:rFonts w:ascii="Arial" w:cs="Arial" w:eastAsia="Arial" w:hAnsi="Arial"/>
                <w:sz w:val="9"/>
                <w:szCs w:val="9"/>
                <w:color w:val="auto"/>
              </w:rPr>
              <w:t>159,943</w:t>
            </w:r>
          </w:p>
        </w:tc>
        <w:tc>
          <w:tcPr>
            <w:tcW w:w="16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14,428,113</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$90.21</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0.9%</w:t>
            </w:r>
          </w:p>
        </w:tc>
        <w:tc>
          <w:tcPr>
            <w:tcW w:w="260" w:type="dxa"/>
            <w:vAlign w:val="bottom"/>
          </w:tcPr>
          <w:p>
            <w:pPr>
              <w:spacing w:after="0"/>
              <w:rPr>
                <w:sz w:val="17"/>
                <w:szCs w:val="17"/>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14,428,113</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1.1%</w:t>
            </w:r>
          </w:p>
        </w:tc>
        <w:tc>
          <w:tcPr>
            <w:tcW w:w="520" w:type="dxa"/>
            <w:vAlign w:val="bottom"/>
          </w:tcPr>
          <w:p>
            <w:pPr>
              <w:spacing w:after="0"/>
              <w:rPr>
                <w:sz w:val="17"/>
                <w:szCs w:val="17"/>
                <w:color w:val="auto"/>
              </w:rPr>
            </w:pPr>
          </w:p>
        </w:tc>
      </w:tr>
      <w:tr>
        <w:trPr>
          <w:trHeight w:val="197"/>
        </w:trPr>
        <w:tc>
          <w:tcPr>
            <w:tcW w:w="720" w:type="dxa"/>
            <w:vAlign w:val="bottom"/>
          </w:tcPr>
          <w:p>
            <w:pPr>
              <w:jc w:val="right"/>
              <w:spacing w:after="0"/>
              <w:rPr>
                <w:sz w:val="20"/>
                <w:szCs w:val="20"/>
                <w:color w:val="auto"/>
              </w:rPr>
            </w:pPr>
            <w:r>
              <w:rPr>
                <w:rFonts w:ascii="Arial" w:cs="Arial" w:eastAsia="Arial" w:hAnsi="Arial"/>
                <w:sz w:val="9"/>
                <w:szCs w:val="9"/>
                <w:color w:val="auto"/>
              </w:rPr>
              <w:t>159,394</w:t>
            </w:r>
          </w:p>
        </w:tc>
        <w:tc>
          <w:tcPr>
            <w:tcW w:w="16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9,909,020</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$62.17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0.6%</w:t>
            </w:r>
          </w:p>
        </w:tc>
        <w:tc>
          <w:tcPr>
            <w:tcW w:w="260" w:type="dxa"/>
            <w:vAlign w:val="bottom"/>
          </w:tcPr>
          <w:p>
            <w:pPr>
              <w:spacing w:after="0"/>
              <w:rPr>
                <w:sz w:val="17"/>
                <w:szCs w:val="17"/>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4,845,511</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0.4%</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BBB</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158,688</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11,613,814</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$73.19</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11,613,814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0.9%</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2"/>
              </w:rPr>
              <w:t>AA-</w:t>
            </w:r>
          </w:p>
        </w:tc>
      </w:tr>
      <w:tr>
        <w:trPr>
          <w:trHeight w:val="208"/>
        </w:trPr>
        <w:tc>
          <w:tcPr>
            <w:tcW w:w="720" w:type="dxa"/>
            <w:vAlign w:val="bottom"/>
          </w:tcPr>
          <w:p>
            <w:pPr>
              <w:jc w:val="right"/>
              <w:spacing w:after="0"/>
              <w:rPr>
                <w:sz w:val="20"/>
                <w:szCs w:val="20"/>
                <w:color w:val="auto"/>
              </w:rPr>
            </w:pPr>
            <w:r>
              <w:rPr>
                <w:rFonts w:ascii="Arial" w:cs="Arial" w:eastAsia="Arial" w:hAnsi="Arial"/>
                <w:sz w:val="9"/>
                <w:szCs w:val="9"/>
                <w:color w:val="auto"/>
              </w:rPr>
              <w:t>157,961</w:t>
            </w:r>
          </w:p>
        </w:tc>
        <w:tc>
          <w:tcPr>
            <w:tcW w:w="1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9,061,557</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$57.37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0.6%</w:t>
            </w:r>
          </w:p>
        </w:tc>
        <w:tc>
          <w:tcPr>
            <w:tcW w:w="26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4,621,394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0.3%</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BBB</w:t>
            </w:r>
          </w:p>
        </w:tc>
      </w:tr>
      <w:tr>
        <w:trPr>
          <w:trHeight w:val="197"/>
        </w:trPr>
        <w:tc>
          <w:tcPr>
            <w:tcW w:w="720" w:type="dxa"/>
            <w:vAlign w:val="bottom"/>
          </w:tcPr>
          <w:p>
            <w:pPr>
              <w:jc w:val="right"/>
              <w:spacing w:after="0"/>
              <w:rPr>
                <w:sz w:val="20"/>
                <w:szCs w:val="20"/>
                <w:color w:val="auto"/>
              </w:rPr>
            </w:pPr>
            <w:r>
              <w:rPr>
                <w:rFonts w:ascii="Arial" w:cs="Arial" w:eastAsia="Arial" w:hAnsi="Arial"/>
                <w:sz w:val="9"/>
                <w:szCs w:val="9"/>
                <w:color w:val="auto"/>
              </w:rPr>
              <w:t>152,232</w:t>
            </w:r>
          </w:p>
        </w:tc>
        <w:tc>
          <w:tcPr>
            <w:tcW w:w="16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12,939,720</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$85.00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0.8%</w:t>
            </w:r>
          </w:p>
        </w:tc>
        <w:tc>
          <w:tcPr>
            <w:tcW w:w="260" w:type="dxa"/>
            <w:vAlign w:val="bottom"/>
          </w:tcPr>
          <w:p>
            <w:pPr>
              <w:spacing w:after="0"/>
              <w:rPr>
                <w:sz w:val="17"/>
                <w:szCs w:val="17"/>
                <w:color w:val="auto"/>
              </w:rPr>
            </w:pPr>
          </w:p>
        </w:tc>
        <w:tc>
          <w:tcPr>
            <w:tcW w:w="700" w:type="dxa"/>
            <w:vAlign w:val="bottom"/>
          </w:tcPr>
          <w:p>
            <w:pPr>
              <w:jc w:val="right"/>
              <w:ind w:right="96"/>
              <w:spacing w:after="0"/>
              <w:rPr>
                <w:sz w:val="20"/>
                <w:szCs w:val="20"/>
                <w:color w:val="auto"/>
              </w:rPr>
            </w:pPr>
            <w:r>
              <w:rPr>
                <w:rFonts w:ascii="Arial" w:cs="Arial" w:eastAsia="Arial" w:hAnsi="Arial"/>
                <w:sz w:val="9"/>
                <w:szCs w:val="9"/>
                <w:color w:val="auto"/>
              </w:rPr>
              <w:t>12,939,720</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1.0%</w:t>
            </w:r>
          </w:p>
        </w:tc>
        <w:tc>
          <w:tcPr>
            <w:tcW w:w="520" w:type="dxa"/>
            <w:vAlign w:val="bottom"/>
          </w:tcPr>
          <w:p>
            <w:pPr>
              <w:spacing w:after="0"/>
              <w:rPr>
                <w:sz w:val="17"/>
                <w:szCs w:val="17"/>
                <w:color w:val="auto"/>
              </w:rPr>
            </w:pPr>
          </w:p>
        </w:tc>
      </w:tr>
      <w:tr>
        <w:trPr>
          <w:trHeight w:val="61"/>
        </w:trPr>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5000" w:space="80"/>
            <w:col w:w="5040"/>
          </w:cols>
          <w:pgMar w:left="900" w:top="338" w:right="879" w:bottom="1440" w:gutter="0" w:footer="0" w:header="0"/>
          <w:type w:val="continuous"/>
        </w:sectPr>
      </w:pPr>
    </w:p>
    <w:p>
      <w:pPr>
        <w:spacing w:after="0" w:line="28" w:lineRule="exact"/>
        <w:rPr>
          <w:sz w:val="20"/>
          <w:szCs w:val="20"/>
          <w:color w:val="auto"/>
        </w:rPr>
      </w:pPr>
    </w:p>
    <w:p>
      <w:pPr>
        <w:ind w:left="20"/>
        <w:spacing w:after="0"/>
        <w:tabs>
          <w:tab w:leader="none" w:pos="5320" w:val="left"/>
          <w:tab w:leader="none" w:pos="6020" w:val="left"/>
          <w:tab w:leader="none" w:pos="6700" w:val="left"/>
          <w:tab w:leader="none" w:pos="7360" w:val="left"/>
          <w:tab w:leader="none" w:pos="7820" w:val="left"/>
          <w:tab w:leader="none" w:pos="8040" w:val="left"/>
          <w:tab w:leader="none" w:pos="8780" w:val="left"/>
        </w:tabs>
        <w:rPr>
          <w:sz w:val="20"/>
          <w:szCs w:val="20"/>
          <w:color w:val="auto"/>
        </w:rPr>
      </w:pPr>
      <w:r>
        <w:rPr>
          <w:rFonts w:ascii="Arial" w:cs="Arial" w:eastAsia="Arial" w:hAnsi="Arial"/>
          <w:sz w:val="9"/>
          <w:szCs w:val="9"/>
          <w:b w:val="1"/>
          <w:bCs w:val="1"/>
          <w:color w:val="auto"/>
        </w:rPr>
        <w:t>Total</w:t>
      </w:r>
      <w:r>
        <w:rPr>
          <w:sz w:val="20"/>
          <w:szCs w:val="20"/>
          <w:color w:val="auto"/>
        </w:rPr>
        <w:tab/>
      </w:r>
      <w:r>
        <w:rPr>
          <w:rFonts w:ascii="Arial" w:cs="Arial" w:eastAsia="Arial" w:hAnsi="Arial"/>
          <w:sz w:val="9"/>
          <w:szCs w:val="9"/>
          <w:b w:val="1"/>
          <w:bCs w:val="1"/>
          <w:color w:val="auto"/>
        </w:rPr>
        <w:t>11,736,563 $</w:t>
      </w:r>
      <w:r>
        <w:rPr>
          <w:sz w:val="20"/>
          <w:szCs w:val="20"/>
          <w:color w:val="auto"/>
        </w:rPr>
        <w:tab/>
      </w:r>
      <w:r>
        <w:rPr>
          <w:rFonts w:ascii="Arial" w:cs="Arial" w:eastAsia="Arial" w:hAnsi="Arial"/>
          <w:sz w:val="9"/>
          <w:szCs w:val="9"/>
          <w:b w:val="1"/>
          <w:bCs w:val="1"/>
          <w:color w:val="auto"/>
        </w:rPr>
        <w:t>681,582,720</w:t>
      </w:r>
      <w:r>
        <w:rPr>
          <w:sz w:val="20"/>
          <w:szCs w:val="20"/>
          <w:color w:val="auto"/>
        </w:rPr>
        <w:tab/>
      </w:r>
      <w:r>
        <w:rPr>
          <w:rFonts w:ascii="Arial" w:cs="Arial" w:eastAsia="Arial" w:hAnsi="Arial"/>
          <w:sz w:val="9"/>
          <w:szCs w:val="9"/>
          <w:b w:val="1"/>
          <w:bCs w:val="1"/>
          <w:color w:val="auto"/>
        </w:rPr>
        <w:t>$58.07</w:t>
      </w:r>
      <w:r>
        <w:rPr>
          <w:sz w:val="20"/>
          <w:szCs w:val="20"/>
          <w:color w:val="auto"/>
        </w:rPr>
        <w:tab/>
      </w:r>
      <w:r>
        <w:rPr>
          <w:rFonts w:ascii="Arial" w:cs="Arial" w:eastAsia="Arial" w:hAnsi="Arial"/>
          <w:sz w:val="9"/>
          <w:szCs w:val="9"/>
          <w:b w:val="1"/>
          <w:bCs w:val="1"/>
          <w:color w:val="auto"/>
        </w:rPr>
        <w:t>43.1%</w:t>
      </w:r>
      <w:r>
        <w:rPr>
          <w:sz w:val="20"/>
          <w:szCs w:val="20"/>
          <w:color w:val="auto"/>
        </w:rPr>
        <w:tab/>
      </w:r>
      <w:r>
        <w:rPr>
          <w:rFonts w:ascii="Arial" w:cs="Arial" w:eastAsia="Arial" w:hAnsi="Arial"/>
          <w:sz w:val="9"/>
          <w:szCs w:val="9"/>
          <w:b w:val="1"/>
          <w:bCs w:val="1"/>
          <w:color w:val="auto"/>
        </w:rPr>
        <w:t>$</w:t>
      </w:r>
      <w:r>
        <w:rPr>
          <w:sz w:val="20"/>
          <w:szCs w:val="20"/>
          <w:color w:val="auto"/>
        </w:rPr>
        <w:tab/>
      </w:r>
      <w:r>
        <w:rPr>
          <w:rFonts w:ascii="Arial" w:cs="Arial" w:eastAsia="Arial" w:hAnsi="Arial"/>
          <w:sz w:val="9"/>
          <w:szCs w:val="9"/>
          <w:b w:val="1"/>
          <w:bCs w:val="1"/>
          <w:color w:val="auto"/>
        </w:rPr>
        <w:t>615,441,041</w:t>
      </w:r>
      <w:r>
        <w:rPr>
          <w:sz w:val="20"/>
          <w:szCs w:val="20"/>
          <w:color w:val="auto"/>
        </w:rPr>
        <w:tab/>
      </w:r>
      <w:r>
        <w:rPr>
          <w:rFonts w:ascii="Arial" w:cs="Arial" w:eastAsia="Arial" w:hAnsi="Arial"/>
          <w:sz w:val="9"/>
          <w:szCs w:val="9"/>
          <w:b w:val="1"/>
          <w:bCs w:val="1"/>
          <w:color w:val="auto"/>
        </w:rPr>
        <w:t>45.2%</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9"/>
          <w:szCs w:val="9"/>
          <w:color w:val="auto"/>
        </w:rPr>
        <w:t>(1) Corporate or bond rating from S&amp;P or Moody's.</w:t>
      </w:r>
    </w:p>
    <w:p>
      <w:pPr>
        <w:spacing w:after="0" w:line="342"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40</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20"/>
          </w:cols>
          <w:pgMar w:left="900" w:top="338" w:right="87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TENANT DIVERSIFICATION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Based on SLG Share of Annualized Cash Rent</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Category</w:t>
            </w:r>
          </w:p>
        </w:tc>
        <w:tc>
          <w:tcPr>
            <w:tcW w:w="2920" w:type="dxa"/>
            <w:vAlign w:val="bottom"/>
            <w:gridSpan w:val="3"/>
          </w:tcPr>
          <w:p>
            <w:pPr>
              <w:jc w:val="right"/>
              <w:ind w:right="860"/>
              <w:spacing w:after="0"/>
              <w:rPr>
                <w:sz w:val="20"/>
                <w:szCs w:val="20"/>
                <w:color w:val="auto"/>
              </w:rPr>
            </w:pPr>
            <w:r>
              <w:rPr>
                <w:rFonts w:ascii="Arial" w:cs="Arial" w:eastAsia="Arial" w:hAnsi="Arial"/>
                <w:sz w:val="13"/>
                <w:szCs w:val="13"/>
                <w:b w:val="1"/>
                <w:bCs w:val="1"/>
                <w:color w:val="auto"/>
              </w:rPr>
              <w:t>Manhattan Properties</w:t>
            </w:r>
          </w:p>
        </w:tc>
        <w:tc>
          <w:tcPr>
            <w:tcW w:w="4200" w:type="dxa"/>
            <w:vAlign w:val="bottom"/>
            <w:gridSpan w:val="4"/>
          </w:tcPr>
          <w:p>
            <w:pPr>
              <w:ind w:left="780"/>
              <w:spacing w:after="0"/>
              <w:rPr>
                <w:sz w:val="20"/>
                <w:szCs w:val="20"/>
                <w:color w:val="auto"/>
              </w:rPr>
            </w:pPr>
            <w:r>
              <w:rPr>
                <w:rFonts w:ascii="Arial" w:cs="Arial" w:eastAsia="Arial" w:hAnsi="Arial"/>
                <w:sz w:val="13"/>
                <w:szCs w:val="13"/>
                <w:b w:val="1"/>
                <w:bCs w:val="1"/>
                <w:color w:val="auto"/>
              </w:rPr>
              <w:t>Suburban Properties</w:t>
            </w: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88"/>
        </w:trPr>
        <w:tc>
          <w:tcPr>
            <w:tcW w:w="2920" w:type="dxa"/>
            <w:vAlign w:val="bottom"/>
            <w:gridSpan w:val="3"/>
          </w:tcPr>
          <w:p>
            <w:pPr>
              <w:ind w:left="1280"/>
              <w:spacing w:after="0"/>
              <w:rPr>
                <w:sz w:val="20"/>
                <w:szCs w:val="20"/>
                <w:color w:val="auto"/>
              </w:rPr>
            </w:pPr>
            <w:r>
              <w:rPr>
                <w:rFonts w:ascii="Arial" w:cs="Arial" w:eastAsia="Arial" w:hAnsi="Arial"/>
                <w:sz w:val="13"/>
                <w:szCs w:val="13"/>
                <w:color w:val="auto"/>
              </w:rPr>
              <w:t>Arts, Ent. &amp; Recreation</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4.0%</w:t>
            </w:r>
          </w:p>
        </w:tc>
        <w:tc>
          <w:tcPr>
            <w:tcW w:w="860" w:type="dxa"/>
            <w:vAlign w:val="bottom"/>
          </w:tcPr>
          <w:p>
            <w:pPr>
              <w:spacing w:after="0"/>
              <w:rPr>
                <w:sz w:val="24"/>
                <w:szCs w:val="24"/>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Business Services</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2.5%</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Financial Services</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31.2%</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31.9%</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Government / Non Profit</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3.3%</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Legal</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6.8%</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Manufacturing</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2.2%</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Medical</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2.2%</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Other</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6.6%</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Professional Services</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6.4%</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11.1%</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Retail</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8.6%</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81"/>
        </w:trPr>
        <w:tc>
          <w:tcPr>
            <w:tcW w:w="2920" w:type="dxa"/>
            <w:vAlign w:val="bottom"/>
            <w:gridSpan w:val="3"/>
          </w:tcPr>
          <w:p>
            <w:pPr>
              <w:ind w:left="1200"/>
              <w:spacing w:after="0"/>
              <w:rPr>
                <w:sz w:val="20"/>
                <w:szCs w:val="20"/>
                <w:color w:val="auto"/>
              </w:rPr>
            </w:pPr>
            <w:r>
              <w:rPr>
                <w:rFonts w:ascii="Arial" w:cs="Arial" w:eastAsia="Arial" w:hAnsi="Arial"/>
                <w:sz w:val="13"/>
                <w:szCs w:val="13"/>
                <w:color w:val="auto"/>
              </w:rPr>
              <w:t>TAMI</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9"/>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Technology</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1.6%</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6.8%</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Advertising</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5.3%</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0.9%</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Media</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19.0%</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11.8%</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Information</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0.4%</w:t>
            </w:r>
          </w:p>
        </w:tc>
        <w:tc>
          <w:tcPr>
            <w:tcW w:w="86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0.0%</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79"/>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7"/>
        </w:trPr>
        <w:tc>
          <w:tcPr>
            <w:tcW w:w="1280" w:type="dxa"/>
            <w:vAlign w:val="bottom"/>
          </w:tcPr>
          <w:p>
            <w:pPr>
              <w:spacing w:after="0"/>
              <w:rPr>
                <w:sz w:val="17"/>
                <w:szCs w:val="17"/>
                <w:color w:val="auto"/>
              </w:rPr>
            </w:pPr>
          </w:p>
        </w:tc>
        <w:tc>
          <w:tcPr>
            <w:tcW w:w="1640" w:type="dxa"/>
            <w:vAlign w:val="bottom"/>
            <w:gridSpan w:val="2"/>
          </w:tcPr>
          <w:p>
            <w:pPr>
              <w:ind w:left="340"/>
              <w:spacing w:after="0"/>
              <w:rPr>
                <w:sz w:val="20"/>
                <w:szCs w:val="20"/>
                <w:color w:val="auto"/>
              </w:rPr>
            </w:pPr>
            <w:r>
              <w:rPr>
                <w:rFonts w:ascii="Arial" w:cs="Arial" w:eastAsia="Arial" w:hAnsi="Arial"/>
                <w:sz w:val="13"/>
                <w:szCs w:val="13"/>
                <w:b w:val="1"/>
                <w:bCs w:val="1"/>
                <w:color w:val="auto"/>
              </w:rPr>
              <w:t>Total</w:t>
            </w:r>
          </w:p>
        </w:tc>
        <w:tc>
          <w:tcPr>
            <w:tcW w:w="2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100.0%</w:t>
            </w:r>
          </w:p>
        </w:tc>
        <w:tc>
          <w:tcPr>
            <w:tcW w:w="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96"/>
        </w:trPr>
        <w:tc>
          <w:tcPr>
            <w:tcW w:w="2920" w:type="dxa"/>
            <w:vAlign w:val="bottom"/>
            <w:gridSpan w:val="3"/>
          </w:tcPr>
          <w:p>
            <w:pPr>
              <w:spacing w:after="0"/>
              <w:rPr>
                <w:sz w:val="20"/>
                <w:szCs w:val="20"/>
                <w:color w:val="auto"/>
              </w:rPr>
            </w:pPr>
            <w:r>
              <w:rPr>
                <w:rFonts w:ascii="Arial" w:cs="Arial" w:eastAsia="Arial" w:hAnsi="Arial"/>
                <w:sz w:val="10"/>
                <w:szCs w:val="10"/>
                <w:color w:val="auto"/>
              </w:rPr>
              <w:t>Supplemental Information</w:t>
            </w:r>
          </w:p>
        </w:tc>
        <w:tc>
          <w:tcPr>
            <w:tcW w:w="2920" w:type="dxa"/>
            <w:vAlign w:val="bottom"/>
            <w:gridSpan w:val="3"/>
          </w:tcPr>
          <w:p>
            <w:pPr>
              <w:jc w:val="right"/>
              <w:ind w:right="780"/>
              <w:spacing w:after="0"/>
              <w:rPr>
                <w:sz w:val="20"/>
                <w:szCs w:val="20"/>
                <w:color w:val="auto"/>
              </w:rPr>
            </w:pPr>
            <w:r>
              <w:rPr>
                <w:rFonts w:ascii="Arial" w:cs="Arial" w:eastAsia="Arial" w:hAnsi="Arial"/>
                <w:sz w:val="10"/>
                <w:szCs w:val="10"/>
                <w:color w:val="auto"/>
              </w:rPr>
              <w:t>41</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ind w:left="1140"/>
              <w:spacing w:after="0"/>
              <w:rPr>
                <w:sz w:val="20"/>
                <w:szCs w:val="20"/>
                <w:color w:val="auto"/>
              </w:rPr>
            </w:pPr>
            <w:r>
              <w:rPr>
                <w:rFonts w:ascii="Arial" w:cs="Arial" w:eastAsia="Arial" w:hAnsi="Arial"/>
                <w:sz w:val="10"/>
                <w:szCs w:val="10"/>
                <w:color w:val="auto"/>
              </w:rPr>
              <w:t>Second Quarter 2016</w:t>
            </w:r>
          </w:p>
        </w:tc>
      </w:tr>
    </w:tbl>
    <w:p>
      <w:pPr>
        <w:sectPr>
          <w:pgSz w:w="11900" w:h="16838" w:orient="portrait"/>
          <w:cols w:equalWidth="0" w:num="1">
            <w:col w:w="10080"/>
          </w:cols>
          <w:pgMar w:left="900" w:top="338" w:right="919" w:bottom="1440" w:gutter="0" w:footer="0" w:header="0"/>
        </w:sectPr>
      </w:pPr>
    </w:p>
    <w:bookmarkStart w:id="58" w:name="page59"/>
    <w:bookmarkEnd w:id="5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Space</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Escalated</w:t>
            </w:r>
          </w:p>
        </w:tc>
      </w:tr>
      <w:tr>
        <w:trPr>
          <w:trHeight w:val="100"/>
        </w:trPr>
        <w:tc>
          <w:tcPr>
            <w:tcW w:w="2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Arial" w:cs="Arial" w:eastAsia="Arial" w:hAnsi="Arial"/>
                <w:sz w:val="9"/>
                <w:szCs w:val="9"/>
                <w:b w:val="1"/>
                <w:bCs w:val="1"/>
                <w:color w:val="auto"/>
                <w:w w:val="92"/>
              </w:rPr>
              <w:t>Activity</w:t>
            </w: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tcPr>
          <w:p>
            <w:pPr>
              <w:spacing w:after="0" w:line="101" w:lineRule="exact"/>
              <w:rPr>
                <w:sz w:val="20"/>
                <w:szCs w:val="20"/>
                <w:color w:val="auto"/>
              </w:rPr>
            </w:pPr>
            <w:r>
              <w:rPr>
                <w:rFonts w:ascii="Arial" w:cs="Arial" w:eastAsia="Arial" w:hAnsi="Arial"/>
                <w:sz w:val="9"/>
                <w:szCs w:val="9"/>
                <w:b w:val="1"/>
                <w:bCs w:val="1"/>
                <w:color w:val="auto"/>
              </w:rPr>
              <w:t>Building Address</w:t>
            </w:r>
          </w:p>
        </w:tc>
        <w:tc>
          <w:tcPr>
            <w:tcW w:w="240" w:type="dxa"/>
            <w:vAlign w:val="bottom"/>
          </w:tcPr>
          <w:p>
            <w:pPr>
              <w:spacing w:after="0"/>
              <w:rPr>
                <w:sz w:val="8"/>
                <w:szCs w:val="8"/>
                <w:color w:val="auto"/>
              </w:rPr>
            </w:pPr>
          </w:p>
        </w:tc>
        <w:tc>
          <w:tcPr>
            <w:tcW w:w="980" w:type="dxa"/>
            <w:vAlign w:val="bottom"/>
            <w:gridSpan w:val="2"/>
          </w:tcPr>
          <w:p>
            <w:pPr>
              <w:jc w:val="right"/>
              <w:ind w:right="520"/>
              <w:spacing w:after="0" w:line="101" w:lineRule="exact"/>
              <w:rPr>
                <w:sz w:val="20"/>
                <w:szCs w:val="20"/>
                <w:color w:val="auto"/>
              </w:rPr>
            </w:pPr>
            <w:r>
              <w:rPr>
                <w:rFonts w:ascii="Arial" w:cs="Arial" w:eastAsia="Arial" w:hAnsi="Arial"/>
                <w:sz w:val="9"/>
                <w:szCs w:val="9"/>
                <w:b w:val="1"/>
                <w:bCs w:val="1"/>
                <w:color w:val="auto"/>
                <w:w w:val="89"/>
              </w:rPr>
              <w:t># of Leases</w:t>
            </w:r>
          </w:p>
        </w:tc>
        <w:tc>
          <w:tcPr>
            <w:tcW w:w="1420" w:type="dxa"/>
            <w:vAlign w:val="bottom"/>
            <w:gridSpan w:val="3"/>
          </w:tcPr>
          <w:p>
            <w:pPr>
              <w:ind w:left="500"/>
              <w:spacing w:after="0" w:line="101" w:lineRule="exact"/>
              <w:rPr>
                <w:sz w:val="20"/>
                <w:szCs w:val="20"/>
                <w:color w:val="auto"/>
              </w:rPr>
            </w:pPr>
            <w:r>
              <w:rPr>
                <w:rFonts w:ascii="Arial" w:cs="Arial" w:eastAsia="Arial" w:hAnsi="Arial"/>
                <w:sz w:val="9"/>
                <w:szCs w:val="9"/>
                <w:b w:val="1"/>
                <w:bCs w:val="1"/>
                <w:color w:val="auto"/>
              </w:rPr>
              <w:t>Useable SF</w:t>
            </w:r>
          </w:p>
        </w:tc>
        <w:tc>
          <w:tcPr>
            <w:tcW w:w="1400" w:type="dxa"/>
            <w:vAlign w:val="bottom"/>
            <w:gridSpan w:val="3"/>
          </w:tcPr>
          <w:p>
            <w:pPr>
              <w:ind w:left="440"/>
              <w:spacing w:after="0" w:line="101" w:lineRule="exact"/>
              <w:rPr>
                <w:sz w:val="20"/>
                <w:szCs w:val="20"/>
                <w:color w:val="auto"/>
              </w:rPr>
            </w:pPr>
            <w:r>
              <w:rPr>
                <w:rFonts w:ascii="Arial" w:cs="Arial" w:eastAsia="Arial" w:hAnsi="Arial"/>
                <w:sz w:val="9"/>
                <w:szCs w:val="9"/>
                <w:b w:val="1"/>
                <w:bCs w:val="1"/>
                <w:color w:val="auto"/>
              </w:rPr>
              <w:t>Rentable SF</w:t>
            </w:r>
          </w:p>
        </w:tc>
        <w:tc>
          <w:tcPr>
            <w:tcW w:w="560" w:type="dxa"/>
            <w:vAlign w:val="bottom"/>
          </w:tcPr>
          <w:p>
            <w:pPr>
              <w:spacing w:after="0"/>
              <w:rPr>
                <w:sz w:val="8"/>
                <w:szCs w:val="8"/>
                <w:color w:val="auto"/>
              </w:rPr>
            </w:pPr>
          </w:p>
        </w:tc>
        <w:tc>
          <w:tcPr>
            <w:tcW w:w="1120" w:type="dxa"/>
            <w:vAlign w:val="bottom"/>
            <w:gridSpan w:val="3"/>
          </w:tcPr>
          <w:p>
            <w:pPr>
              <w:jc w:val="right"/>
              <w:ind w:right="20"/>
              <w:spacing w:after="0" w:line="101" w:lineRule="exact"/>
              <w:rPr>
                <w:sz w:val="20"/>
                <w:szCs w:val="20"/>
                <w:color w:val="auto"/>
              </w:rPr>
            </w:pPr>
            <w:r>
              <w:rPr>
                <w:rFonts w:ascii="Arial" w:cs="Arial" w:eastAsia="Arial" w:hAnsi="Arial"/>
                <w:sz w:val="9"/>
                <w:szCs w:val="9"/>
                <w:b w:val="1"/>
                <w:bCs w:val="1"/>
                <w:color w:val="auto"/>
              </w:rPr>
              <w:t xml:space="preserve">Rent/Rentable SF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's)(1)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9"/>
                <w:szCs w:val="9"/>
                <w:b w:val="1"/>
                <w:bCs w:val="1"/>
                <w:i w:val="1"/>
                <w:iCs w:val="1"/>
                <w:color w:val="auto"/>
              </w:rPr>
              <w:t>Available Space at 3/31/16</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1,040,027</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7"/>
          </w:tcPr>
          <w:p>
            <w:pPr>
              <w:spacing w:after="0"/>
              <w:rPr>
                <w:sz w:val="20"/>
                <w:szCs w:val="20"/>
                <w:color w:val="auto"/>
              </w:rPr>
            </w:pPr>
            <w:r>
              <w:rPr>
                <w:rFonts w:ascii="Arial" w:cs="Arial" w:eastAsia="Arial" w:hAnsi="Arial"/>
                <w:sz w:val="9"/>
                <w:szCs w:val="9"/>
                <w:b w:val="1"/>
                <w:bCs w:val="1"/>
                <w:i w:val="1"/>
                <w:iCs w:val="1"/>
                <w:color w:val="auto"/>
              </w:rPr>
              <w:t>Space which became available during the Quarter (2):</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gridSpan w:val="3"/>
          </w:tcPr>
          <w:p>
            <w:pPr>
              <w:jc w:val="right"/>
              <w:ind w:right="156"/>
              <w:spacing w:after="0"/>
              <w:rPr>
                <w:sz w:val="20"/>
                <w:szCs w:val="20"/>
                <w:color w:val="auto"/>
              </w:rPr>
            </w:pPr>
            <w:r>
              <w:rPr>
                <w:rFonts w:ascii="Arial" w:cs="Arial" w:eastAsia="Arial" w:hAnsi="Arial"/>
                <w:sz w:val="9"/>
                <w:szCs w:val="9"/>
                <w:b w:val="1"/>
                <w:bCs w:val="1"/>
                <w:i w:val="1"/>
                <w:iCs w:val="1"/>
                <w:color w:val="auto"/>
              </w:rPr>
              <w:t>Office</w:t>
            </w: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4"/>
          </w:tcPr>
          <w:p>
            <w:pPr>
              <w:ind w:left="20"/>
              <w:spacing w:after="0"/>
              <w:rPr>
                <w:sz w:val="20"/>
                <w:szCs w:val="20"/>
                <w:color w:val="auto"/>
              </w:rPr>
            </w:pPr>
            <w:r>
              <w:rPr>
                <w:rFonts w:ascii="Arial" w:cs="Arial" w:eastAsia="Arial" w:hAnsi="Arial"/>
                <w:sz w:val="9"/>
                <w:szCs w:val="9"/>
                <w:color w:val="auto"/>
              </w:rPr>
              <w:t>3 Columbus Circle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3,886</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3,886</w:t>
            </w:r>
          </w:p>
        </w:tc>
        <w:tc>
          <w:tcPr>
            <w:tcW w:w="56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78.00</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110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East 42nd Street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17,505</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17,505</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51.97</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110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Greene Street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6</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10,740</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9,489</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75.86</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220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East 42nd Street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2</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27,901</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28,308</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39.11</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280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Park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2</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43,316</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46,618</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80.43</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420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Lexington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5</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13,926</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17,150</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51.63</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461</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Fifth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10,595</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10,932</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83.54</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521</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Fifth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5,822</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5,822</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70.32</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600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Lexington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8,607</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8,001</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62.99</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625</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Madison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24,247</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23,933</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76.26</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711</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4,975</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5,443</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51.57</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800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2,973</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2,973</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64.41</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810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Seventh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7,721</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8,698</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66.61</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4"/>
          </w:tcPr>
          <w:p>
            <w:pPr>
              <w:ind w:left="20"/>
              <w:spacing w:after="0"/>
              <w:rPr>
                <w:sz w:val="20"/>
                <w:szCs w:val="20"/>
                <w:color w:val="auto"/>
              </w:rPr>
            </w:pPr>
            <w:r>
              <w:rPr>
                <w:rFonts w:ascii="Arial" w:cs="Arial" w:eastAsia="Arial" w:hAnsi="Arial"/>
                <w:sz w:val="9"/>
                <w:szCs w:val="9"/>
                <w:color w:val="auto"/>
              </w:rPr>
              <w:t>1185 Avenue of the Americas</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color w:val="auto"/>
              </w:rPr>
              <w:t>1</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26,500</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color w:val="auto"/>
              </w:rPr>
              <w:t>27,508</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89.29</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ind w:left="700"/>
              <w:spacing w:after="0"/>
              <w:rPr>
                <w:sz w:val="20"/>
                <w:szCs w:val="20"/>
                <w:color w:val="auto"/>
              </w:rPr>
            </w:pPr>
            <w:r>
              <w:rPr>
                <w:rFonts w:ascii="Arial" w:cs="Arial" w:eastAsia="Arial" w:hAnsi="Arial"/>
                <w:sz w:val="9"/>
                <w:szCs w:val="9"/>
                <w:b w:val="1"/>
                <w:bCs w:val="1"/>
                <w:i w:val="1"/>
                <w:iCs w:val="1"/>
                <w:color w:val="auto"/>
                <w:w w:val="95"/>
              </w:rPr>
              <w:t>Total/Weighted Average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25</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208,714</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216,266</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68.59</w:t>
            </w:r>
          </w:p>
        </w:tc>
        <w:tc>
          <w:tcPr>
            <w:tcW w:w="20" w:type="dxa"/>
            <w:vAlign w:val="bottom"/>
          </w:tcPr>
          <w:p>
            <w:pPr>
              <w:spacing w:after="0"/>
              <w:rPr>
                <w:sz w:val="17"/>
                <w:szCs w:val="17"/>
                <w:color w:val="auto"/>
              </w:rPr>
            </w:pPr>
          </w:p>
        </w:tc>
      </w:tr>
      <w:tr>
        <w:trPr>
          <w:trHeight w:val="31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gridSpan w:val="3"/>
          </w:tcPr>
          <w:p>
            <w:pPr>
              <w:jc w:val="right"/>
              <w:ind w:right="156"/>
              <w:spacing w:after="0"/>
              <w:rPr>
                <w:sz w:val="20"/>
                <w:szCs w:val="20"/>
                <w:color w:val="auto"/>
              </w:rPr>
            </w:pPr>
            <w:r>
              <w:rPr>
                <w:rFonts w:ascii="Arial" w:cs="Arial" w:eastAsia="Arial" w:hAnsi="Arial"/>
                <w:sz w:val="9"/>
                <w:szCs w:val="9"/>
                <w:b w:val="1"/>
                <w:bCs w:val="1"/>
                <w:i w:val="1"/>
                <w:iCs w:val="1"/>
                <w:color w:val="auto"/>
              </w:rPr>
              <w:t>Retail</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220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East 42nd Street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2,908</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3,309</w:t>
            </w:r>
          </w:p>
        </w:tc>
        <w:tc>
          <w:tcPr>
            <w:tcW w:w="56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100.12</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625</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Madison Avenue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3,618</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3,618</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153.23</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4"/>
          </w:tcPr>
          <w:p>
            <w:pPr>
              <w:ind w:left="20"/>
              <w:spacing w:after="0"/>
              <w:rPr>
                <w:sz w:val="20"/>
                <w:szCs w:val="20"/>
                <w:color w:val="auto"/>
              </w:rPr>
            </w:pPr>
            <w:r>
              <w:rPr>
                <w:rFonts w:ascii="Arial" w:cs="Arial" w:eastAsia="Arial" w:hAnsi="Arial"/>
                <w:sz w:val="9"/>
                <w:szCs w:val="9"/>
                <w:color w:val="auto"/>
              </w:rPr>
              <w:t>1350 Avenue of the Americas</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color w:val="auto"/>
              </w:rPr>
              <w:t>9,400</w:t>
            </w: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color w:val="auto"/>
              </w:rPr>
              <w:t>9,400</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119.05</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ind w:left="700"/>
              <w:spacing w:after="0"/>
              <w:rPr>
                <w:sz w:val="20"/>
                <w:szCs w:val="20"/>
                <w:color w:val="auto"/>
              </w:rPr>
            </w:pPr>
            <w:r>
              <w:rPr>
                <w:rFonts w:ascii="Arial" w:cs="Arial" w:eastAsia="Arial" w:hAnsi="Arial"/>
                <w:sz w:val="9"/>
                <w:szCs w:val="9"/>
                <w:b w:val="1"/>
                <w:bCs w:val="1"/>
                <w:i w:val="1"/>
                <w:iCs w:val="1"/>
                <w:color w:val="auto"/>
                <w:w w:val="95"/>
              </w:rPr>
              <w:t>Total/Weighted Average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3</w:t>
            </w: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15,926</w:t>
            </w:r>
          </w:p>
        </w:tc>
        <w:tc>
          <w:tcPr>
            <w:tcW w:w="440" w:type="dxa"/>
            <w:vAlign w:val="bottom"/>
          </w:tcPr>
          <w:p>
            <w:pPr>
              <w:spacing w:after="0"/>
              <w:rPr>
                <w:sz w:val="17"/>
                <w:szCs w:val="17"/>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16,327</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122.79</w:t>
            </w:r>
          </w:p>
        </w:tc>
        <w:tc>
          <w:tcPr>
            <w:tcW w:w="20" w:type="dxa"/>
            <w:vAlign w:val="bottom"/>
          </w:tcPr>
          <w:p>
            <w:pPr>
              <w:spacing w:after="0"/>
              <w:rPr>
                <w:sz w:val="17"/>
                <w:szCs w:val="17"/>
                <w:color w:val="auto"/>
              </w:rPr>
            </w:pPr>
          </w:p>
        </w:tc>
      </w:tr>
      <w:tr>
        <w:trPr>
          <w:trHeight w:val="31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gridSpan w:val="3"/>
          </w:tcPr>
          <w:p>
            <w:pPr>
              <w:jc w:val="right"/>
              <w:ind w:right="156"/>
              <w:spacing w:after="0"/>
              <w:rPr>
                <w:sz w:val="20"/>
                <w:szCs w:val="20"/>
                <w:color w:val="auto"/>
              </w:rPr>
            </w:pPr>
            <w:r>
              <w:rPr>
                <w:rFonts w:ascii="Arial" w:cs="Arial" w:eastAsia="Arial" w:hAnsi="Arial"/>
                <w:sz w:val="9"/>
                <w:szCs w:val="9"/>
                <w:b w:val="1"/>
                <w:bCs w:val="1"/>
                <w:i w:val="1"/>
                <w:iCs w:val="1"/>
                <w:color w:val="auto"/>
              </w:rPr>
              <w:t>Storage</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3"/>
          </w:tcPr>
          <w:p>
            <w:pPr>
              <w:ind w:left="620"/>
              <w:spacing w:after="0"/>
              <w:rPr>
                <w:sz w:val="20"/>
                <w:szCs w:val="20"/>
                <w:color w:val="auto"/>
              </w:rPr>
            </w:pPr>
            <w:r>
              <w:rPr>
                <w:rFonts w:ascii="Arial" w:cs="Arial" w:eastAsia="Arial" w:hAnsi="Arial"/>
                <w:sz w:val="9"/>
                <w:szCs w:val="9"/>
                <w:color w:val="auto"/>
                <w:w w:val="92"/>
              </w:rPr>
              <w:t>280</w:t>
            </w:r>
          </w:p>
        </w:tc>
        <w:tc>
          <w:tcPr>
            <w:tcW w:w="2260" w:type="dxa"/>
            <w:vAlign w:val="bottom"/>
            <w:gridSpan w:val="2"/>
          </w:tcPr>
          <w:p>
            <w:pPr>
              <w:ind w:left="20"/>
              <w:spacing w:after="0"/>
              <w:rPr>
                <w:sz w:val="20"/>
                <w:szCs w:val="20"/>
                <w:color w:val="auto"/>
              </w:rPr>
            </w:pPr>
            <w:r>
              <w:rPr>
                <w:rFonts w:ascii="Arial" w:cs="Arial" w:eastAsia="Arial" w:hAnsi="Arial"/>
                <w:sz w:val="9"/>
                <w:szCs w:val="9"/>
                <w:color w:val="auto"/>
              </w:rPr>
              <w:t>Park Avenue</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color w:val="auto"/>
              </w:rPr>
              <w:t>1</w:t>
            </w: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color w:val="auto"/>
              </w:rPr>
              <w:t>30</w:t>
            </w: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30.00</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ind w:left="700"/>
              <w:spacing w:after="0"/>
              <w:rPr>
                <w:sz w:val="20"/>
                <w:szCs w:val="20"/>
                <w:color w:val="auto"/>
              </w:rPr>
            </w:pPr>
            <w:r>
              <w:rPr>
                <w:rFonts w:ascii="Arial" w:cs="Arial" w:eastAsia="Arial" w:hAnsi="Arial"/>
                <w:sz w:val="9"/>
                <w:szCs w:val="9"/>
                <w:b w:val="1"/>
                <w:bCs w:val="1"/>
                <w:i w:val="1"/>
                <w:iCs w:val="1"/>
                <w:color w:val="auto"/>
                <w:w w:val="95"/>
              </w:rPr>
              <w:t>Total/Weighted Average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30</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30.00</w:t>
            </w:r>
          </w:p>
        </w:tc>
        <w:tc>
          <w:tcPr>
            <w:tcW w:w="20" w:type="dxa"/>
            <w:vAlign w:val="bottom"/>
          </w:tcPr>
          <w:p>
            <w:pPr>
              <w:spacing w:after="0"/>
              <w:rPr>
                <w:sz w:val="17"/>
                <w:szCs w:val="17"/>
                <w:color w:val="auto"/>
              </w:rPr>
            </w:pPr>
          </w:p>
        </w:tc>
      </w:tr>
      <w:tr>
        <w:trPr>
          <w:trHeight w:val="50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Borders>
              <w:bottom w:val="single" w:sz="8" w:color="auto"/>
            </w:tcBorders>
            <w:gridSpan w:val="4"/>
          </w:tcPr>
          <w:p>
            <w:pPr>
              <w:ind w:left="20"/>
              <w:spacing w:after="0"/>
              <w:rPr>
                <w:sz w:val="20"/>
                <w:szCs w:val="20"/>
                <w:color w:val="auto"/>
              </w:rPr>
            </w:pPr>
            <w:r>
              <w:rPr>
                <w:rFonts w:ascii="Arial" w:cs="Arial" w:eastAsia="Arial" w:hAnsi="Arial"/>
                <w:sz w:val="9"/>
                <w:szCs w:val="9"/>
                <w:b w:val="1"/>
                <w:bCs w:val="1"/>
                <w:color w:val="auto"/>
              </w:rPr>
              <w:t>Total Space which became available during the quarter</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jc w:val="center"/>
              <w:ind w:right="696"/>
              <w:spacing w:after="0"/>
              <w:rPr>
                <w:sz w:val="20"/>
                <w:szCs w:val="20"/>
                <w:color w:val="auto"/>
              </w:rPr>
            </w:pPr>
            <w:r>
              <w:rPr>
                <w:rFonts w:ascii="Arial" w:cs="Arial" w:eastAsia="Arial" w:hAnsi="Arial"/>
                <w:sz w:val="9"/>
                <w:szCs w:val="9"/>
                <w:b w:val="1"/>
                <w:bCs w:val="1"/>
                <w:i w:val="1"/>
                <w:iCs w:val="1"/>
                <w:color w:val="auto"/>
                <w:w w:val="93"/>
              </w:rPr>
              <w:t>Office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25</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208,714</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216,266</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68.59</w:t>
            </w:r>
          </w:p>
        </w:tc>
        <w:tc>
          <w:tcPr>
            <w:tcW w:w="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jc w:val="center"/>
              <w:ind w:right="696"/>
              <w:spacing w:after="0"/>
              <w:rPr>
                <w:sz w:val="20"/>
                <w:szCs w:val="20"/>
                <w:color w:val="auto"/>
              </w:rPr>
            </w:pPr>
            <w:r>
              <w:rPr>
                <w:rFonts w:ascii="Arial" w:cs="Arial" w:eastAsia="Arial" w:hAnsi="Arial"/>
                <w:sz w:val="9"/>
                <w:szCs w:val="9"/>
                <w:b w:val="1"/>
                <w:bCs w:val="1"/>
                <w:i w:val="1"/>
                <w:iCs w:val="1"/>
                <w:color w:val="auto"/>
                <w:w w:val="97"/>
              </w:rPr>
              <w:t>Retail</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3</w:t>
            </w: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15,926</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16,327</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122.79</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jc w:val="center"/>
              <w:ind w:right="696"/>
              <w:spacing w:after="0"/>
              <w:rPr>
                <w:sz w:val="20"/>
                <w:szCs w:val="20"/>
                <w:color w:val="auto"/>
              </w:rPr>
            </w:pPr>
            <w:r>
              <w:rPr>
                <w:rFonts w:ascii="Arial" w:cs="Arial" w:eastAsia="Arial" w:hAnsi="Arial"/>
                <w:sz w:val="9"/>
                <w:szCs w:val="9"/>
                <w:b w:val="1"/>
                <w:bCs w:val="1"/>
                <w:i w:val="1"/>
                <w:iCs w:val="1"/>
                <w:color w:val="auto"/>
                <w:w w:val="95"/>
              </w:rPr>
              <w:t>Storage</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b w:val="1"/>
                <w:bCs w:val="1"/>
                <w:color w:val="auto"/>
              </w:rPr>
              <w:t>1</w:t>
            </w:r>
          </w:p>
        </w:tc>
        <w:tc>
          <w:tcPr>
            <w:tcW w:w="1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b w:val="1"/>
                <w:bCs w:val="1"/>
                <w:color w:val="auto"/>
              </w:rPr>
              <w:t>1</w:t>
            </w: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b w:val="1"/>
                <w:bCs w:val="1"/>
                <w:color w:val="auto"/>
              </w:rPr>
              <w:t>30</w:t>
            </w: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30.00</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29</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224,641</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232,623</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72.39</w:t>
            </w:r>
          </w:p>
        </w:tc>
        <w:tc>
          <w:tcPr>
            <w:tcW w:w="20" w:type="dxa"/>
            <w:vAlign w:val="bottom"/>
          </w:tcPr>
          <w:p>
            <w:pPr>
              <w:spacing w:after="0"/>
              <w:rPr>
                <w:sz w:val="17"/>
                <w:szCs w:val="17"/>
                <w:color w:val="auto"/>
              </w:rPr>
            </w:pPr>
          </w:p>
        </w:tc>
      </w:tr>
      <w:tr>
        <w:trPr>
          <w:trHeight w:val="3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jc w:val="center"/>
              <w:ind w:right="676"/>
              <w:spacing w:after="0"/>
              <w:rPr>
                <w:sz w:val="20"/>
                <w:szCs w:val="20"/>
                <w:color w:val="auto"/>
              </w:rPr>
            </w:pPr>
            <w:r>
              <w:rPr>
                <w:rFonts w:ascii="Arial" w:cs="Arial" w:eastAsia="Arial" w:hAnsi="Arial"/>
                <w:sz w:val="9"/>
                <w:szCs w:val="9"/>
                <w:b w:val="1"/>
                <w:bCs w:val="1"/>
                <w:i w:val="1"/>
                <w:iCs w:val="1"/>
                <w:color w:val="auto"/>
                <w:w w:val="97"/>
              </w:rPr>
              <w:t>Total Available Space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1,264,668</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88" w:lineRule="exact"/>
        <w:rPr>
          <w:sz w:val="20"/>
          <w:szCs w:val="20"/>
          <w:color w:val="auto"/>
        </w:rPr>
      </w:pPr>
    </w:p>
    <w:p>
      <w:pPr>
        <w:ind w:left="140" w:hanging="124"/>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9"/>
          <w:szCs w:val="9"/>
          <w:color w:val="auto"/>
        </w:rPr>
        <w:t>Escalated rent is calculated as total annual lease related income excluding electric charges.</w:t>
      </w:r>
    </w:p>
    <w:p>
      <w:pPr>
        <w:spacing w:after="0" w:line="115" w:lineRule="exact"/>
        <w:rPr>
          <w:rFonts w:ascii="Arial" w:cs="Arial" w:eastAsia="Arial" w:hAnsi="Arial"/>
          <w:sz w:val="9"/>
          <w:szCs w:val="9"/>
          <w:color w:val="auto"/>
        </w:rPr>
      </w:pPr>
    </w:p>
    <w:p>
      <w:pPr>
        <w:ind w:left="140" w:hanging="124"/>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9"/>
          <w:szCs w:val="9"/>
          <w:color w:val="auto"/>
        </w:rPr>
        <w:t>Includes expiring space, relocating tenants and move-outs where tenants vacated. Excludes lease expirations where tenants heldover.</w:t>
      </w: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42</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20"/>
          </w:cols>
          <w:pgMar w:left="900" w:top="338" w:right="879" w:bottom="1440" w:gutter="0" w:footer="0" w:header="0"/>
        </w:sectPr>
      </w:pPr>
    </w:p>
    <w:bookmarkStart w:id="59" w:name="page60"/>
    <w:bookmarkEnd w:id="5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Commenced Leasing</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20" w:type="dxa"/>
        <w:tblCellMar>
          <w:top w:w="0" w:type="dxa"/>
          <w:left w:w="0" w:type="dxa"/>
          <w:bottom w:w="0" w:type="dxa"/>
          <w:right w:w="0" w:type="dxa"/>
        </w:tblCellMar>
      </w:tblPr>
      <w:tr>
        <w:trPr>
          <w:trHeight w:val="80"/>
        </w:trPr>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7"/>
                <w:szCs w:val="7"/>
                <w:b w:val="1"/>
                <w:bCs w:val="1"/>
                <w:color w:val="auto"/>
              </w:rPr>
              <w:t>New Cash Rent /</w:t>
            </w:r>
          </w:p>
        </w:tc>
        <w:tc>
          <w:tcPr>
            <w:tcW w:w="10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Prev. Escalated Rent/</w:t>
            </w: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Free Rent</w:t>
            </w:r>
          </w:p>
        </w:tc>
      </w:tr>
      <w:tr>
        <w:trPr>
          <w:trHeight w:val="100"/>
        </w:trPr>
        <w:tc>
          <w:tcPr>
            <w:tcW w:w="1340" w:type="dxa"/>
            <w:vAlign w:val="bottom"/>
            <w:tcBorders>
              <w:bottom w:val="single" w:sz="8" w:color="auto"/>
            </w:tcBorders>
          </w:tcPr>
          <w:p>
            <w:pPr>
              <w:spacing w:after="0"/>
              <w:rPr>
                <w:sz w:val="20"/>
                <w:szCs w:val="20"/>
                <w:color w:val="auto"/>
              </w:rPr>
            </w:pPr>
            <w:r>
              <w:rPr>
                <w:rFonts w:ascii="Arial" w:cs="Arial" w:eastAsia="Arial" w:hAnsi="Arial"/>
                <w:sz w:val="7"/>
                <w:szCs w:val="7"/>
                <w:b w:val="1"/>
                <w:bCs w:val="1"/>
                <w:color w:val="auto"/>
              </w:rPr>
              <w:t>Activity</w:t>
            </w:r>
          </w:p>
        </w:tc>
        <w:tc>
          <w:tcPr>
            <w:tcW w:w="186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Building Address</w:t>
            </w:r>
          </w:p>
        </w:tc>
        <w:tc>
          <w:tcPr>
            <w:tcW w:w="720" w:type="dxa"/>
            <w:vAlign w:val="bottom"/>
            <w:tcBorders>
              <w:bottom w:val="single" w:sz="8" w:color="auto"/>
            </w:tcBorders>
            <w:gridSpan w:val="2"/>
          </w:tcPr>
          <w:p>
            <w:pPr>
              <w:ind w:left="200"/>
              <w:spacing w:after="0"/>
              <w:rPr>
                <w:sz w:val="20"/>
                <w:szCs w:val="20"/>
                <w:color w:val="auto"/>
              </w:rPr>
            </w:pPr>
            <w:r>
              <w:rPr>
                <w:rFonts w:ascii="Arial" w:cs="Arial" w:eastAsia="Arial" w:hAnsi="Arial"/>
                <w:sz w:val="7"/>
                <w:szCs w:val="7"/>
                <w:b w:val="1"/>
                <w:bCs w:val="1"/>
                <w:color w:val="auto"/>
              </w:rPr>
              <w:t># of Leases</w:t>
            </w:r>
          </w:p>
        </w:tc>
        <w:tc>
          <w:tcPr>
            <w:tcW w:w="700" w:type="dxa"/>
            <w:vAlign w:val="bottom"/>
            <w:tcBorders>
              <w:bottom w:val="single" w:sz="8" w:color="auto"/>
            </w:tcBorders>
            <w:gridSpan w:val="2"/>
          </w:tcPr>
          <w:p>
            <w:pPr>
              <w:ind w:left="240"/>
              <w:spacing w:after="0"/>
              <w:rPr>
                <w:sz w:val="20"/>
                <w:szCs w:val="20"/>
                <w:color w:val="auto"/>
              </w:rPr>
            </w:pPr>
            <w:r>
              <w:rPr>
                <w:rFonts w:ascii="Arial" w:cs="Arial" w:eastAsia="Arial" w:hAnsi="Arial"/>
                <w:sz w:val="7"/>
                <w:szCs w:val="7"/>
                <w:b w:val="1"/>
                <w:bCs w:val="1"/>
                <w:color w:val="auto"/>
              </w:rPr>
              <w:t>Term (Yrs)</w:t>
            </w:r>
          </w:p>
        </w:tc>
        <w:tc>
          <w:tcPr>
            <w:tcW w:w="780" w:type="dxa"/>
            <w:vAlign w:val="bottom"/>
            <w:tcBorders>
              <w:bottom w:val="single" w:sz="8" w:color="auto"/>
            </w:tcBorders>
            <w:gridSpan w:val="2"/>
          </w:tcPr>
          <w:p>
            <w:pPr>
              <w:ind w:left="260"/>
              <w:spacing w:after="0"/>
              <w:rPr>
                <w:sz w:val="20"/>
                <w:szCs w:val="20"/>
                <w:color w:val="auto"/>
              </w:rPr>
            </w:pPr>
            <w:r>
              <w:rPr>
                <w:rFonts w:ascii="Arial" w:cs="Arial" w:eastAsia="Arial" w:hAnsi="Arial"/>
                <w:sz w:val="7"/>
                <w:szCs w:val="7"/>
                <w:b w:val="1"/>
                <w:bCs w:val="1"/>
                <w:color w:val="auto"/>
              </w:rPr>
              <w:t>Useable SF</w:t>
            </w:r>
          </w:p>
        </w:tc>
        <w:tc>
          <w:tcPr>
            <w:tcW w:w="840" w:type="dxa"/>
            <w:vAlign w:val="bottom"/>
            <w:tcBorders>
              <w:bottom w:val="single" w:sz="8" w:color="auto"/>
            </w:tcBorders>
            <w:gridSpan w:val="2"/>
          </w:tcPr>
          <w:p>
            <w:pPr>
              <w:ind w:left="300"/>
              <w:spacing w:after="0"/>
              <w:rPr>
                <w:sz w:val="20"/>
                <w:szCs w:val="20"/>
                <w:color w:val="auto"/>
              </w:rPr>
            </w:pPr>
            <w:r>
              <w:rPr>
                <w:rFonts w:ascii="Arial" w:cs="Arial" w:eastAsia="Arial" w:hAnsi="Arial"/>
                <w:sz w:val="7"/>
                <w:szCs w:val="7"/>
                <w:b w:val="1"/>
                <w:bCs w:val="1"/>
                <w:color w:val="auto"/>
              </w:rPr>
              <w:t>Rentable SF</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7"/>
                <w:szCs w:val="7"/>
                <w:b w:val="1"/>
                <w:bCs w:val="1"/>
                <w:color w:val="auto"/>
              </w:rPr>
              <w:t>Rentable SF(1)</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7"/>
                <w:szCs w:val="7"/>
                <w:b w:val="1"/>
                <w:bCs w:val="1"/>
                <w:color w:val="auto"/>
              </w:rPr>
              <w:t>Rentable SF(2)</w:t>
            </w:r>
          </w:p>
        </w:tc>
        <w:tc>
          <w:tcPr>
            <w:tcW w:w="860" w:type="dxa"/>
            <w:vAlign w:val="bottom"/>
            <w:tcBorders>
              <w:bottom w:val="single" w:sz="8" w:color="auto"/>
            </w:tcBorders>
            <w:gridSpan w:val="2"/>
          </w:tcPr>
          <w:p>
            <w:pPr>
              <w:ind w:left="200"/>
              <w:spacing w:after="0"/>
              <w:rPr>
                <w:sz w:val="20"/>
                <w:szCs w:val="20"/>
                <w:color w:val="auto"/>
              </w:rPr>
            </w:pPr>
            <w:r>
              <w:rPr>
                <w:rFonts w:ascii="Arial" w:cs="Arial" w:eastAsia="Arial" w:hAnsi="Arial"/>
                <w:sz w:val="7"/>
                <w:szCs w:val="7"/>
                <w:b w:val="1"/>
                <w:bCs w:val="1"/>
                <w:color w:val="auto"/>
              </w:rPr>
              <w:t>TI / Rentable SF</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 of Months</w:t>
            </w:r>
          </w:p>
        </w:tc>
      </w:tr>
      <w:tr>
        <w:trPr>
          <w:trHeight w:val="301"/>
        </w:trPr>
        <w:tc>
          <w:tcPr>
            <w:tcW w:w="1340" w:type="dxa"/>
            <w:vAlign w:val="bottom"/>
          </w:tcPr>
          <w:p>
            <w:pPr>
              <w:spacing w:after="0"/>
              <w:rPr>
                <w:sz w:val="20"/>
                <w:szCs w:val="20"/>
                <w:color w:val="auto"/>
              </w:rPr>
            </w:pPr>
            <w:r>
              <w:rPr>
                <w:rFonts w:ascii="Arial" w:cs="Arial" w:eastAsia="Arial" w:hAnsi="Arial"/>
                <w:sz w:val="7"/>
                <w:szCs w:val="7"/>
                <w:b w:val="1"/>
                <w:bCs w:val="1"/>
                <w:color w:val="auto"/>
              </w:rPr>
              <w:t>Available Space</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1,264,668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1"/>
        </w:trPr>
        <w:tc>
          <w:tcPr>
            <w:tcW w:w="1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197"/>
        </w:trPr>
        <w:tc>
          <w:tcPr>
            <w:tcW w:w="1340" w:type="dxa"/>
            <w:vAlign w:val="bottom"/>
          </w:tcPr>
          <w:p>
            <w:pPr>
              <w:jc w:val="right"/>
              <w:spacing w:after="0"/>
              <w:rPr>
                <w:sz w:val="20"/>
                <w:szCs w:val="20"/>
                <w:color w:val="auto"/>
              </w:rPr>
            </w:pPr>
            <w:r>
              <w:rPr>
                <w:rFonts w:ascii="Arial" w:cs="Arial" w:eastAsia="Arial" w:hAnsi="Arial"/>
                <w:sz w:val="7"/>
                <w:szCs w:val="7"/>
                <w:b w:val="1"/>
                <w:bCs w:val="1"/>
                <w:color w:val="auto"/>
              </w:rPr>
              <w:t>Office</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color w:val="auto"/>
              </w:rPr>
              <w:t>3 Columbus Circle</w:t>
            </w:r>
          </w:p>
        </w:tc>
        <w:tc>
          <w:tcPr>
            <w:tcW w:w="620" w:type="dxa"/>
            <w:vAlign w:val="bottom"/>
          </w:tcPr>
          <w:p>
            <w:pPr>
              <w:jc w:val="right"/>
              <w:spacing w:after="0"/>
              <w:rPr>
                <w:sz w:val="20"/>
                <w:szCs w:val="20"/>
                <w:color w:val="auto"/>
              </w:rPr>
            </w:pPr>
            <w:r>
              <w:rPr>
                <w:rFonts w:ascii="Arial" w:cs="Arial" w:eastAsia="Arial" w:hAnsi="Arial"/>
                <w:sz w:val="7"/>
                <w:szCs w:val="7"/>
                <w:color w:val="auto"/>
              </w:rPr>
              <w:t>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6.6</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8,337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8,334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$81.93</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$78.00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$40.88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100</w:t>
            </w:r>
          </w:p>
        </w:tc>
        <w:tc>
          <w:tcPr>
            <w:tcW w:w="1700" w:type="dxa"/>
            <w:vAlign w:val="bottom"/>
          </w:tcPr>
          <w:p>
            <w:pPr>
              <w:spacing w:after="0"/>
              <w:rPr>
                <w:sz w:val="20"/>
                <w:szCs w:val="20"/>
                <w:color w:val="auto"/>
              </w:rPr>
            </w:pPr>
            <w:r>
              <w:rPr>
                <w:rFonts w:ascii="Arial" w:cs="Arial" w:eastAsia="Arial" w:hAnsi="Arial"/>
                <w:sz w:val="7"/>
                <w:szCs w:val="7"/>
                <w:color w:val="auto"/>
              </w:rPr>
              <w:t>Park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10.3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8,493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9,620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$76.00</w:t>
            </w: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$133.83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110</w:t>
            </w:r>
          </w:p>
        </w:tc>
        <w:tc>
          <w:tcPr>
            <w:tcW w:w="1700" w:type="dxa"/>
            <w:vAlign w:val="bottom"/>
          </w:tcPr>
          <w:p>
            <w:pPr>
              <w:spacing w:after="0"/>
              <w:rPr>
                <w:sz w:val="20"/>
                <w:szCs w:val="20"/>
                <w:color w:val="auto"/>
              </w:rPr>
            </w:pPr>
            <w:r>
              <w:rPr>
                <w:rFonts w:ascii="Arial" w:cs="Arial" w:eastAsia="Arial" w:hAnsi="Arial"/>
                <w:sz w:val="7"/>
                <w:szCs w:val="7"/>
                <w:color w:val="auto"/>
              </w:rPr>
              <w:t>East 42nd Street</w:t>
            </w:r>
          </w:p>
        </w:tc>
        <w:tc>
          <w:tcPr>
            <w:tcW w:w="620" w:type="dxa"/>
            <w:vAlign w:val="bottom"/>
          </w:tcPr>
          <w:p>
            <w:pPr>
              <w:jc w:val="right"/>
              <w:spacing w:after="0"/>
              <w:rPr>
                <w:sz w:val="20"/>
                <w:szCs w:val="20"/>
                <w:color w:val="auto"/>
              </w:rPr>
            </w:pPr>
            <w:r>
              <w:rPr>
                <w:rFonts w:ascii="Arial" w:cs="Arial" w:eastAsia="Arial" w:hAnsi="Arial"/>
                <w:sz w:val="7"/>
                <w:szCs w:val="7"/>
                <w:color w:val="auto"/>
              </w:rPr>
              <w:t>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8.6</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4,589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4,714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$59.00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$65.61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$22.16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110</w:t>
            </w:r>
          </w:p>
        </w:tc>
        <w:tc>
          <w:tcPr>
            <w:tcW w:w="1700" w:type="dxa"/>
            <w:vAlign w:val="bottom"/>
          </w:tcPr>
          <w:p>
            <w:pPr>
              <w:spacing w:after="0"/>
              <w:rPr>
                <w:sz w:val="20"/>
                <w:szCs w:val="20"/>
                <w:color w:val="auto"/>
              </w:rPr>
            </w:pPr>
            <w:r>
              <w:rPr>
                <w:rFonts w:ascii="Arial" w:cs="Arial" w:eastAsia="Arial" w:hAnsi="Arial"/>
                <w:sz w:val="7"/>
                <w:szCs w:val="7"/>
                <w:color w:val="auto"/>
              </w:rPr>
              <w:t>Greene Street</w:t>
            </w:r>
          </w:p>
        </w:tc>
        <w:tc>
          <w:tcPr>
            <w:tcW w:w="620" w:type="dxa"/>
            <w:vAlign w:val="bottom"/>
          </w:tcPr>
          <w:p>
            <w:pPr>
              <w:jc w:val="right"/>
              <w:spacing w:after="0"/>
              <w:rPr>
                <w:sz w:val="20"/>
                <w:szCs w:val="20"/>
                <w:color w:val="auto"/>
              </w:rPr>
            </w:pPr>
            <w:r>
              <w:rPr>
                <w:rFonts w:ascii="Arial" w:cs="Arial" w:eastAsia="Arial" w:hAnsi="Arial"/>
                <w:sz w:val="7"/>
                <w:szCs w:val="7"/>
                <w:color w:val="auto"/>
              </w:rPr>
              <w:t>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2.9</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4,020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4,020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$76.61</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$55.22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$6.43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1.0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280</w:t>
            </w:r>
          </w:p>
        </w:tc>
        <w:tc>
          <w:tcPr>
            <w:tcW w:w="1700" w:type="dxa"/>
            <w:vAlign w:val="bottom"/>
          </w:tcPr>
          <w:p>
            <w:pPr>
              <w:spacing w:after="0"/>
              <w:rPr>
                <w:sz w:val="20"/>
                <w:szCs w:val="20"/>
                <w:color w:val="auto"/>
              </w:rPr>
            </w:pPr>
            <w:r>
              <w:rPr>
                <w:rFonts w:ascii="Arial" w:cs="Arial" w:eastAsia="Arial" w:hAnsi="Arial"/>
                <w:sz w:val="7"/>
                <w:szCs w:val="7"/>
                <w:color w:val="auto"/>
              </w:rPr>
              <w:t>Park Avenue</w:t>
            </w:r>
          </w:p>
        </w:tc>
        <w:tc>
          <w:tcPr>
            <w:tcW w:w="620" w:type="dxa"/>
            <w:vAlign w:val="bottom"/>
          </w:tcPr>
          <w:p>
            <w:pPr>
              <w:jc w:val="right"/>
              <w:spacing w:after="0"/>
              <w:rPr>
                <w:sz w:val="20"/>
                <w:szCs w:val="20"/>
                <w:color w:val="auto"/>
              </w:rPr>
            </w:pPr>
            <w:r>
              <w:rPr>
                <w:rFonts w:ascii="Arial" w:cs="Arial" w:eastAsia="Arial" w:hAnsi="Arial"/>
                <w:sz w:val="7"/>
                <w:szCs w:val="7"/>
                <w:color w:val="auto"/>
              </w:rPr>
              <w:t>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10.2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51,622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56,229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$97.16</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$82.22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$31.02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7.7</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304</w:t>
            </w:r>
          </w:p>
        </w:tc>
        <w:tc>
          <w:tcPr>
            <w:tcW w:w="1700" w:type="dxa"/>
            <w:vAlign w:val="bottom"/>
          </w:tcPr>
          <w:p>
            <w:pPr>
              <w:spacing w:after="0"/>
              <w:rPr>
                <w:sz w:val="20"/>
                <w:szCs w:val="20"/>
                <w:color w:val="auto"/>
              </w:rPr>
            </w:pPr>
            <w:r>
              <w:rPr>
                <w:rFonts w:ascii="Arial" w:cs="Arial" w:eastAsia="Arial" w:hAnsi="Arial"/>
                <w:sz w:val="7"/>
                <w:szCs w:val="7"/>
                <w:color w:val="auto"/>
              </w:rPr>
              <w:t>Park Avenue South</w:t>
            </w:r>
          </w:p>
        </w:tc>
        <w:tc>
          <w:tcPr>
            <w:tcW w:w="620" w:type="dxa"/>
            <w:vAlign w:val="bottom"/>
          </w:tcPr>
          <w:p>
            <w:pPr>
              <w:jc w:val="right"/>
              <w:spacing w:after="0"/>
              <w:rPr>
                <w:sz w:val="20"/>
                <w:szCs w:val="20"/>
                <w:color w:val="auto"/>
              </w:rPr>
            </w:pPr>
            <w:r>
              <w:rPr>
                <w:rFonts w:ascii="Arial" w:cs="Arial" w:eastAsia="Arial" w:hAnsi="Arial"/>
                <w:sz w:val="7"/>
                <w:szCs w:val="7"/>
                <w:color w:val="auto"/>
              </w:rPr>
              <w:t>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12.3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32,861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36,090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$68.00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$50.09</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$55.00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9.0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420</w:t>
            </w:r>
          </w:p>
        </w:tc>
        <w:tc>
          <w:tcPr>
            <w:tcW w:w="1700" w:type="dxa"/>
            <w:vAlign w:val="bottom"/>
          </w:tcPr>
          <w:p>
            <w:pPr>
              <w:spacing w:after="0"/>
              <w:rPr>
                <w:sz w:val="20"/>
                <w:szCs w:val="20"/>
                <w:color w:val="auto"/>
              </w:rPr>
            </w:pPr>
            <w:r>
              <w:rPr>
                <w:rFonts w:ascii="Arial" w:cs="Arial" w:eastAsia="Arial" w:hAnsi="Arial"/>
                <w:sz w:val="7"/>
                <w:szCs w:val="7"/>
                <w:color w:val="auto"/>
              </w:rPr>
              <w:t>Lexington Avenue</w:t>
            </w:r>
          </w:p>
        </w:tc>
        <w:tc>
          <w:tcPr>
            <w:tcW w:w="620" w:type="dxa"/>
            <w:vAlign w:val="bottom"/>
          </w:tcPr>
          <w:p>
            <w:pPr>
              <w:jc w:val="right"/>
              <w:spacing w:after="0"/>
              <w:rPr>
                <w:sz w:val="20"/>
                <w:szCs w:val="20"/>
                <w:color w:val="auto"/>
              </w:rPr>
            </w:pPr>
            <w:r>
              <w:rPr>
                <w:rFonts w:ascii="Arial" w:cs="Arial" w:eastAsia="Arial" w:hAnsi="Arial"/>
                <w:sz w:val="7"/>
                <w:szCs w:val="7"/>
                <w:color w:val="auto"/>
              </w:rPr>
              <w:t>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26,452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38,094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$57.72</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$46.99</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$3.86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0.4</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461</w:t>
            </w:r>
          </w:p>
        </w:tc>
        <w:tc>
          <w:tcPr>
            <w:tcW w:w="1700" w:type="dxa"/>
            <w:vAlign w:val="bottom"/>
          </w:tcPr>
          <w:p>
            <w:pPr>
              <w:spacing w:after="0"/>
              <w:rPr>
                <w:sz w:val="20"/>
                <w:szCs w:val="20"/>
                <w:color w:val="auto"/>
              </w:rPr>
            </w:pPr>
            <w:r>
              <w:rPr>
                <w:rFonts w:ascii="Arial" w:cs="Arial" w:eastAsia="Arial" w:hAnsi="Arial"/>
                <w:sz w:val="7"/>
                <w:szCs w:val="7"/>
                <w:color w:val="auto"/>
              </w:rPr>
              <w:t>Fifth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8.8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10,595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11,242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$82.00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$81.24</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$38.00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521</w:t>
            </w:r>
          </w:p>
        </w:tc>
        <w:tc>
          <w:tcPr>
            <w:tcW w:w="1700" w:type="dxa"/>
            <w:vAlign w:val="bottom"/>
          </w:tcPr>
          <w:p>
            <w:pPr>
              <w:spacing w:after="0"/>
              <w:rPr>
                <w:sz w:val="20"/>
                <w:szCs w:val="20"/>
                <w:color w:val="auto"/>
              </w:rPr>
            </w:pPr>
            <w:r>
              <w:rPr>
                <w:rFonts w:ascii="Arial" w:cs="Arial" w:eastAsia="Arial" w:hAnsi="Arial"/>
                <w:sz w:val="7"/>
                <w:szCs w:val="7"/>
                <w:color w:val="auto"/>
              </w:rPr>
              <w:t>Fifth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4.2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3,494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3,509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$58.00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$51.26</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555</w:t>
            </w:r>
          </w:p>
        </w:tc>
        <w:tc>
          <w:tcPr>
            <w:tcW w:w="1700" w:type="dxa"/>
            <w:vAlign w:val="bottom"/>
          </w:tcPr>
          <w:p>
            <w:pPr>
              <w:spacing w:after="0"/>
              <w:rPr>
                <w:sz w:val="20"/>
                <w:szCs w:val="20"/>
                <w:color w:val="auto"/>
              </w:rPr>
            </w:pPr>
            <w:r>
              <w:rPr>
                <w:rFonts w:ascii="Arial" w:cs="Arial" w:eastAsia="Arial" w:hAnsi="Arial"/>
                <w:sz w:val="7"/>
                <w:szCs w:val="7"/>
                <w:color w:val="auto"/>
              </w:rPr>
              <w:t>West 57th Street</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3.1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1,700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2,071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$60.00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$51.86</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$99.51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1.0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625</w:t>
            </w:r>
          </w:p>
        </w:tc>
        <w:tc>
          <w:tcPr>
            <w:tcW w:w="1700" w:type="dxa"/>
            <w:vAlign w:val="bottom"/>
          </w:tcPr>
          <w:p>
            <w:pPr>
              <w:spacing w:after="0"/>
              <w:rPr>
                <w:sz w:val="20"/>
                <w:szCs w:val="20"/>
                <w:color w:val="auto"/>
              </w:rPr>
            </w:pPr>
            <w:r>
              <w:rPr>
                <w:rFonts w:ascii="Arial" w:cs="Arial" w:eastAsia="Arial" w:hAnsi="Arial"/>
                <w:sz w:val="7"/>
                <w:szCs w:val="7"/>
                <w:color w:val="auto"/>
              </w:rPr>
              <w:t>Madison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3.8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24,247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23,260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$72.48</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$78.47</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711</w:t>
            </w:r>
          </w:p>
        </w:tc>
        <w:tc>
          <w:tcPr>
            <w:tcW w:w="1700" w:type="dxa"/>
            <w:vAlign w:val="bottom"/>
          </w:tcPr>
          <w:p>
            <w:pPr>
              <w:spacing w:after="0"/>
              <w:rPr>
                <w:sz w:val="20"/>
                <w:szCs w:val="20"/>
                <w:color w:val="auto"/>
              </w:rPr>
            </w:pPr>
            <w:r>
              <w:rPr>
                <w:rFonts w:ascii="Arial" w:cs="Arial" w:eastAsia="Arial" w:hAnsi="Arial"/>
                <w:sz w:val="7"/>
                <w:szCs w:val="7"/>
                <w:color w:val="auto"/>
              </w:rPr>
              <w:t>Third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14,760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19,025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$58.00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$46.77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$73.60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6.0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750</w:t>
            </w:r>
          </w:p>
        </w:tc>
        <w:tc>
          <w:tcPr>
            <w:tcW w:w="1700" w:type="dxa"/>
            <w:vAlign w:val="bottom"/>
          </w:tcPr>
          <w:p>
            <w:pPr>
              <w:spacing w:after="0"/>
              <w:rPr>
                <w:sz w:val="20"/>
                <w:szCs w:val="20"/>
                <w:color w:val="auto"/>
              </w:rPr>
            </w:pPr>
            <w:r>
              <w:rPr>
                <w:rFonts w:ascii="Arial" w:cs="Arial" w:eastAsia="Arial" w:hAnsi="Arial"/>
                <w:sz w:val="7"/>
                <w:szCs w:val="7"/>
                <w:color w:val="auto"/>
              </w:rPr>
              <w:t>Third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10.4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11,465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11,779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$65.00</w:t>
            </w: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$70.00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800</w:t>
            </w:r>
          </w:p>
        </w:tc>
        <w:tc>
          <w:tcPr>
            <w:tcW w:w="1700" w:type="dxa"/>
            <w:vAlign w:val="bottom"/>
          </w:tcPr>
          <w:p>
            <w:pPr>
              <w:spacing w:after="0"/>
              <w:rPr>
                <w:sz w:val="20"/>
                <w:szCs w:val="20"/>
                <w:color w:val="auto"/>
              </w:rPr>
            </w:pPr>
            <w:r>
              <w:rPr>
                <w:rFonts w:ascii="Arial" w:cs="Arial" w:eastAsia="Arial" w:hAnsi="Arial"/>
                <w:sz w:val="7"/>
                <w:szCs w:val="7"/>
                <w:color w:val="auto"/>
              </w:rPr>
              <w:t>Third Avenue</w:t>
            </w:r>
          </w:p>
        </w:tc>
        <w:tc>
          <w:tcPr>
            <w:tcW w:w="620" w:type="dxa"/>
            <w:vAlign w:val="bottom"/>
          </w:tcPr>
          <w:p>
            <w:pPr>
              <w:jc w:val="right"/>
              <w:spacing w:after="0"/>
              <w:rPr>
                <w:sz w:val="20"/>
                <w:szCs w:val="20"/>
                <w:color w:val="auto"/>
              </w:rPr>
            </w:pPr>
            <w:r>
              <w:rPr>
                <w:rFonts w:ascii="Arial" w:cs="Arial" w:eastAsia="Arial" w:hAnsi="Arial"/>
                <w:sz w:val="7"/>
                <w:szCs w:val="7"/>
                <w:color w:val="auto"/>
              </w:rPr>
              <w:t>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5.2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5,671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7,695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$66.06</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$62.58</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$22.96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2.6</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810</w:t>
            </w:r>
          </w:p>
        </w:tc>
        <w:tc>
          <w:tcPr>
            <w:tcW w:w="1700" w:type="dxa"/>
            <w:vAlign w:val="bottom"/>
          </w:tcPr>
          <w:p>
            <w:pPr>
              <w:spacing w:after="0"/>
              <w:rPr>
                <w:sz w:val="20"/>
                <w:szCs w:val="20"/>
                <w:color w:val="auto"/>
              </w:rPr>
            </w:pPr>
            <w:r>
              <w:rPr>
                <w:rFonts w:ascii="Arial" w:cs="Arial" w:eastAsia="Arial" w:hAnsi="Arial"/>
                <w:sz w:val="7"/>
                <w:szCs w:val="7"/>
                <w:color w:val="auto"/>
              </w:rPr>
              <w:t>Seventh Avenue</w:t>
            </w:r>
          </w:p>
        </w:tc>
        <w:tc>
          <w:tcPr>
            <w:tcW w:w="620" w:type="dxa"/>
            <w:vAlign w:val="bottom"/>
          </w:tcPr>
          <w:p>
            <w:pPr>
              <w:jc w:val="right"/>
              <w:spacing w:after="0"/>
              <w:rPr>
                <w:sz w:val="20"/>
                <w:szCs w:val="20"/>
                <w:color w:val="auto"/>
              </w:rPr>
            </w:pPr>
            <w:r>
              <w:rPr>
                <w:rFonts w:ascii="Arial" w:cs="Arial" w:eastAsia="Arial" w:hAnsi="Arial"/>
                <w:sz w:val="7"/>
                <w:szCs w:val="7"/>
                <w:color w:val="auto"/>
              </w:rPr>
              <w:t>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9.1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19,726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21,803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$62.39</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$56.60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$60.51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5.4</w:t>
            </w:r>
          </w:p>
        </w:tc>
      </w:tr>
      <w:tr>
        <w:trPr>
          <w:trHeight w:val="219"/>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color w:val="auto"/>
              </w:rPr>
              <w:t>1185 Avenue of the Americas</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2.3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26,500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27,508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$65.75</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$89.29</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25"/>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color w:val="auto"/>
              </w:rPr>
              <w:t>1350 Avenue of the Americas</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5.2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3,375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3,391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$80.00</w:t>
            </w: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$12.82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92"/>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Total/Weighted Average</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35</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7.6</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257,907</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288,384</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$72.37</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$65.96</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$34.79</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4.3</w:t>
            </w:r>
          </w:p>
        </w:tc>
      </w:tr>
      <w:tr>
        <w:trPr>
          <w:trHeight w:val="317"/>
        </w:trPr>
        <w:tc>
          <w:tcPr>
            <w:tcW w:w="1340" w:type="dxa"/>
            <w:vAlign w:val="bottom"/>
          </w:tcPr>
          <w:p>
            <w:pPr>
              <w:jc w:val="right"/>
              <w:spacing w:after="0"/>
              <w:rPr>
                <w:sz w:val="20"/>
                <w:szCs w:val="20"/>
                <w:color w:val="auto"/>
              </w:rPr>
            </w:pPr>
            <w:r>
              <w:rPr>
                <w:rFonts w:ascii="Arial" w:cs="Arial" w:eastAsia="Arial" w:hAnsi="Arial"/>
                <w:sz w:val="7"/>
                <w:szCs w:val="7"/>
                <w:b w:val="1"/>
                <w:bCs w:val="1"/>
                <w:color w:val="auto"/>
              </w:rPr>
              <w:t>Retail</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100</w:t>
            </w:r>
          </w:p>
        </w:tc>
        <w:tc>
          <w:tcPr>
            <w:tcW w:w="1700" w:type="dxa"/>
            <w:vAlign w:val="bottom"/>
          </w:tcPr>
          <w:p>
            <w:pPr>
              <w:spacing w:after="0"/>
              <w:rPr>
                <w:sz w:val="20"/>
                <w:szCs w:val="20"/>
                <w:color w:val="auto"/>
              </w:rPr>
            </w:pPr>
            <w:r>
              <w:rPr>
                <w:rFonts w:ascii="Arial" w:cs="Arial" w:eastAsia="Arial" w:hAnsi="Arial"/>
                <w:sz w:val="7"/>
                <w:szCs w:val="7"/>
                <w:color w:val="auto"/>
              </w:rPr>
              <w:t>Park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13.6</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65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65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$55.38</w:t>
            </w: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25"/>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625</w:t>
            </w:r>
          </w:p>
        </w:tc>
        <w:tc>
          <w:tcPr>
            <w:tcW w:w="1700" w:type="dxa"/>
            <w:vAlign w:val="bottom"/>
          </w:tcPr>
          <w:p>
            <w:pPr>
              <w:spacing w:after="0"/>
              <w:rPr>
                <w:sz w:val="20"/>
                <w:szCs w:val="20"/>
                <w:color w:val="auto"/>
              </w:rPr>
            </w:pPr>
            <w:r>
              <w:rPr>
                <w:rFonts w:ascii="Arial" w:cs="Arial" w:eastAsia="Arial" w:hAnsi="Arial"/>
                <w:sz w:val="7"/>
                <w:szCs w:val="7"/>
                <w:color w:val="auto"/>
              </w:rPr>
              <w:t>Madison Avenue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5.0</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9,020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10,484</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$71.06</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$154.30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$48.25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r>
      <w:tr>
        <w:trPr>
          <w:trHeight w:val="192"/>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Total/Weighted Average</w:t>
            </w: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3</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5.1</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9,085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10,549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$70.96</w:t>
            </w:r>
          </w:p>
        </w:tc>
        <w:tc>
          <w:tcPr>
            <w:tcW w:w="8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$154.30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$47.95</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w:t>
            </w:r>
          </w:p>
        </w:tc>
      </w:tr>
      <w:tr>
        <w:trPr>
          <w:trHeight w:val="317"/>
        </w:trPr>
        <w:tc>
          <w:tcPr>
            <w:tcW w:w="1340" w:type="dxa"/>
            <w:vAlign w:val="bottom"/>
          </w:tcPr>
          <w:p>
            <w:pPr>
              <w:jc w:val="right"/>
              <w:spacing w:after="0"/>
              <w:rPr>
                <w:sz w:val="20"/>
                <w:szCs w:val="20"/>
                <w:color w:val="auto"/>
              </w:rPr>
            </w:pPr>
            <w:r>
              <w:rPr>
                <w:rFonts w:ascii="Arial" w:cs="Arial" w:eastAsia="Arial" w:hAnsi="Arial"/>
                <w:sz w:val="7"/>
                <w:szCs w:val="7"/>
                <w:b w:val="1"/>
                <w:bCs w:val="1"/>
                <w:color w:val="auto"/>
              </w:rPr>
              <w:t>Storage</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5"/>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100</w:t>
            </w:r>
          </w:p>
        </w:tc>
        <w:tc>
          <w:tcPr>
            <w:tcW w:w="1700" w:type="dxa"/>
            <w:vAlign w:val="bottom"/>
          </w:tcPr>
          <w:p>
            <w:pPr>
              <w:spacing w:after="0"/>
              <w:rPr>
                <w:sz w:val="20"/>
                <w:szCs w:val="20"/>
                <w:color w:val="auto"/>
              </w:rPr>
            </w:pPr>
            <w:r>
              <w:rPr>
                <w:rFonts w:ascii="Arial" w:cs="Arial" w:eastAsia="Arial" w:hAnsi="Arial"/>
                <w:sz w:val="7"/>
                <w:szCs w:val="7"/>
                <w:color w:val="auto"/>
              </w:rPr>
              <w:t>Church Street</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11.3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5,782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10,999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$4.25</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$0.00</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15.0</w:t>
            </w:r>
          </w:p>
        </w:tc>
      </w:tr>
      <w:tr>
        <w:trPr>
          <w:trHeight w:val="192"/>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Total/Weighted Average</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11.3</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5,782</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10,999</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$4.25</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$0.00</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$0.00</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15.0</w:t>
            </w:r>
          </w:p>
        </w:tc>
      </w:tr>
      <w:tr>
        <w:trPr>
          <w:trHeight w:val="225"/>
        </w:trPr>
        <w:tc>
          <w:tcPr>
            <w:tcW w:w="1340" w:type="dxa"/>
            <w:vAlign w:val="bottom"/>
            <w:tcBorders>
              <w:bottom w:val="single" w:sz="8" w:color="auto"/>
            </w:tcBorders>
          </w:tcPr>
          <w:p>
            <w:pPr>
              <w:jc w:val="right"/>
              <w:ind w:right="784"/>
              <w:spacing w:after="0"/>
              <w:rPr>
                <w:sz w:val="20"/>
                <w:szCs w:val="20"/>
                <w:color w:val="auto"/>
              </w:rPr>
            </w:pPr>
            <w:r>
              <w:rPr>
                <w:rFonts w:ascii="Arial" w:cs="Arial" w:eastAsia="Arial" w:hAnsi="Arial"/>
                <w:sz w:val="7"/>
                <w:szCs w:val="7"/>
                <w:b w:val="1"/>
                <w:bCs w:val="1"/>
                <w:color w:val="auto"/>
              </w:rPr>
              <w:t>Leased Space</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03"/>
        </w:trPr>
        <w:tc>
          <w:tcPr>
            <w:tcW w:w="1340" w:type="dxa"/>
            <w:vAlign w:val="bottom"/>
          </w:tcPr>
          <w:p>
            <w:pPr>
              <w:spacing w:after="0"/>
              <w:rPr>
                <w:sz w:val="17"/>
                <w:szCs w:val="17"/>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Office (3)</w:t>
            </w: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35</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7.6</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257,907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288,384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$72.37</w:t>
            </w:r>
          </w:p>
        </w:tc>
        <w:tc>
          <w:tcPr>
            <w:tcW w:w="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$65.96</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$34.79</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4.3</w:t>
            </w:r>
          </w:p>
        </w:tc>
      </w:tr>
      <w:tr>
        <w:trPr>
          <w:trHeight w:val="219"/>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Retail</w:t>
            </w: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5.1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9,085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10,549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$70.96</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$154.30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$47.95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w:t>
            </w:r>
          </w:p>
        </w:tc>
      </w:tr>
      <w:tr>
        <w:trPr>
          <w:trHeight w:val="225"/>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Storage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11.3</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5,782</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10,999</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$4.25</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$0.00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$0.00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15.0</w:t>
            </w:r>
          </w:p>
        </w:tc>
      </w:tr>
      <w:tr>
        <w:trPr>
          <w:trHeight w:val="199"/>
        </w:trPr>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39</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7.6</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272,774</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309,932</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$69.90</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$67.21</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$34.00</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4.5</w:t>
            </w:r>
          </w:p>
        </w:tc>
      </w:tr>
      <w:tr>
        <w:trPr>
          <w:trHeight w:val="301"/>
        </w:trPr>
        <w:tc>
          <w:tcPr>
            <w:tcW w:w="1340" w:type="dxa"/>
            <w:vAlign w:val="bottom"/>
          </w:tcPr>
          <w:p>
            <w:pPr>
              <w:spacing w:after="0"/>
              <w:rPr>
                <w:sz w:val="20"/>
                <w:szCs w:val="20"/>
                <w:color w:val="auto"/>
              </w:rPr>
            </w:pPr>
            <w:r>
              <w:rPr>
                <w:rFonts w:ascii="Arial" w:cs="Arial" w:eastAsia="Arial" w:hAnsi="Arial"/>
                <w:sz w:val="7"/>
                <w:szCs w:val="7"/>
                <w:b w:val="1"/>
                <w:bCs w:val="1"/>
                <w:i w:val="1"/>
                <w:iCs w:val="1"/>
                <w:color w:val="auto"/>
              </w:rPr>
              <w:t>Total Available Space as of 6/30/16</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991,894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3"/>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Early Renewals</w:t>
            </w: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03"/>
        </w:trPr>
        <w:tc>
          <w:tcPr>
            <w:tcW w:w="1340" w:type="dxa"/>
            <w:vAlign w:val="bottom"/>
          </w:tcPr>
          <w:p>
            <w:pPr>
              <w:jc w:val="right"/>
              <w:spacing w:after="0"/>
              <w:rPr>
                <w:sz w:val="20"/>
                <w:szCs w:val="20"/>
                <w:color w:val="auto"/>
              </w:rPr>
            </w:pPr>
            <w:r>
              <w:rPr>
                <w:rFonts w:ascii="Arial" w:cs="Arial" w:eastAsia="Arial" w:hAnsi="Arial"/>
                <w:sz w:val="7"/>
                <w:szCs w:val="7"/>
                <w:b w:val="1"/>
                <w:bCs w:val="1"/>
                <w:color w:val="auto"/>
              </w:rPr>
              <w:t>Office</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color w:val="auto"/>
              </w:rPr>
              <w:t>3 Columbus Circle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5.3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5,789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5,789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$83.00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$78.00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1.0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110</w:t>
            </w:r>
          </w:p>
        </w:tc>
        <w:tc>
          <w:tcPr>
            <w:tcW w:w="1700" w:type="dxa"/>
            <w:vAlign w:val="bottom"/>
          </w:tcPr>
          <w:p>
            <w:pPr>
              <w:spacing w:after="0"/>
              <w:rPr>
                <w:sz w:val="20"/>
                <w:szCs w:val="20"/>
                <w:color w:val="auto"/>
              </w:rPr>
            </w:pPr>
            <w:r>
              <w:rPr>
                <w:rFonts w:ascii="Arial" w:cs="Arial" w:eastAsia="Arial" w:hAnsi="Arial"/>
                <w:sz w:val="7"/>
                <w:szCs w:val="7"/>
                <w:color w:val="auto"/>
              </w:rPr>
              <w:t>East 42nd Street</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4,136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4,250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$61.00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$57.33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$0.29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420</w:t>
            </w:r>
          </w:p>
        </w:tc>
        <w:tc>
          <w:tcPr>
            <w:tcW w:w="1700" w:type="dxa"/>
            <w:vAlign w:val="bottom"/>
          </w:tcPr>
          <w:p>
            <w:pPr>
              <w:spacing w:after="0"/>
              <w:rPr>
                <w:sz w:val="20"/>
                <w:szCs w:val="20"/>
                <w:color w:val="auto"/>
              </w:rPr>
            </w:pPr>
            <w:r>
              <w:rPr>
                <w:rFonts w:ascii="Arial" w:cs="Arial" w:eastAsia="Arial" w:hAnsi="Arial"/>
                <w:sz w:val="7"/>
                <w:szCs w:val="7"/>
                <w:color w:val="auto"/>
              </w:rPr>
              <w:t>Lexington Avenue</w:t>
            </w:r>
          </w:p>
        </w:tc>
        <w:tc>
          <w:tcPr>
            <w:tcW w:w="620" w:type="dxa"/>
            <w:vAlign w:val="bottom"/>
          </w:tcPr>
          <w:p>
            <w:pPr>
              <w:jc w:val="right"/>
              <w:spacing w:after="0"/>
              <w:rPr>
                <w:sz w:val="20"/>
                <w:szCs w:val="20"/>
                <w:color w:val="auto"/>
              </w:rPr>
            </w:pPr>
            <w:r>
              <w:rPr>
                <w:rFonts w:ascii="Arial" w:cs="Arial" w:eastAsia="Arial" w:hAnsi="Arial"/>
                <w:sz w:val="7"/>
                <w:szCs w:val="7"/>
                <w:color w:val="auto"/>
              </w:rPr>
              <w:t>5</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9.1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91,828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109,725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$60.55</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$48.23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$20.06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2.9</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485</w:t>
            </w:r>
          </w:p>
        </w:tc>
        <w:tc>
          <w:tcPr>
            <w:tcW w:w="1700" w:type="dxa"/>
            <w:vAlign w:val="bottom"/>
          </w:tcPr>
          <w:p>
            <w:pPr>
              <w:spacing w:after="0"/>
              <w:rPr>
                <w:sz w:val="20"/>
                <w:szCs w:val="20"/>
                <w:color w:val="auto"/>
              </w:rPr>
            </w:pPr>
            <w:r>
              <w:rPr>
                <w:rFonts w:ascii="Arial" w:cs="Arial" w:eastAsia="Arial" w:hAnsi="Arial"/>
                <w:sz w:val="7"/>
                <w:szCs w:val="7"/>
                <w:color w:val="auto"/>
              </w:rPr>
              <w:t>Lexington Avenue</w:t>
            </w:r>
          </w:p>
        </w:tc>
        <w:tc>
          <w:tcPr>
            <w:tcW w:w="620" w:type="dxa"/>
            <w:vAlign w:val="bottom"/>
          </w:tcPr>
          <w:p>
            <w:pPr>
              <w:jc w:val="right"/>
              <w:spacing w:after="0"/>
              <w:rPr>
                <w:sz w:val="20"/>
                <w:szCs w:val="20"/>
                <w:color w:val="auto"/>
              </w:rPr>
            </w:pPr>
            <w:r>
              <w:rPr>
                <w:rFonts w:ascii="Arial" w:cs="Arial" w:eastAsia="Arial" w:hAnsi="Arial"/>
                <w:sz w:val="7"/>
                <w:szCs w:val="7"/>
                <w:color w:val="auto"/>
              </w:rPr>
              <w:t>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7.0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41,359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42,490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$74.33</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$71.81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$29.51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3.7</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521</w:t>
            </w:r>
          </w:p>
        </w:tc>
        <w:tc>
          <w:tcPr>
            <w:tcW w:w="1700" w:type="dxa"/>
            <w:vAlign w:val="bottom"/>
          </w:tcPr>
          <w:p>
            <w:pPr>
              <w:spacing w:after="0"/>
              <w:rPr>
                <w:sz w:val="20"/>
                <w:szCs w:val="20"/>
                <w:color w:val="auto"/>
              </w:rPr>
            </w:pPr>
            <w:r>
              <w:rPr>
                <w:rFonts w:ascii="Arial" w:cs="Arial" w:eastAsia="Arial" w:hAnsi="Arial"/>
                <w:sz w:val="7"/>
                <w:szCs w:val="7"/>
                <w:color w:val="auto"/>
              </w:rPr>
              <w:t>Fifth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5.4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6,238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6,580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$62.00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$55.67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625</w:t>
            </w:r>
          </w:p>
        </w:tc>
        <w:tc>
          <w:tcPr>
            <w:tcW w:w="1700" w:type="dxa"/>
            <w:vAlign w:val="bottom"/>
          </w:tcPr>
          <w:p>
            <w:pPr>
              <w:spacing w:after="0"/>
              <w:rPr>
                <w:sz w:val="20"/>
                <w:szCs w:val="20"/>
                <w:color w:val="auto"/>
              </w:rPr>
            </w:pPr>
            <w:r>
              <w:rPr>
                <w:rFonts w:ascii="Arial" w:cs="Arial" w:eastAsia="Arial" w:hAnsi="Arial"/>
                <w:sz w:val="7"/>
                <w:szCs w:val="7"/>
                <w:color w:val="auto"/>
              </w:rPr>
              <w:t>Madison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4,000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4,000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$82.00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$88.10</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750</w:t>
            </w:r>
          </w:p>
        </w:tc>
        <w:tc>
          <w:tcPr>
            <w:tcW w:w="1700" w:type="dxa"/>
            <w:vAlign w:val="bottom"/>
          </w:tcPr>
          <w:p>
            <w:pPr>
              <w:spacing w:after="0"/>
              <w:rPr>
                <w:sz w:val="20"/>
                <w:szCs w:val="20"/>
                <w:color w:val="auto"/>
              </w:rPr>
            </w:pPr>
            <w:r>
              <w:rPr>
                <w:rFonts w:ascii="Arial" w:cs="Arial" w:eastAsia="Arial" w:hAnsi="Arial"/>
                <w:sz w:val="7"/>
                <w:szCs w:val="7"/>
                <w:color w:val="auto"/>
              </w:rPr>
              <w:t>Third Avenue</w:t>
            </w:r>
          </w:p>
        </w:tc>
        <w:tc>
          <w:tcPr>
            <w:tcW w:w="620" w:type="dxa"/>
            <w:vAlign w:val="bottom"/>
          </w:tcPr>
          <w:p>
            <w:pPr>
              <w:jc w:val="right"/>
              <w:spacing w:after="0"/>
              <w:rPr>
                <w:sz w:val="20"/>
                <w:szCs w:val="20"/>
                <w:color w:val="auto"/>
              </w:rPr>
            </w:pPr>
            <w:r>
              <w:rPr>
                <w:rFonts w:ascii="Arial" w:cs="Arial" w:eastAsia="Arial" w:hAnsi="Arial"/>
                <w:sz w:val="7"/>
                <w:szCs w:val="7"/>
                <w:color w:val="auto"/>
              </w:rPr>
              <w:t>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8.1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29,450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33,093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$60.49</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$60.07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$26.20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2.4</w:t>
            </w:r>
          </w:p>
        </w:tc>
      </w:tr>
      <w:tr>
        <w:trPr>
          <w:trHeight w:val="225"/>
        </w:trPr>
        <w:tc>
          <w:tcPr>
            <w:tcW w:w="1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7"/>
                <w:szCs w:val="7"/>
                <w:color w:val="auto"/>
              </w:rPr>
              <w:t>919</w:t>
            </w:r>
          </w:p>
        </w:tc>
        <w:tc>
          <w:tcPr>
            <w:tcW w:w="1700" w:type="dxa"/>
            <w:vAlign w:val="bottom"/>
          </w:tcPr>
          <w:p>
            <w:pPr>
              <w:spacing w:after="0"/>
              <w:rPr>
                <w:sz w:val="20"/>
                <w:szCs w:val="20"/>
                <w:color w:val="auto"/>
              </w:rPr>
            </w:pPr>
            <w:r>
              <w:rPr>
                <w:rFonts w:ascii="Arial" w:cs="Arial" w:eastAsia="Arial" w:hAnsi="Arial"/>
                <w:sz w:val="7"/>
                <w:szCs w:val="7"/>
                <w:color w:val="auto"/>
              </w:rPr>
              <w:t>Third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4.6</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190,112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204,442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$65.00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$57.01</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192"/>
        </w:trPr>
        <w:tc>
          <w:tcPr>
            <w:tcW w:w="134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Total/Weighted Average</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15</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6.3</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372,912</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410,369</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$64.74</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$57.02</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$10.70</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1.4</w:t>
            </w:r>
          </w:p>
        </w:tc>
      </w:tr>
      <w:tr>
        <w:trPr>
          <w:trHeight w:val="317"/>
        </w:trPr>
        <w:tc>
          <w:tcPr>
            <w:tcW w:w="1340" w:type="dxa"/>
            <w:vAlign w:val="bottom"/>
          </w:tcPr>
          <w:p>
            <w:pPr>
              <w:jc w:val="right"/>
              <w:spacing w:after="0"/>
              <w:rPr>
                <w:sz w:val="20"/>
                <w:szCs w:val="20"/>
                <w:color w:val="auto"/>
              </w:rPr>
            </w:pPr>
            <w:r>
              <w:rPr>
                <w:rFonts w:ascii="Arial" w:cs="Arial" w:eastAsia="Arial" w:hAnsi="Arial"/>
                <w:sz w:val="7"/>
                <w:szCs w:val="7"/>
                <w:b w:val="1"/>
                <w:bCs w:val="1"/>
                <w:color w:val="auto"/>
              </w:rPr>
              <w:t>Retail</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color w:val="auto"/>
              </w:rPr>
              <w:t>11 Madison Avenue</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19.3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12,770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11,900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$86.13</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$36.22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$73.53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25"/>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color w:val="auto"/>
              </w:rPr>
              <w:t>1350 Avenue of the Americas</w:t>
            </w:r>
          </w:p>
        </w:tc>
        <w:tc>
          <w:tcPr>
            <w:tcW w:w="620" w:type="dxa"/>
            <w:vAlign w:val="bottom"/>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10.0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29,566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29,984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$40.02</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$33.04</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192"/>
        </w:trPr>
        <w:tc>
          <w:tcPr>
            <w:tcW w:w="134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Total/Weighted Average</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12.7</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42,336</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41,884</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$53.12</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$33.95</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$20.89</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w:t>
            </w:r>
          </w:p>
        </w:tc>
      </w:tr>
      <w:tr>
        <w:trPr>
          <w:trHeight w:val="219"/>
        </w:trPr>
        <w:tc>
          <w:tcPr>
            <w:tcW w:w="1340" w:type="dxa"/>
            <w:vAlign w:val="bottom"/>
          </w:tcPr>
          <w:p>
            <w:pPr>
              <w:jc w:val="right"/>
              <w:spacing w:after="0"/>
              <w:rPr>
                <w:sz w:val="20"/>
                <w:szCs w:val="20"/>
                <w:color w:val="auto"/>
              </w:rPr>
            </w:pPr>
            <w:r>
              <w:rPr>
                <w:rFonts w:ascii="Arial" w:cs="Arial" w:eastAsia="Arial" w:hAnsi="Arial"/>
                <w:sz w:val="7"/>
                <w:szCs w:val="7"/>
                <w:b w:val="1"/>
                <w:bCs w:val="1"/>
                <w:color w:val="auto"/>
              </w:rPr>
              <w:t>Storage</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5"/>
        </w:trPr>
        <w:tc>
          <w:tcPr>
            <w:tcW w:w="134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color w:val="auto"/>
              </w:rPr>
              <w:t>625 Madison Avenue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612</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612</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$26.00</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$25.00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r>
      <w:tr>
        <w:trPr>
          <w:trHeight w:val="192"/>
        </w:trPr>
        <w:tc>
          <w:tcPr>
            <w:tcW w:w="134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Total/Weighted Average</w:t>
            </w: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1.5</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612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612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$26.00</w:t>
            </w:r>
          </w:p>
        </w:tc>
        <w:tc>
          <w:tcPr>
            <w:tcW w:w="8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$25.00</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w:t>
            </w:r>
          </w:p>
        </w:tc>
      </w:tr>
      <w:tr>
        <w:trPr>
          <w:trHeight w:val="225"/>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Renewals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105"/>
        </w:trPr>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15</w:t>
            </w:r>
          </w:p>
        </w:tc>
        <w:tc>
          <w:tcPr>
            <w:tcW w:w="1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6.3</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372,912</w:t>
            </w:r>
          </w:p>
        </w:tc>
        <w:tc>
          <w:tcPr>
            <w:tcW w:w="10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410,369</w:t>
            </w:r>
          </w:p>
        </w:tc>
        <w:tc>
          <w:tcPr>
            <w:tcW w:w="10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$64.74</w:t>
            </w:r>
          </w:p>
        </w:tc>
        <w:tc>
          <w:tcPr>
            <w:tcW w:w="80" w:type="dxa"/>
            <w:vAlign w:val="bottom"/>
          </w:tcPr>
          <w:p>
            <w:pPr>
              <w:spacing w:after="0"/>
              <w:rPr>
                <w:sz w:val="9"/>
                <w:szCs w:val="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$57.02</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98"/>
        </w:trPr>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Early Renewals Office</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$10.70</w:t>
            </w:r>
          </w:p>
        </w:tc>
        <w:tc>
          <w:tcPr>
            <w:tcW w:w="10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1.4</w:t>
            </w:r>
          </w:p>
        </w:tc>
      </w:tr>
      <w:tr>
        <w:trPr>
          <w:trHeight w:val="219"/>
        </w:trPr>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Early Renewals Retail</w:t>
            </w: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12.7</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42,336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41,884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$53.12</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$33.95</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$20.89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w:t>
            </w:r>
          </w:p>
        </w:tc>
      </w:tr>
      <w:tr>
        <w:trPr>
          <w:trHeight w:val="225"/>
        </w:trPr>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Early Renewals Storage</w:t>
            </w: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1.5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612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612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$26.00</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$25.00</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w:t>
            </w:r>
          </w:p>
        </w:tc>
      </w:tr>
      <w:tr>
        <w:trPr>
          <w:trHeight w:val="199"/>
        </w:trPr>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18</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6.9</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415,860</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452,865</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$63.61</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$54.85</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$11.62</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1.3</w:t>
            </w:r>
          </w:p>
        </w:tc>
      </w:tr>
    </w:tbl>
    <w:p>
      <w:pPr>
        <w:spacing w:after="0" w:line="120" w:lineRule="exact"/>
        <w:rPr>
          <w:sz w:val="20"/>
          <w:szCs w:val="20"/>
          <w:color w:val="auto"/>
        </w:rPr>
      </w:pPr>
    </w:p>
    <w:p>
      <w:pPr>
        <w:ind w:left="340" w:hanging="111"/>
        <w:spacing w:after="0"/>
        <w:tabs>
          <w:tab w:leader="none" w:pos="340" w:val="left"/>
        </w:tabs>
        <w:numPr>
          <w:ilvl w:val="0"/>
          <w:numId w:val="28"/>
        </w:numPr>
        <w:rPr>
          <w:rFonts w:ascii="Arial" w:cs="Arial" w:eastAsia="Arial" w:hAnsi="Arial"/>
          <w:sz w:val="7"/>
          <w:szCs w:val="7"/>
          <w:color w:val="auto"/>
        </w:rPr>
      </w:pPr>
      <w:r>
        <w:rPr>
          <w:rFonts w:ascii="Arial" w:cs="Arial" w:eastAsia="Arial" w:hAnsi="Arial"/>
          <w:sz w:val="7"/>
          <w:szCs w:val="7"/>
          <w:color w:val="auto"/>
        </w:rPr>
        <w:t>Annual initial base rent.</w:t>
      </w:r>
    </w:p>
    <w:p>
      <w:pPr>
        <w:spacing w:after="0" w:line="39" w:lineRule="exact"/>
        <w:rPr>
          <w:rFonts w:ascii="Arial" w:cs="Arial" w:eastAsia="Arial" w:hAnsi="Arial"/>
          <w:sz w:val="7"/>
          <w:szCs w:val="7"/>
          <w:color w:val="auto"/>
        </w:rPr>
      </w:pPr>
    </w:p>
    <w:p>
      <w:pPr>
        <w:ind w:left="340" w:hanging="111"/>
        <w:spacing w:after="0"/>
        <w:tabs>
          <w:tab w:leader="none" w:pos="340" w:val="left"/>
        </w:tabs>
        <w:numPr>
          <w:ilvl w:val="0"/>
          <w:numId w:val="28"/>
        </w:numPr>
        <w:rPr>
          <w:rFonts w:ascii="Arial" w:cs="Arial" w:eastAsia="Arial" w:hAnsi="Arial"/>
          <w:sz w:val="7"/>
          <w:szCs w:val="7"/>
          <w:color w:val="auto"/>
        </w:rPr>
      </w:pPr>
      <w:r>
        <w:rPr>
          <w:rFonts w:ascii="Arial" w:cs="Arial" w:eastAsia="Arial" w:hAnsi="Arial"/>
          <w:sz w:val="7"/>
          <w:szCs w:val="7"/>
          <w:color w:val="auto"/>
        </w:rPr>
        <w:t>Escalated rent is calculated as total annual lease related income excluding electric charges.</w:t>
      </w:r>
    </w:p>
    <w:p>
      <w:pPr>
        <w:spacing w:after="0" w:line="39" w:lineRule="exact"/>
        <w:rPr>
          <w:rFonts w:ascii="Arial" w:cs="Arial" w:eastAsia="Arial" w:hAnsi="Arial"/>
          <w:sz w:val="7"/>
          <w:szCs w:val="7"/>
          <w:color w:val="auto"/>
        </w:rPr>
      </w:pPr>
    </w:p>
    <w:p>
      <w:pPr>
        <w:ind w:left="340" w:hanging="111"/>
        <w:spacing w:after="0"/>
        <w:tabs>
          <w:tab w:leader="none" w:pos="340" w:val="left"/>
        </w:tabs>
        <w:numPr>
          <w:ilvl w:val="0"/>
          <w:numId w:val="28"/>
        </w:numPr>
        <w:rPr>
          <w:rFonts w:ascii="Arial" w:cs="Arial" w:eastAsia="Arial" w:hAnsi="Arial"/>
          <w:sz w:val="7"/>
          <w:szCs w:val="7"/>
          <w:color w:val="auto"/>
        </w:rPr>
      </w:pPr>
      <w:r>
        <w:rPr>
          <w:rFonts w:ascii="Arial" w:cs="Arial" w:eastAsia="Arial" w:hAnsi="Arial"/>
          <w:sz w:val="7"/>
          <w:szCs w:val="7"/>
          <w:color w:val="auto"/>
        </w:rPr>
        <w:t>Average starting office rent excluding new tenants replacing vacancies is $72.14/rsf for 250,828 rentable SF. Average starting office rent for office space (leased and early renewals, excluding new tenants replacing vacancies) is $67.55/rsf for 661,197 rentable SF.</w:t>
      </w:r>
    </w:p>
    <w:p>
      <w:pPr>
        <w:sectPr>
          <w:pgSz w:w="11900" w:h="16838" w:orient="portrait"/>
          <w:cols w:equalWidth="0" w:num="1">
            <w:col w:w="10080"/>
          </w:cols>
          <w:pgMar w:left="900" w:top="338" w:right="919" w:bottom="494" w:gutter="0" w:footer="0" w:header="0"/>
        </w:sectPr>
      </w:pPr>
    </w:p>
    <w:p>
      <w:pPr>
        <w:spacing w:after="0" w:line="341"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43</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8" w:right="919" w:bottom="494" w:gutter="0" w:footer="0" w:header="0"/>
          <w:type w:val="continuous"/>
        </w:sectPr>
      </w:pPr>
    </w:p>
    <w:bookmarkStart w:id="60" w:name="page61"/>
    <w:bookmarkEnd w:id="6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SUBURBAN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Space</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Escalated</w:t>
            </w:r>
          </w:p>
        </w:tc>
      </w:tr>
      <w:tr>
        <w:trPr>
          <w:trHeight w:val="100"/>
        </w:trPr>
        <w:tc>
          <w:tcPr>
            <w:tcW w:w="2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Arial" w:cs="Arial" w:eastAsia="Arial" w:hAnsi="Arial"/>
                <w:sz w:val="9"/>
                <w:szCs w:val="9"/>
                <w:b w:val="1"/>
                <w:bCs w:val="1"/>
                <w:color w:val="auto"/>
                <w:w w:val="92"/>
              </w:rPr>
              <w:t>Activity</w:t>
            </w: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Building Address</w:t>
            </w:r>
          </w:p>
        </w:tc>
        <w:tc>
          <w:tcPr>
            <w:tcW w:w="240" w:type="dxa"/>
            <w:vAlign w:val="bottom"/>
          </w:tcPr>
          <w:p>
            <w:pPr>
              <w:spacing w:after="0"/>
              <w:rPr>
                <w:sz w:val="8"/>
                <w:szCs w:val="8"/>
                <w:color w:val="auto"/>
              </w:rPr>
            </w:pPr>
          </w:p>
        </w:tc>
        <w:tc>
          <w:tcPr>
            <w:tcW w:w="980" w:type="dxa"/>
            <w:vAlign w:val="bottom"/>
            <w:gridSpan w:val="2"/>
          </w:tcPr>
          <w:p>
            <w:pPr>
              <w:jc w:val="right"/>
              <w:ind w:right="520"/>
              <w:spacing w:after="0" w:line="101" w:lineRule="exact"/>
              <w:rPr>
                <w:sz w:val="20"/>
                <w:szCs w:val="20"/>
                <w:color w:val="auto"/>
              </w:rPr>
            </w:pPr>
            <w:r>
              <w:rPr>
                <w:rFonts w:ascii="Arial" w:cs="Arial" w:eastAsia="Arial" w:hAnsi="Arial"/>
                <w:sz w:val="9"/>
                <w:szCs w:val="9"/>
                <w:b w:val="1"/>
                <w:bCs w:val="1"/>
                <w:color w:val="auto"/>
                <w:w w:val="89"/>
              </w:rPr>
              <w:t># of Leases</w:t>
            </w:r>
          </w:p>
        </w:tc>
        <w:tc>
          <w:tcPr>
            <w:tcW w:w="1420" w:type="dxa"/>
            <w:vAlign w:val="bottom"/>
            <w:gridSpan w:val="3"/>
          </w:tcPr>
          <w:p>
            <w:pPr>
              <w:ind w:left="500"/>
              <w:spacing w:after="0" w:line="101" w:lineRule="exact"/>
              <w:rPr>
                <w:sz w:val="20"/>
                <w:szCs w:val="20"/>
                <w:color w:val="auto"/>
              </w:rPr>
            </w:pPr>
            <w:r>
              <w:rPr>
                <w:rFonts w:ascii="Arial" w:cs="Arial" w:eastAsia="Arial" w:hAnsi="Arial"/>
                <w:sz w:val="9"/>
                <w:szCs w:val="9"/>
                <w:b w:val="1"/>
                <w:bCs w:val="1"/>
                <w:color w:val="auto"/>
              </w:rPr>
              <w:t>Useable SF</w:t>
            </w:r>
          </w:p>
        </w:tc>
        <w:tc>
          <w:tcPr>
            <w:tcW w:w="1400" w:type="dxa"/>
            <w:vAlign w:val="bottom"/>
            <w:gridSpan w:val="3"/>
          </w:tcPr>
          <w:p>
            <w:pPr>
              <w:ind w:left="440"/>
              <w:spacing w:after="0" w:line="101" w:lineRule="exact"/>
              <w:rPr>
                <w:sz w:val="20"/>
                <w:szCs w:val="20"/>
                <w:color w:val="auto"/>
              </w:rPr>
            </w:pPr>
            <w:r>
              <w:rPr>
                <w:rFonts w:ascii="Arial" w:cs="Arial" w:eastAsia="Arial" w:hAnsi="Arial"/>
                <w:sz w:val="9"/>
                <w:szCs w:val="9"/>
                <w:b w:val="1"/>
                <w:bCs w:val="1"/>
                <w:color w:val="auto"/>
              </w:rPr>
              <w:t>Rentable SF</w:t>
            </w:r>
          </w:p>
        </w:tc>
        <w:tc>
          <w:tcPr>
            <w:tcW w:w="560" w:type="dxa"/>
            <w:vAlign w:val="bottom"/>
          </w:tcPr>
          <w:p>
            <w:pPr>
              <w:spacing w:after="0"/>
              <w:rPr>
                <w:sz w:val="8"/>
                <w:szCs w:val="8"/>
                <w:color w:val="auto"/>
              </w:rPr>
            </w:pPr>
          </w:p>
        </w:tc>
        <w:tc>
          <w:tcPr>
            <w:tcW w:w="1120" w:type="dxa"/>
            <w:vAlign w:val="bottom"/>
            <w:gridSpan w:val="3"/>
          </w:tcPr>
          <w:p>
            <w:pPr>
              <w:jc w:val="right"/>
              <w:ind w:right="20"/>
              <w:spacing w:after="0" w:line="101" w:lineRule="exact"/>
              <w:rPr>
                <w:sz w:val="20"/>
                <w:szCs w:val="20"/>
                <w:color w:val="auto"/>
              </w:rPr>
            </w:pPr>
            <w:r>
              <w:rPr>
                <w:rFonts w:ascii="Arial" w:cs="Arial" w:eastAsia="Arial" w:hAnsi="Arial"/>
                <w:sz w:val="9"/>
                <w:szCs w:val="9"/>
                <w:b w:val="1"/>
                <w:bCs w:val="1"/>
                <w:color w:val="auto"/>
              </w:rPr>
              <w:t xml:space="preserve">Rent/Rentable SF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's)(1)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9"/>
                <w:szCs w:val="9"/>
                <w:b w:val="1"/>
                <w:bCs w:val="1"/>
                <w:i w:val="1"/>
                <w:iCs w:val="1"/>
                <w:color w:val="auto"/>
              </w:rPr>
              <w:t>Available Space at 3/31/16</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1,026,123</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4380" w:type="dxa"/>
            <w:vAlign w:val="bottom"/>
            <w:gridSpan w:val="6"/>
          </w:tcPr>
          <w:p>
            <w:pPr>
              <w:spacing w:after="0"/>
              <w:rPr>
                <w:sz w:val="20"/>
                <w:szCs w:val="20"/>
                <w:color w:val="auto"/>
              </w:rPr>
            </w:pPr>
            <w:r>
              <w:rPr>
                <w:rFonts w:ascii="Arial" w:cs="Arial" w:eastAsia="Arial" w:hAnsi="Arial"/>
                <w:sz w:val="9"/>
                <w:szCs w:val="9"/>
                <w:b w:val="1"/>
                <w:bCs w:val="1"/>
                <w:i w:val="1"/>
                <w:iCs w:val="1"/>
                <w:color w:val="auto"/>
              </w:rPr>
              <w:t>Space which became available during the Quarter (2):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0" w:type="dxa"/>
            <w:vAlign w:val="bottom"/>
            <w:gridSpan w:val="4"/>
          </w:tcPr>
          <w:p>
            <w:pPr>
              <w:jc w:val="right"/>
              <w:ind w:right="2416"/>
              <w:spacing w:after="0"/>
              <w:rPr>
                <w:sz w:val="20"/>
                <w:szCs w:val="20"/>
                <w:color w:val="auto"/>
              </w:rPr>
            </w:pPr>
            <w:r>
              <w:rPr>
                <w:rFonts w:ascii="Arial" w:cs="Arial" w:eastAsia="Arial" w:hAnsi="Arial"/>
                <w:sz w:val="9"/>
                <w:szCs w:val="9"/>
                <w:b w:val="1"/>
                <w:bCs w:val="1"/>
                <w:i w:val="1"/>
                <w:iCs w:val="1"/>
                <w:color w:val="auto"/>
              </w:rPr>
              <w:t>Office</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520 White Plains Road, Tarrytown, New York</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7,009</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7,009</w:t>
            </w:r>
          </w:p>
        </w:tc>
        <w:tc>
          <w:tcPr>
            <w:tcW w:w="56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29.60</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115-117 Stevens Avenue, Valhalla, New York</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52,000</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52,000</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27.57</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360 Hamilton Avenue, White Plains, New York</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2,419</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2,419</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23.02</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 Landmark Square,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2</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13,642</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13,642</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39.86</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6 Landmark Square,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23,145</w:t>
            </w:r>
          </w:p>
        </w:tc>
        <w:tc>
          <w:tcPr>
            <w:tcW w:w="44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23,145</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34.88</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680 Washington Boulevard,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1,670</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1,670</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512.82</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750 Washington Boulevard,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2,824</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2,824</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45.53</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1010 Washington Boulevard,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2</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5,595</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5,595</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33.29</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1055 Washington Boulevard,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color w:val="auto"/>
              </w:rPr>
              <w:t>2,465</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color w:val="auto"/>
              </w:rPr>
              <w:t>2,465</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9"/>
                <w:szCs w:val="9"/>
                <w:color w:val="auto"/>
              </w:rPr>
              <w:t>32.25</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Jericho Plaza, Jericho, New York</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color w:val="auto"/>
              </w:rPr>
              <w:t>1</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15,004</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color w:val="auto"/>
              </w:rPr>
              <w:t>15,004</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37.71</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ind w:left="700"/>
              <w:spacing w:after="0"/>
              <w:rPr>
                <w:sz w:val="20"/>
                <w:szCs w:val="20"/>
                <w:color w:val="auto"/>
              </w:rPr>
            </w:pPr>
            <w:r>
              <w:rPr>
                <w:rFonts w:ascii="Arial" w:cs="Arial" w:eastAsia="Arial" w:hAnsi="Arial"/>
                <w:sz w:val="9"/>
                <w:szCs w:val="9"/>
                <w:b w:val="1"/>
                <w:bCs w:val="1"/>
                <w:color w:val="auto"/>
                <w:w w:val="95"/>
              </w:rPr>
              <w:t>Total/Weighted Average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12</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125,773</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125,773</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38.68</w:t>
            </w:r>
          </w:p>
        </w:tc>
        <w:tc>
          <w:tcPr>
            <w:tcW w:w="20" w:type="dxa"/>
            <w:vAlign w:val="bottom"/>
          </w:tcPr>
          <w:p>
            <w:pPr>
              <w:spacing w:after="0"/>
              <w:rPr>
                <w:sz w:val="17"/>
                <w:szCs w:val="17"/>
                <w:color w:val="auto"/>
              </w:rPr>
            </w:pPr>
          </w:p>
        </w:tc>
      </w:tr>
      <w:tr>
        <w:trPr>
          <w:trHeight w:val="40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0" w:type="dxa"/>
            <w:vAlign w:val="bottom"/>
            <w:gridSpan w:val="4"/>
          </w:tcPr>
          <w:p>
            <w:pPr>
              <w:jc w:val="right"/>
              <w:ind w:right="2416"/>
              <w:spacing w:after="0"/>
              <w:rPr>
                <w:sz w:val="20"/>
                <w:szCs w:val="20"/>
                <w:color w:val="auto"/>
              </w:rPr>
            </w:pPr>
            <w:r>
              <w:rPr>
                <w:rFonts w:ascii="Arial" w:cs="Arial" w:eastAsia="Arial" w:hAnsi="Arial"/>
                <w:sz w:val="9"/>
                <w:szCs w:val="9"/>
                <w:b w:val="1"/>
                <w:bCs w:val="1"/>
                <w:i w:val="1"/>
                <w:iCs w:val="1"/>
                <w:color w:val="auto"/>
              </w:rPr>
              <w:t>Retail</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 Landmark Square, Stamford, Connecticut</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color w:val="auto"/>
              </w:rPr>
              <w:t>1</w:t>
            </w:r>
          </w:p>
        </w:tc>
        <w:tc>
          <w:tcPr>
            <w:tcW w:w="1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color w:val="auto"/>
              </w:rPr>
              <w:t>2,016</w:t>
            </w: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color w:val="auto"/>
              </w:rPr>
              <w:t>2,016</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32.00</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ind w:left="700"/>
              <w:spacing w:after="0"/>
              <w:rPr>
                <w:sz w:val="20"/>
                <w:szCs w:val="20"/>
                <w:color w:val="auto"/>
              </w:rPr>
            </w:pPr>
            <w:r>
              <w:rPr>
                <w:rFonts w:ascii="Arial" w:cs="Arial" w:eastAsia="Arial" w:hAnsi="Arial"/>
                <w:sz w:val="9"/>
                <w:szCs w:val="9"/>
                <w:b w:val="1"/>
                <w:bCs w:val="1"/>
                <w:color w:val="auto"/>
                <w:w w:val="95"/>
              </w:rPr>
              <w:t>Total/Weighted Average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1</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2,016</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2,016</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32.00</w:t>
            </w:r>
          </w:p>
        </w:tc>
        <w:tc>
          <w:tcPr>
            <w:tcW w:w="20" w:type="dxa"/>
            <w:vAlign w:val="bottom"/>
          </w:tcPr>
          <w:p>
            <w:pPr>
              <w:spacing w:after="0"/>
              <w:rPr>
                <w:sz w:val="17"/>
                <w:szCs w:val="17"/>
                <w:color w:val="auto"/>
              </w:rPr>
            </w:pPr>
          </w:p>
        </w:tc>
      </w:tr>
      <w:tr>
        <w:trPr>
          <w:trHeight w:val="5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40" w:type="dxa"/>
            <w:vAlign w:val="bottom"/>
            <w:tcBorders>
              <w:bottom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Total Space which became available during the Quarter</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ind w:left="360"/>
              <w:spacing w:after="0"/>
              <w:rPr>
                <w:sz w:val="20"/>
                <w:szCs w:val="20"/>
                <w:color w:val="auto"/>
              </w:rPr>
            </w:pPr>
            <w:r>
              <w:rPr>
                <w:rFonts w:ascii="Arial" w:cs="Arial" w:eastAsia="Arial" w:hAnsi="Arial"/>
                <w:sz w:val="9"/>
                <w:szCs w:val="9"/>
                <w:b w:val="1"/>
                <w:bCs w:val="1"/>
                <w:i w:val="1"/>
                <w:iCs w:val="1"/>
                <w:color w:val="auto"/>
              </w:rPr>
              <w:t>Office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12</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125,773</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125,773</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38.68</w:t>
            </w:r>
          </w:p>
        </w:tc>
        <w:tc>
          <w:tcPr>
            <w:tcW w:w="2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ind w:left="360"/>
              <w:spacing w:after="0"/>
              <w:rPr>
                <w:sz w:val="20"/>
                <w:szCs w:val="20"/>
                <w:color w:val="auto"/>
              </w:rPr>
            </w:pPr>
            <w:r>
              <w:rPr>
                <w:rFonts w:ascii="Arial" w:cs="Arial" w:eastAsia="Arial" w:hAnsi="Arial"/>
                <w:sz w:val="9"/>
                <w:szCs w:val="9"/>
                <w:b w:val="1"/>
                <w:bCs w:val="1"/>
                <w:i w:val="1"/>
                <w:iCs w:val="1"/>
                <w:color w:val="auto"/>
              </w:rPr>
              <w:t>Retail</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b w:val="1"/>
                <w:bCs w:val="1"/>
                <w:color w:val="auto"/>
              </w:rPr>
              <w:t>1</w:t>
            </w:r>
          </w:p>
        </w:tc>
        <w:tc>
          <w:tcPr>
            <w:tcW w:w="1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b w:val="1"/>
                <w:bCs w:val="1"/>
                <w:color w:val="auto"/>
              </w:rPr>
              <w:t>2,016</w:t>
            </w: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b w:val="1"/>
                <w:bCs w:val="1"/>
                <w:color w:val="auto"/>
              </w:rPr>
              <w:t>2,016</w:t>
            </w: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32.00</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13</w:t>
            </w: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127,789</w:t>
            </w:r>
          </w:p>
        </w:tc>
        <w:tc>
          <w:tcPr>
            <w:tcW w:w="140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127,789</w:t>
            </w:r>
          </w:p>
        </w:tc>
        <w:tc>
          <w:tcPr>
            <w:tcW w:w="560" w:type="dxa"/>
            <w:vAlign w:val="bottom"/>
          </w:tcPr>
          <w:p>
            <w:pPr>
              <w:jc w:val="right"/>
              <w:ind w:right="36"/>
              <w:spacing w:after="0"/>
              <w:rPr>
                <w:sz w:val="20"/>
                <w:szCs w:val="20"/>
                <w:color w:val="auto"/>
              </w:rPr>
            </w:pPr>
            <w:r>
              <w:rPr>
                <w:rFonts w:ascii="Arial" w:cs="Arial" w:eastAsia="Arial" w:hAnsi="Arial"/>
                <w:sz w:val="9"/>
                <w:szCs w:val="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9"/>
                <w:szCs w:val="9"/>
                <w:b w:val="1"/>
                <w:bCs w:val="1"/>
                <w:color w:val="auto"/>
              </w:rPr>
              <w:t>38.57</w:t>
            </w:r>
          </w:p>
        </w:tc>
        <w:tc>
          <w:tcPr>
            <w:tcW w:w="20" w:type="dxa"/>
            <w:vAlign w:val="bottom"/>
          </w:tcPr>
          <w:p>
            <w:pPr>
              <w:spacing w:after="0"/>
              <w:rPr>
                <w:sz w:val="17"/>
                <w:szCs w:val="17"/>
                <w:color w:val="auto"/>
              </w:rPr>
            </w:pPr>
          </w:p>
        </w:tc>
      </w:tr>
      <w:tr>
        <w:trPr>
          <w:trHeight w:val="40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b w:val="1"/>
                <w:bCs w:val="1"/>
                <w:color w:val="auto"/>
              </w:rPr>
              <w:t>Total Available Space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1,153,912</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99" w:lineRule="exact"/>
        <w:rPr>
          <w:sz w:val="20"/>
          <w:szCs w:val="20"/>
          <w:color w:val="auto"/>
        </w:rPr>
      </w:pPr>
    </w:p>
    <w:p>
      <w:pPr>
        <w:ind w:left="140" w:hanging="124"/>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9"/>
          <w:szCs w:val="9"/>
          <w:color w:val="auto"/>
        </w:rPr>
        <w:t>Escalated rent is calculated as total annual lease related income excluding electric charges.</w:t>
      </w:r>
    </w:p>
    <w:p>
      <w:pPr>
        <w:spacing w:after="0" w:line="115" w:lineRule="exact"/>
        <w:rPr>
          <w:rFonts w:ascii="Arial" w:cs="Arial" w:eastAsia="Arial" w:hAnsi="Arial"/>
          <w:sz w:val="9"/>
          <w:szCs w:val="9"/>
          <w:color w:val="auto"/>
        </w:rPr>
      </w:pPr>
    </w:p>
    <w:p>
      <w:pPr>
        <w:ind w:left="140" w:hanging="124"/>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9"/>
          <w:szCs w:val="9"/>
          <w:color w:val="auto"/>
        </w:rPr>
        <w:t>Includes expiring space, relocating tenants and move-outs where tenants vacated. Excludes lease expirations where tenants heldover.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44</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20"/>
          </w:cols>
          <w:pgMar w:left="900" w:top="338" w:right="879" w:bottom="1440" w:gutter="0" w:footer="0" w:header="0"/>
        </w:sectPr>
      </w:pPr>
    </w:p>
    <w:bookmarkStart w:id="61" w:name="page62"/>
    <w:bookmarkEnd w:id="61"/>
    <w:p>
      <w:pPr>
        <w:ind w:lef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SUBURBAN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5165090</wp:posOffset>
            </wp:positionH>
            <wp:positionV relativeFrom="paragraph">
              <wp:posOffset>-48895</wp:posOffset>
            </wp:positionV>
            <wp:extent cx="1263015" cy="3606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Commenced Leasing</w:t>
      </w:r>
    </w:p>
    <w:p>
      <w:pPr>
        <w:ind w:left="2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106045</wp:posOffset>
            </wp:positionV>
            <wp:extent cx="64122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New Cash Rent /</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Prev. Escalated Rent/</w:t>
            </w:r>
          </w:p>
        </w:tc>
        <w:tc>
          <w:tcPr>
            <w:tcW w:w="90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Free Rent</w:t>
            </w:r>
          </w:p>
        </w:tc>
        <w:tc>
          <w:tcPr>
            <w:tcW w:w="0" w:type="dxa"/>
            <w:vAlign w:val="bottom"/>
          </w:tcPr>
          <w:p>
            <w:pPr>
              <w:spacing w:after="0"/>
              <w:rPr>
                <w:sz w:val="1"/>
                <w:szCs w:val="1"/>
                <w:color w:val="auto"/>
              </w:rPr>
            </w:pPr>
          </w:p>
        </w:tc>
      </w:tr>
      <w:tr>
        <w:trPr>
          <w:trHeight w:val="124"/>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Activity</w:t>
            </w:r>
          </w:p>
        </w:tc>
        <w:tc>
          <w:tcPr>
            <w:tcW w:w="2820" w:type="dxa"/>
            <w:vAlign w:val="bottom"/>
            <w:tcBorders>
              <w:bottom w:val="single" w:sz="8" w:color="auto"/>
            </w:tcBorders>
          </w:tcPr>
          <w:p>
            <w:pPr>
              <w:ind w:left="460"/>
              <w:spacing w:after="0"/>
              <w:rPr>
                <w:sz w:val="20"/>
                <w:szCs w:val="20"/>
                <w:color w:val="auto"/>
              </w:rPr>
            </w:pPr>
            <w:r>
              <w:rPr>
                <w:rFonts w:ascii="Arial" w:cs="Arial" w:eastAsia="Arial" w:hAnsi="Arial"/>
                <w:sz w:val="9"/>
                <w:szCs w:val="9"/>
                <w:b w:val="1"/>
                <w:bCs w:val="1"/>
                <w:color w:val="auto"/>
              </w:rPr>
              <w:t>Building Address</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 of Leases</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Term (Yrs)</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Useable SF</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Rentable SF</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Rentable SF(1)</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Rentable SF(2)</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TI / Rentable SF</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 of Months</w:t>
            </w:r>
          </w:p>
        </w:tc>
        <w:tc>
          <w:tcPr>
            <w:tcW w:w="0" w:type="dxa"/>
            <w:vAlign w:val="bottom"/>
          </w:tcPr>
          <w:p>
            <w:pPr>
              <w:spacing w:after="0"/>
              <w:rPr>
                <w:sz w:val="1"/>
                <w:szCs w:val="1"/>
                <w:color w:val="auto"/>
              </w:rPr>
            </w:pPr>
          </w:p>
        </w:tc>
      </w:tr>
      <w:tr>
        <w:trPr>
          <w:trHeight w:val="310"/>
        </w:trPr>
        <w:tc>
          <w:tcPr>
            <w:tcW w:w="700" w:type="dxa"/>
            <w:vAlign w:val="bottom"/>
          </w:tcPr>
          <w:p>
            <w:pPr>
              <w:ind w:left="20"/>
              <w:spacing w:after="0"/>
              <w:rPr>
                <w:sz w:val="20"/>
                <w:szCs w:val="20"/>
                <w:color w:val="auto"/>
              </w:rPr>
            </w:pPr>
            <w:r>
              <w:rPr>
                <w:rFonts w:ascii="Arial" w:cs="Arial" w:eastAsia="Arial" w:hAnsi="Arial"/>
                <w:sz w:val="9"/>
                <w:szCs w:val="9"/>
                <w:b w:val="1"/>
                <w:bCs w:val="1"/>
                <w:color w:val="auto"/>
                <w:w w:val="96"/>
              </w:rPr>
              <w:t>Available Space</w:t>
            </w:r>
          </w:p>
        </w:tc>
        <w:tc>
          <w:tcPr>
            <w:tcW w:w="2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1,153,912</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2820" w:type="dxa"/>
            <w:vAlign w:val="bottom"/>
          </w:tcPr>
          <w:p>
            <w:pPr>
              <w:jc w:val="right"/>
              <w:ind w:right="2356"/>
              <w:spacing w:after="0"/>
              <w:rPr>
                <w:sz w:val="20"/>
                <w:szCs w:val="20"/>
                <w:color w:val="auto"/>
              </w:rPr>
            </w:pPr>
            <w:r>
              <w:rPr>
                <w:rFonts w:ascii="Arial" w:cs="Arial" w:eastAsia="Arial" w:hAnsi="Arial"/>
                <w:sz w:val="9"/>
                <w:szCs w:val="9"/>
                <w:b w:val="1"/>
                <w:bCs w:val="1"/>
                <w:i w:val="1"/>
                <w:iCs w:val="1"/>
                <w:color w:val="auto"/>
              </w:rPr>
              <w:t>Office</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3 Landmark Square, Stamford, Connecticut</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3.4</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4,349</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4,349</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$33.00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$37.75</w:t>
            </w:r>
          </w:p>
        </w:tc>
        <w:tc>
          <w:tcPr>
            <w:tcW w:w="680" w:type="dxa"/>
            <w:vAlign w:val="bottom"/>
          </w:tcPr>
          <w:p>
            <w:pPr>
              <w:jc w:val="right"/>
              <w:spacing w:after="0"/>
              <w:rPr>
                <w:sz w:val="20"/>
                <w:szCs w:val="20"/>
                <w:color w:val="auto"/>
              </w:rPr>
            </w:pPr>
            <w:r>
              <w:rPr>
                <w:rFonts w:ascii="Arial" w:cs="Arial" w:eastAsia="Arial" w:hAnsi="Arial"/>
                <w:sz w:val="9"/>
                <w:szCs w:val="9"/>
                <w:color w:val="auto"/>
              </w:rPr>
              <w:t>2.0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6 Landmark Square, Stamford, Connecticut</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2</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16.4</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26,385</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26,385</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$35.00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$34.88</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$67.50</w:t>
            </w:r>
          </w:p>
        </w:tc>
        <w:tc>
          <w:tcPr>
            <w:tcW w:w="680" w:type="dxa"/>
            <w:vAlign w:val="bottom"/>
          </w:tcPr>
          <w:p>
            <w:pPr>
              <w:jc w:val="right"/>
              <w:spacing w:after="0"/>
              <w:rPr>
                <w:sz w:val="20"/>
                <w:szCs w:val="20"/>
                <w:color w:val="auto"/>
              </w:rPr>
            </w:pPr>
            <w:r>
              <w:rPr>
                <w:rFonts w:ascii="Arial" w:cs="Arial" w:eastAsia="Arial" w:hAnsi="Arial"/>
                <w:sz w:val="9"/>
                <w:szCs w:val="9"/>
                <w:color w:val="auto"/>
              </w:rPr>
              <w:t>17.0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680 Washington Boulevard, Stamford, Connecticut</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3.0</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2,458</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2,458</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$45.00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$47.03</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$2.50</w:t>
            </w:r>
          </w:p>
        </w:tc>
        <w:tc>
          <w:tcPr>
            <w:tcW w:w="680" w:type="dxa"/>
            <w:vAlign w:val="bottom"/>
          </w:tcPr>
          <w:p>
            <w:pPr>
              <w:jc w:val="right"/>
              <w:spacing w:after="0"/>
              <w:rPr>
                <w:sz w:val="20"/>
                <w:szCs w:val="20"/>
                <w:color w:val="auto"/>
              </w:rPr>
            </w:pPr>
            <w:r>
              <w:rPr>
                <w:rFonts w:ascii="Arial" w:cs="Arial" w:eastAsia="Arial" w:hAnsi="Arial"/>
                <w:sz w:val="9"/>
                <w:szCs w:val="9"/>
                <w:color w:val="auto"/>
              </w:rPr>
              <w:t>1.6</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1010 Washington Boulevard, Stamford, Connecticut</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2</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5.6</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9,048</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9,048</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$33.60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$33.00</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$33.11</w:t>
            </w:r>
          </w:p>
        </w:tc>
        <w:tc>
          <w:tcPr>
            <w:tcW w:w="680" w:type="dxa"/>
            <w:vAlign w:val="bottom"/>
          </w:tcPr>
          <w:p>
            <w:pPr>
              <w:jc w:val="right"/>
              <w:spacing w:after="0"/>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1055 Washington Boulevard, Stamford, Connecticut</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3</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7.2</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9,795</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9,795</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$32.67</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$35.06</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$40.84</w:t>
            </w:r>
          </w:p>
        </w:tc>
        <w:tc>
          <w:tcPr>
            <w:tcW w:w="680" w:type="dxa"/>
            <w:vAlign w:val="bottom"/>
          </w:tcPr>
          <w:p>
            <w:pPr>
              <w:jc w:val="right"/>
              <w:spacing w:after="0"/>
              <w:rPr>
                <w:sz w:val="20"/>
                <w:szCs w:val="20"/>
                <w:color w:val="auto"/>
              </w:rPr>
            </w:pPr>
            <w:r>
              <w:rPr>
                <w:rFonts w:ascii="Arial" w:cs="Arial" w:eastAsia="Arial" w:hAnsi="Arial"/>
                <w:sz w:val="9"/>
                <w:szCs w:val="9"/>
                <w:color w:val="auto"/>
              </w:rPr>
              <w:t>4.1</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Jericho Plaza, Jericho, New York</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5.0</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15,004</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15,004</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$39.45</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$37.71</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$5.00</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16 Court Street, Brooklyn, New York</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2</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5.1</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3,083</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3,146</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$50.00</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$29.26</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$56.76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Total/Weighted Average</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12</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9.5</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70,122</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70,185</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$36.34</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$35.89</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$41.38</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7.5</w:t>
            </w:r>
          </w:p>
        </w:tc>
        <w:tc>
          <w:tcPr>
            <w:tcW w:w="0" w:type="dxa"/>
            <w:vAlign w:val="bottom"/>
          </w:tcPr>
          <w:p>
            <w:pPr>
              <w:spacing w:after="0"/>
              <w:rPr>
                <w:sz w:val="1"/>
                <w:szCs w:val="1"/>
                <w:color w:val="auto"/>
              </w:rPr>
            </w:pPr>
          </w:p>
        </w:tc>
      </w:tr>
      <w:tr>
        <w:trPr>
          <w:trHeight w:val="328"/>
        </w:trPr>
        <w:tc>
          <w:tcPr>
            <w:tcW w:w="700" w:type="dxa"/>
            <w:vAlign w:val="bottom"/>
          </w:tcPr>
          <w:p>
            <w:pPr>
              <w:spacing w:after="0"/>
              <w:rPr>
                <w:sz w:val="24"/>
                <w:szCs w:val="24"/>
                <w:color w:val="auto"/>
              </w:rPr>
            </w:pPr>
          </w:p>
        </w:tc>
        <w:tc>
          <w:tcPr>
            <w:tcW w:w="2820" w:type="dxa"/>
            <w:vAlign w:val="bottom"/>
          </w:tcPr>
          <w:p>
            <w:pPr>
              <w:jc w:val="right"/>
              <w:ind w:right="2356"/>
              <w:spacing w:after="0"/>
              <w:rPr>
                <w:sz w:val="20"/>
                <w:szCs w:val="20"/>
                <w:color w:val="auto"/>
              </w:rPr>
            </w:pPr>
            <w:r>
              <w:rPr>
                <w:rFonts w:ascii="Arial" w:cs="Arial" w:eastAsia="Arial" w:hAnsi="Arial"/>
                <w:sz w:val="9"/>
                <w:szCs w:val="9"/>
                <w:b w:val="1"/>
                <w:bCs w:val="1"/>
                <w:i w:val="1"/>
                <w:iCs w:val="1"/>
                <w:color w:val="auto"/>
              </w:rPr>
              <w:t>Retail</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 Landmark Square, Stamford, Connecticut</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10.0</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2,016</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2,016</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$32.00</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$32.00</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7.50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4.0</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Total/Weighted Average</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10.0</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2,016</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2,016</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$32.00</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$32.00</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7.50</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4.0</w:t>
            </w:r>
          </w:p>
        </w:tc>
        <w:tc>
          <w:tcPr>
            <w:tcW w:w="0" w:type="dxa"/>
            <w:vAlign w:val="bottom"/>
          </w:tcPr>
          <w:p>
            <w:pPr>
              <w:spacing w:after="0"/>
              <w:rPr>
                <w:sz w:val="1"/>
                <w:szCs w:val="1"/>
                <w:color w:val="auto"/>
              </w:rPr>
            </w:pPr>
          </w:p>
        </w:tc>
      </w:tr>
      <w:tr>
        <w:trPr>
          <w:trHeight w:val="317"/>
        </w:trPr>
        <w:tc>
          <w:tcPr>
            <w:tcW w:w="700" w:type="dxa"/>
            <w:vAlign w:val="bottom"/>
          </w:tcPr>
          <w:p>
            <w:pPr>
              <w:spacing w:after="0"/>
              <w:rPr>
                <w:sz w:val="24"/>
                <w:szCs w:val="24"/>
                <w:color w:val="auto"/>
              </w:rPr>
            </w:pPr>
          </w:p>
        </w:tc>
        <w:tc>
          <w:tcPr>
            <w:tcW w:w="2820" w:type="dxa"/>
            <w:vAlign w:val="bottom"/>
          </w:tcPr>
          <w:p>
            <w:pPr>
              <w:jc w:val="right"/>
              <w:ind w:right="2356"/>
              <w:spacing w:after="0"/>
              <w:rPr>
                <w:sz w:val="20"/>
                <w:szCs w:val="20"/>
                <w:color w:val="auto"/>
              </w:rPr>
            </w:pPr>
            <w:r>
              <w:rPr>
                <w:rFonts w:ascii="Arial" w:cs="Arial" w:eastAsia="Arial" w:hAnsi="Arial"/>
                <w:sz w:val="9"/>
                <w:szCs w:val="9"/>
                <w:b w:val="1"/>
                <w:bCs w:val="1"/>
                <w:i w:val="1"/>
                <w:iCs w:val="1"/>
                <w:color w:val="auto"/>
              </w:rPr>
              <w:t>Storage</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1100 King Street - 5 Int'l Drive, Rye Brook, New York</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15.0</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1,028</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514</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$12.00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Jericho Plaza, Jericho, New York</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1.0</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332</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352</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$18.00</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Total/Weighted Average</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9.3</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1,360</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866</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$14.44</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359"/>
        </w:trPr>
        <w:tc>
          <w:tcPr>
            <w:tcW w:w="7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rPr>
              <w:t>Leased Space</w:t>
            </w:r>
          </w:p>
        </w:tc>
        <w:tc>
          <w:tcPr>
            <w:tcW w:w="2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820" w:type="dxa"/>
            <w:vAlign w:val="bottom"/>
          </w:tcPr>
          <w:p>
            <w:pPr>
              <w:ind w:left="460"/>
              <w:spacing w:after="0"/>
              <w:rPr>
                <w:sz w:val="20"/>
                <w:szCs w:val="20"/>
                <w:color w:val="auto"/>
              </w:rPr>
            </w:pPr>
            <w:r>
              <w:rPr>
                <w:rFonts w:ascii="Arial" w:cs="Arial" w:eastAsia="Arial" w:hAnsi="Arial"/>
                <w:sz w:val="9"/>
                <w:szCs w:val="9"/>
                <w:b w:val="1"/>
                <w:bCs w:val="1"/>
                <w:i w:val="1"/>
                <w:iCs w:val="1"/>
                <w:color w:val="auto"/>
              </w:rPr>
              <w:t>Office (3)</w:t>
            </w:r>
          </w:p>
        </w:tc>
        <w:tc>
          <w:tcPr>
            <w:tcW w:w="82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12</w:t>
            </w:r>
          </w:p>
        </w:tc>
        <w:tc>
          <w:tcPr>
            <w:tcW w:w="720" w:type="dxa"/>
            <w:vAlign w:val="bottom"/>
            <w:vMerge w:val="restart"/>
          </w:tcPr>
          <w:p>
            <w:pPr>
              <w:jc w:val="right"/>
              <w:ind w:right="116"/>
              <w:spacing w:after="0"/>
              <w:rPr>
                <w:sz w:val="20"/>
                <w:szCs w:val="20"/>
                <w:color w:val="auto"/>
              </w:rPr>
            </w:pPr>
            <w:r>
              <w:rPr>
                <w:rFonts w:ascii="Arial" w:cs="Arial" w:eastAsia="Arial" w:hAnsi="Arial"/>
                <w:sz w:val="9"/>
                <w:szCs w:val="9"/>
                <w:b w:val="1"/>
                <w:bCs w:val="1"/>
                <w:color w:val="auto"/>
              </w:rPr>
              <w:t>9.5</w:t>
            </w:r>
          </w:p>
        </w:tc>
        <w:tc>
          <w:tcPr>
            <w:tcW w:w="780" w:type="dxa"/>
            <w:vAlign w:val="bottom"/>
            <w:vMerge w:val="restart"/>
          </w:tcPr>
          <w:p>
            <w:pPr>
              <w:jc w:val="right"/>
              <w:ind w:right="136"/>
              <w:spacing w:after="0"/>
              <w:rPr>
                <w:sz w:val="20"/>
                <w:szCs w:val="20"/>
                <w:color w:val="auto"/>
              </w:rPr>
            </w:pPr>
            <w:r>
              <w:rPr>
                <w:rFonts w:ascii="Arial" w:cs="Arial" w:eastAsia="Arial" w:hAnsi="Arial"/>
                <w:sz w:val="9"/>
                <w:szCs w:val="9"/>
                <w:b w:val="1"/>
                <w:bCs w:val="1"/>
                <w:color w:val="auto"/>
              </w:rPr>
              <w:t>70,122</w:t>
            </w:r>
          </w:p>
        </w:tc>
        <w:tc>
          <w:tcPr>
            <w:tcW w:w="780" w:type="dxa"/>
            <w:vAlign w:val="bottom"/>
            <w:vMerge w:val="restart"/>
          </w:tcPr>
          <w:p>
            <w:pPr>
              <w:jc w:val="right"/>
              <w:ind w:right="76"/>
              <w:spacing w:after="0"/>
              <w:rPr>
                <w:sz w:val="20"/>
                <w:szCs w:val="20"/>
                <w:color w:val="auto"/>
              </w:rPr>
            </w:pPr>
            <w:r>
              <w:rPr>
                <w:rFonts w:ascii="Arial" w:cs="Arial" w:eastAsia="Arial" w:hAnsi="Arial"/>
                <w:sz w:val="9"/>
                <w:szCs w:val="9"/>
                <w:b w:val="1"/>
                <w:bCs w:val="1"/>
                <w:color w:val="auto"/>
              </w:rPr>
              <w:t>70,185</w:t>
            </w:r>
          </w:p>
        </w:tc>
        <w:tc>
          <w:tcPr>
            <w:tcW w:w="900" w:type="dxa"/>
            <w:vAlign w:val="bottom"/>
            <w:vMerge w:val="restart"/>
          </w:tcPr>
          <w:p>
            <w:pPr>
              <w:jc w:val="right"/>
              <w:ind w:right="36"/>
              <w:spacing w:after="0"/>
              <w:rPr>
                <w:sz w:val="20"/>
                <w:szCs w:val="20"/>
                <w:color w:val="auto"/>
              </w:rPr>
            </w:pPr>
            <w:r>
              <w:rPr>
                <w:rFonts w:ascii="Arial" w:cs="Arial" w:eastAsia="Arial" w:hAnsi="Arial"/>
                <w:sz w:val="9"/>
                <w:szCs w:val="9"/>
                <w:b w:val="1"/>
                <w:bCs w:val="1"/>
                <w:color w:val="auto"/>
              </w:rPr>
              <w:t>$36.34</w:t>
            </w:r>
          </w:p>
        </w:tc>
        <w:tc>
          <w:tcPr>
            <w:tcW w:w="1060" w:type="dxa"/>
            <w:vAlign w:val="bottom"/>
            <w:vMerge w:val="restart"/>
          </w:tcPr>
          <w:p>
            <w:pPr>
              <w:jc w:val="right"/>
              <w:ind w:right="56"/>
              <w:spacing w:after="0"/>
              <w:rPr>
                <w:sz w:val="20"/>
                <w:szCs w:val="20"/>
                <w:color w:val="auto"/>
              </w:rPr>
            </w:pPr>
            <w:r>
              <w:rPr>
                <w:rFonts w:ascii="Arial" w:cs="Arial" w:eastAsia="Arial" w:hAnsi="Arial"/>
                <w:sz w:val="9"/>
                <w:szCs w:val="9"/>
                <w:b w:val="1"/>
                <w:bCs w:val="1"/>
                <w:color w:val="auto"/>
              </w:rPr>
              <w:t>$35.89</w:t>
            </w:r>
          </w:p>
        </w:tc>
        <w:tc>
          <w:tcPr>
            <w:tcW w:w="90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$41.38</w:t>
            </w:r>
          </w:p>
        </w:tc>
        <w:tc>
          <w:tcPr>
            <w:tcW w:w="6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7.5</w:t>
            </w:r>
          </w:p>
        </w:tc>
        <w:tc>
          <w:tcPr>
            <w:tcW w:w="0" w:type="dxa"/>
            <w:vAlign w:val="bottom"/>
          </w:tcPr>
          <w:p>
            <w:pPr>
              <w:spacing w:after="0"/>
              <w:rPr>
                <w:sz w:val="1"/>
                <w:szCs w:val="1"/>
                <w:color w:val="auto"/>
              </w:rPr>
            </w:pPr>
          </w:p>
        </w:tc>
      </w:tr>
      <w:tr>
        <w:trPr>
          <w:trHeight w:val="44"/>
        </w:trPr>
        <w:tc>
          <w:tcPr>
            <w:tcW w:w="7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b w:val="1"/>
                <w:bCs w:val="1"/>
                <w:i w:val="1"/>
                <w:iCs w:val="1"/>
                <w:color w:val="auto"/>
              </w:rPr>
              <w:t>Retail</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10.0</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2,016</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2,016</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$32.00</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$32.00</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$7.50</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4.0</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b w:val="1"/>
                <w:bCs w:val="1"/>
                <w:i w:val="1"/>
                <w:iCs w:val="1"/>
                <w:color w:val="auto"/>
              </w:rPr>
              <w:t>Storage</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2</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9.3</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1,360</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866</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$14.44</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color w:val="auto"/>
              </w:rPr>
              <w:t>Total</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15</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9.5</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73,498</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73,067</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$35.97</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$35.75</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$39.96</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7.3</w:t>
            </w:r>
          </w:p>
        </w:tc>
        <w:tc>
          <w:tcPr>
            <w:tcW w:w="0" w:type="dxa"/>
            <w:vAlign w:val="bottom"/>
          </w:tcPr>
          <w:p>
            <w:pPr>
              <w:spacing w:after="0"/>
              <w:rPr>
                <w:sz w:val="1"/>
                <w:szCs w:val="1"/>
                <w:color w:val="auto"/>
              </w:rPr>
            </w:pPr>
          </w:p>
        </w:tc>
      </w:tr>
      <w:tr>
        <w:trPr>
          <w:trHeight w:val="328"/>
        </w:trPr>
        <w:tc>
          <w:tcPr>
            <w:tcW w:w="3520" w:type="dxa"/>
            <w:vAlign w:val="bottom"/>
            <w:gridSpan w:val="2"/>
          </w:tcPr>
          <w:p>
            <w:pPr>
              <w:ind w:left="20"/>
              <w:spacing w:after="0"/>
              <w:rPr>
                <w:sz w:val="20"/>
                <w:szCs w:val="20"/>
                <w:color w:val="auto"/>
              </w:rPr>
            </w:pPr>
            <w:r>
              <w:rPr>
                <w:rFonts w:ascii="Arial" w:cs="Arial" w:eastAsia="Arial" w:hAnsi="Arial"/>
                <w:sz w:val="9"/>
                <w:szCs w:val="9"/>
                <w:b w:val="1"/>
                <w:bCs w:val="1"/>
                <w:color w:val="auto"/>
              </w:rPr>
              <w:t>Total Available Space as of 6/30/16</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1,080,414</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w w:val="99"/>
              </w:rPr>
              <w:t>Early Renewals</w:t>
            </w:r>
          </w:p>
        </w:tc>
        <w:tc>
          <w:tcPr>
            <w:tcW w:w="2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ind w:right="2356"/>
              <w:spacing w:after="0"/>
              <w:rPr>
                <w:sz w:val="20"/>
                <w:szCs w:val="20"/>
                <w:color w:val="auto"/>
              </w:rPr>
            </w:pPr>
            <w:r>
              <w:rPr>
                <w:rFonts w:ascii="Arial" w:cs="Arial" w:eastAsia="Arial" w:hAnsi="Arial"/>
                <w:sz w:val="9"/>
                <w:szCs w:val="9"/>
                <w:b w:val="1"/>
                <w:bCs w:val="1"/>
                <w:i w:val="1"/>
                <w:iCs w:val="1"/>
                <w:color w:val="auto"/>
              </w:rPr>
              <w:t>Office</w:t>
            </w: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520 White Plains Road, Tarrytown, New York</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10.8</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5,333</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5,333</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$25.50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$27.00</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$16.00</w:t>
            </w:r>
          </w:p>
        </w:tc>
        <w:tc>
          <w:tcPr>
            <w:tcW w:w="680" w:type="dxa"/>
            <w:vAlign w:val="bottom"/>
          </w:tcPr>
          <w:p>
            <w:pPr>
              <w:jc w:val="right"/>
              <w:spacing w:after="0"/>
              <w:rPr>
                <w:sz w:val="20"/>
                <w:szCs w:val="20"/>
                <w:color w:val="auto"/>
              </w:rPr>
            </w:pPr>
            <w:r>
              <w:rPr>
                <w:rFonts w:ascii="Arial" w:cs="Arial" w:eastAsia="Arial" w:hAnsi="Arial"/>
                <w:sz w:val="9"/>
                <w:szCs w:val="9"/>
                <w:color w:val="auto"/>
              </w:rPr>
              <w:t>10.0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 Landmark Square, Stamford, Connecticut</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5.3</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2,479</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2,479</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$39.00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$40.48</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$10.52</w:t>
            </w:r>
          </w:p>
        </w:tc>
        <w:tc>
          <w:tcPr>
            <w:tcW w:w="680" w:type="dxa"/>
            <w:vAlign w:val="bottom"/>
          </w:tcPr>
          <w:p>
            <w:pPr>
              <w:jc w:val="right"/>
              <w:spacing w:after="0"/>
              <w:rPr>
                <w:sz w:val="20"/>
                <w:szCs w:val="20"/>
                <w:color w:val="auto"/>
              </w:rPr>
            </w:pPr>
            <w:r>
              <w:rPr>
                <w:rFonts w:ascii="Arial" w:cs="Arial" w:eastAsia="Arial" w:hAnsi="Arial"/>
                <w:sz w:val="9"/>
                <w:szCs w:val="9"/>
                <w:color w:val="auto"/>
              </w:rPr>
              <w:t>4.0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750 Washington Boulevard, Stamford, Connecticut</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11.3</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47,278</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47,278</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$40.00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$40.49</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$55.10</w:t>
            </w:r>
          </w:p>
        </w:tc>
        <w:tc>
          <w:tcPr>
            <w:tcW w:w="680" w:type="dxa"/>
            <w:vAlign w:val="bottom"/>
          </w:tcPr>
          <w:p>
            <w:pPr>
              <w:jc w:val="right"/>
              <w:spacing w:after="0"/>
              <w:rPr>
                <w:sz w:val="20"/>
                <w:szCs w:val="20"/>
                <w:color w:val="auto"/>
              </w:rPr>
            </w:pPr>
            <w:r>
              <w:rPr>
                <w:rFonts w:ascii="Arial" w:cs="Arial" w:eastAsia="Arial" w:hAnsi="Arial"/>
                <w:sz w:val="9"/>
                <w:szCs w:val="9"/>
                <w:color w:val="auto"/>
              </w:rPr>
              <w:t>15.0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1055 Washington Boulevard, Stamford, Connecticut</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5.3</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2,435</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2,435</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$37.00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$38.75</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$8.00</w:t>
            </w:r>
          </w:p>
        </w:tc>
        <w:tc>
          <w:tcPr>
            <w:tcW w:w="680" w:type="dxa"/>
            <w:vAlign w:val="bottom"/>
          </w:tcPr>
          <w:p>
            <w:pPr>
              <w:jc w:val="right"/>
              <w:spacing w:after="0"/>
              <w:rPr>
                <w:sz w:val="20"/>
                <w:szCs w:val="20"/>
                <w:color w:val="auto"/>
              </w:rPr>
            </w:pPr>
            <w:r>
              <w:rPr>
                <w:rFonts w:ascii="Arial" w:cs="Arial" w:eastAsia="Arial" w:hAnsi="Arial"/>
                <w:sz w:val="9"/>
                <w:szCs w:val="9"/>
                <w:color w:val="auto"/>
              </w:rPr>
              <w:t>4.0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Jericho Plaza, Jericho, New York</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7.7</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31,514</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31,514</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$35.00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$43.33</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$15.00</w:t>
            </w:r>
          </w:p>
        </w:tc>
        <w:tc>
          <w:tcPr>
            <w:tcW w:w="680" w:type="dxa"/>
            <w:vAlign w:val="bottom"/>
          </w:tcPr>
          <w:p>
            <w:pPr>
              <w:jc w:val="right"/>
              <w:spacing w:after="0"/>
              <w:rPr>
                <w:sz w:val="20"/>
                <w:szCs w:val="20"/>
                <w:color w:val="auto"/>
              </w:rPr>
            </w:pPr>
            <w:r>
              <w:rPr>
                <w:rFonts w:ascii="Arial" w:cs="Arial" w:eastAsia="Arial" w:hAnsi="Arial"/>
                <w:sz w:val="9"/>
                <w:szCs w:val="9"/>
                <w:color w:val="auto"/>
              </w:rPr>
              <w:t>4.0</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16 Court Street, Brooklyn, New York</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2</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5.4</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7,105</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8,585</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$50.00</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$35.06</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$6.67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Total/Weighted Average</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7</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9.3</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96,144</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97,624</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$38.37</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$40.15</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$33.45</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9.7</w:t>
            </w:r>
          </w:p>
        </w:tc>
        <w:tc>
          <w:tcPr>
            <w:tcW w:w="0" w:type="dxa"/>
            <w:vAlign w:val="bottom"/>
          </w:tcPr>
          <w:p>
            <w:pPr>
              <w:spacing w:after="0"/>
              <w:rPr>
                <w:sz w:val="1"/>
                <w:szCs w:val="1"/>
                <w:color w:val="auto"/>
              </w:rPr>
            </w:pPr>
          </w:p>
        </w:tc>
      </w:tr>
      <w:tr>
        <w:trPr>
          <w:trHeight w:val="328"/>
        </w:trPr>
        <w:tc>
          <w:tcPr>
            <w:tcW w:w="700" w:type="dxa"/>
            <w:vAlign w:val="bottom"/>
          </w:tcPr>
          <w:p>
            <w:pPr>
              <w:spacing w:after="0"/>
              <w:rPr>
                <w:sz w:val="24"/>
                <w:szCs w:val="24"/>
                <w:color w:val="auto"/>
              </w:rPr>
            </w:pPr>
          </w:p>
        </w:tc>
        <w:tc>
          <w:tcPr>
            <w:tcW w:w="2820" w:type="dxa"/>
            <w:vAlign w:val="bottom"/>
          </w:tcPr>
          <w:p>
            <w:pPr>
              <w:jc w:val="right"/>
              <w:ind w:right="2356"/>
              <w:spacing w:after="0"/>
              <w:rPr>
                <w:sz w:val="20"/>
                <w:szCs w:val="20"/>
                <w:color w:val="auto"/>
              </w:rPr>
            </w:pPr>
            <w:r>
              <w:rPr>
                <w:rFonts w:ascii="Arial" w:cs="Arial" w:eastAsia="Arial" w:hAnsi="Arial"/>
                <w:sz w:val="9"/>
                <w:szCs w:val="9"/>
                <w:b w:val="1"/>
                <w:bCs w:val="1"/>
                <w:i w:val="1"/>
                <w:iCs w:val="1"/>
                <w:color w:val="auto"/>
              </w:rPr>
              <w:t>Storage</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360 Hamilton Avenue, White Plains, New York</w:t>
            </w:r>
          </w:p>
        </w:tc>
        <w:tc>
          <w:tcPr>
            <w:tcW w:w="82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8.8</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220</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220</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$18.00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$18.00</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 Landmark Square, Stamford, Connecticut</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5.3</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150</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150</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$15.00</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$15.00</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Total/Weighted Average</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7.4</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370</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370</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$16.78</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$16.78</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326"/>
        </w:trPr>
        <w:tc>
          <w:tcPr>
            <w:tcW w:w="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ind w:right="2356"/>
              <w:spacing w:after="0"/>
              <w:rPr>
                <w:sz w:val="20"/>
                <w:szCs w:val="20"/>
                <w:color w:val="auto"/>
              </w:rPr>
            </w:pPr>
            <w:r>
              <w:rPr>
                <w:rFonts w:ascii="Arial" w:cs="Arial" w:eastAsia="Arial" w:hAnsi="Arial"/>
                <w:sz w:val="9"/>
                <w:szCs w:val="9"/>
                <w:b w:val="1"/>
                <w:bCs w:val="1"/>
                <w:color w:val="auto"/>
                <w:w w:val="96"/>
              </w:rPr>
              <w:t>Renewals</w:t>
            </w: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Early Renewals Office</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7</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9.3</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96,144</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97,624</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$38.37</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$40.15</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$33.45</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9.7</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Early Renewals Storage</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2</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7.4</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370</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370</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$16.78</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$16.78</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Total</w:t>
            </w:r>
          </w:p>
        </w:tc>
        <w:tc>
          <w:tcPr>
            <w:tcW w:w="820" w:type="dxa"/>
            <w:vAlign w:val="bottom"/>
          </w:tcPr>
          <w:p>
            <w:pPr>
              <w:jc w:val="right"/>
              <w:ind w:right="96"/>
              <w:spacing w:after="0"/>
              <w:rPr>
                <w:sz w:val="20"/>
                <w:szCs w:val="20"/>
                <w:color w:val="auto"/>
              </w:rPr>
            </w:pPr>
            <w:r>
              <w:rPr>
                <w:rFonts w:ascii="Arial" w:cs="Arial" w:eastAsia="Arial" w:hAnsi="Arial"/>
                <w:sz w:val="9"/>
                <w:szCs w:val="9"/>
                <w:b w:val="1"/>
                <w:bCs w:val="1"/>
                <w:color w:val="auto"/>
              </w:rPr>
              <w:t>9</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9.3</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96,514</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97,994</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$38.29</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$40.06</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$33.33</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9.7</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60" w:hanging="140"/>
        <w:spacing w:after="0"/>
        <w:tabs>
          <w:tab w:leader="none" w:pos="160" w:val="left"/>
        </w:tabs>
        <w:numPr>
          <w:ilvl w:val="0"/>
          <w:numId w:val="30"/>
        </w:numPr>
        <w:rPr>
          <w:rFonts w:ascii="Arial" w:cs="Arial" w:eastAsia="Arial" w:hAnsi="Arial"/>
          <w:sz w:val="9"/>
          <w:szCs w:val="9"/>
          <w:color w:val="auto"/>
        </w:rPr>
      </w:pPr>
      <w:r>
        <w:rPr>
          <w:rFonts w:ascii="Arial" w:cs="Arial" w:eastAsia="Arial" w:hAnsi="Arial"/>
          <w:sz w:val="9"/>
          <w:szCs w:val="9"/>
          <w:color w:val="auto"/>
        </w:rPr>
        <w:t>Annual initial base rent.</w:t>
      </w:r>
    </w:p>
    <w:p>
      <w:pPr>
        <w:spacing w:after="0" w:line="115" w:lineRule="exact"/>
        <w:rPr>
          <w:rFonts w:ascii="Arial" w:cs="Arial" w:eastAsia="Arial" w:hAnsi="Arial"/>
          <w:sz w:val="9"/>
          <w:szCs w:val="9"/>
          <w:color w:val="auto"/>
        </w:rPr>
      </w:pPr>
    </w:p>
    <w:p>
      <w:pPr>
        <w:ind w:left="160" w:hanging="140"/>
        <w:spacing w:after="0"/>
        <w:tabs>
          <w:tab w:leader="none" w:pos="160" w:val="left"/>
        </w:tabs>
        <w:numPr>
          <w:ilvl w:val="0"/>
          <w:numId w:val="30"/>
        </w:numPr>
        <w:rPr>
          <w:rFonts w:ascii="Arial" w:cs="Arial" w:eastAsia="Arial" w:hAnsi="Arial"/>
          <w:sz w:val="9"/>
          <w:szCs w:val="9"/>
          <w:color w:val="auto"/>
        </w:rPr>
      </w:pPr>
      <w:r>
        <w:rPr>
          <w:rFonts w:ascii="Arial" w:cs="Arial" w:eastAsia="Arial" w:hAnsi="Arial"/>
          <w:sz w:val="9"/>
          <w:szCs w:val="9"/>
          <w:color w:val="auto"/>
        </w:rPr>
        <w:t>Escalated rent is calculated as total annual lease related income excluding electric charges.</w:t>
      </w:r>
    </w:p>
    <w:p>
      <w:pPr>
        <w:spacing w:after="0" w:line="38" w:lineRule="exact"/>
        <w:rPr>
          <w:rFonts w:ascii="Arial" w:cs="Arial" w:eastAsia="Arial" w:hAnsi="Arial"/>
          <w:sz w:val="9"/>
          <w:szCs w:val="9"/>
          <w:color w:val="auto"/>
        </w:rPr>
      </w:pPr>
    </w:p>
    <w:p>
      <w:pPr>
        <w:ind w:left="160" w:hanging="140"/>
        <w:spacing w:after="0"/>
        <w:tabs>
          <w:tab w:leader="none" w:pos="160" w:val="left"/>
        </w:tabs>
        <w:numPr>
          <w:ilvl w:val="0"/>
          <w:numId w:val="30"/>
        </w:numPr>
        <w:rPr>
          <w:rFonts w:ascii="Arial" w:cs="Arial" w:eastAsia="Arial" w:hAnsi="Arial"/>
          <w:sz w:val="8"/>
          <w:szCs w:val="8"/>
          <w:color w:val="auto"/>
        </w:rPr>
      </w:pPr>
      <w:r>
        <w:rPr>
          <w:rFonts w:ascii="Arial" w:cs="Arial" w:eastAsia="Arial" w:hAnsi="Arial"/>
          <w:sz w:val="8"/>
          <w:szCs w:val="8"/>
          <w:color w:val="auto"/>
        </w:rPr>
        <w:t>Avg. starting office rent excluding new tenants replacing vacancies is $36.79/rsf for 53,598 rentable SF. Avg. starting office rent for office space (leased and early renewals, excluding new tenants replacing vacancies) is $37.81/rsf for 151,222 rentable SF.</w:t>
      </w:r>
    </w:p>
    <w:p>
      <w:pPr>
        <w:spacing w:after="0" w:line="354" w:lineRule="exact"/>
        <w:rPr>
          <w:sz w:val="20"/>
          <w:szCs w:val="20"/>
          <w:color w:val="auto"/>
        </w:rPr>
      </w:pPr>
    </w:p>
    <w:p>
      <w:pPr>
        <w:ind w:left="60"/>
        <w:spacing w:after="0"/>
        <w:tabs>
          <w:tab w:leader="none" w:pos="4980" w:val="left"/>
          <w:tab w:leader="none" w:pos="91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45</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60"/>
          </w:cols>
          <w:pgMar w:left="880" w:top="338" w:right="859" w:bottom="1440" w:gutter="0" w:footer="0" w:header="0"/>
        </w:sectPr>
      </w:pPr>
    </w:p>
    <w:bookmarkStart w:id="62" w:name="page63"/>
    <w:bookmarkEnd w:id="6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ANNUAL LEASE EXPIRATIONS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Office, Retail and Storage Leases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9"/>
                <w:szCs w:val="9"/>
                <w:b w:val="1"/>
                <w:bCs w:val="1"/>
                <w:color w:val="auto"/>
              </w:rPr>
              <w:t>Consolidated Properties</w:t>
            </w: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9"/>
                <w:szCs w:val="9"/>
                <w:b w:val="1"/>
                <w:bCs w:val="1"/>
                <w:color w:val="auto"/>
              </w:rPr>
              <w:t>Joint Venture Properties</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r>
        <w:trPr>
          <w:trHeight w:val="107"/>
        </w:trPr>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w w:val="99"/>
              </w:rPr>
              <w:t>Annualized Cash</w:t>
            </w:r>
          </w:p>
        </w:tc>
        <w:tc>
          <w:tcPr>
            <w:tcW w:w="1060" w:type="dxa"/>
            <w:vAlign w:val="bottom"/>
            <w:gridSpan w:val="3"/>
          </w:tcPr>
          <w:p>
            <w:pPr>
              <w:jc w:val="right"/>
              <w:ind w:right="340"/>
              <w:spacing w:after="0"/>
              <w:rPr>
                <w:sz w:val="20"/>
                <w:szCs w:val="20"/>
                <w:color w:val="auto"/>
              </w:rPr>
            </w:pPr>
            <w:r>
              <w:rPr>
                <w:rFonts w:ascii="Arial" w:cs="Arial" w:eastAsia="Arial" w:hAnsi="Arial"/>
                <w:sz w:val="9"/>
                <w:szCs w:val="9"/>
                <w:b w:val="1"/>
                <w:bCs w:val="1"/>
                <w:color w:val="auto"/>
              </w:rPr>
              <w:t>Current</w:t>
            </w: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w w:val="96"/>
              </w:rPr>
              <w:t>Annualized Cash</w:t>
            </w:r>
          </w:p>
        </w:tc>
        <w:tc>
          <w:tcPr>
            <w:tcW w:w="720" w:type="dxa"/>
            <w:vAlign w:val="bottom"/>
            <w:gridSpan w:val="2"/>
          </w:tcPr>
          <w:p>
            <w:pPr>
              <w:jc w:val="right"/>
              <w:spacing w:after="0"/>
              <w:rPr>
                <w:sz w:val="20"/>
                <w:szCs w:val="20"/>
                <w:color w:val="auto"/>
              </w:rPr>
            </w:pPr>
            <w:r>
              <w:rPr>
                <w:rFonts w:ascii="Arial" w:cs="Arial" w:eastAsia="Arial" w:hAnsi="Arial"/>
                <w:sz w:val="9"/>
                <w:szCs w:val="9"/>
                <w:b w:val="1"/>
                <w:bCs w:val="1"/>
                <w:color w:val="auto"/>
              </w:rPr>
              <w:t>Current</w:t>
            </w:r>
          </w:p>
        </w:tc>
      </w:tr>
      <w:tr>
        <w:trPr>
          <w:trHeight w:val="98"/>
        </w:trPr>
        <w:tc>
          <w:tcPr>
            <w:tcW w:w="60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Year of</w:t>
            </w:r>
          </w:p>
        </w:tc>
        <w:tc>
          <w:tcPr>
            <w:tcW w:w="6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Number of</w:t>
            </w:r>
          </w:p>
        </w:tc>
        <w:tc>
          <w:tcPr>
            <w:tcW w:w="1500" w:type="dxa"/>
            <w:vAlign w:val="bottom"/>
            <w:gridSpan w:val="2"/>
          </w:tcPr>
          <w:p>
            <w:pPr>
              <w:jc w:val="right"/>
              <w:ind w:right="56"/>
              <w:spacing w:after="0" w:line="99" w:lineRule="exact"/>
              <w:rPr>
                <w:sz w:val="20"/>
                <w:szCs w:val="20"/>
                <w:color w:val="auto"/>
              </w:rPr>
            </w:pPr>
            <w:r>
              <w:rPr>
                <w:rFonts w:ascii="Arial" w:cs="Arial" w:eastAsia="Arial" w:hAnsi="Arial"/>
                <w:sz w:val="9"/>
                <w:szCs w:val="9"/>
                <w:b w:val="1"/>
                <w:bCs w:val="1"/>
                <w:color w:val="auto"/>
              </w:rPr>
              <w:t>Rentable Square Percentage</w:t>
            </w:r>
          </w:p>
        </w:tc>
        <w:tc>
          <w:tcPr>
            <w:tcW w:w="120" w:type="dxa"/>
            <w:vAlign w:val="bottom"/>
          </w:tcPr>
          <w:p>
            <w:pPr>
              <w:spacing w:after="0"/>
              <w:rPr>
                <w:sz w:val="8"/>
                <w:szCs w:val="8"/>
                <w:color w:val="auto"/>
              </w:rPr>
            </w:pPr>
          </w:p>
        </w:tc>
        <w:tc>
          <w:tcPr>
            <w:tcW w:w="80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w w:val="96"/>
              </w:rPr>
              <w:t>Annualized Cash</w:t>
            </w:r>
          </w:p>
        </w:tc>
        <w:tc>
          <w:tcPr>
            <w:tcW w:w="14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Rent Per Square</w:t>
            </w:r>
          </w:p>
        </w:tc>
        <w:tc>
          <w:tcPr>
            <w:tcW w:w="1060" w:type="dxa"/>
            <w:vAlign w:val="bottom"/>
            <w:gridSpan w:val="3"/>
          </w:tcPr>
          <w:p>
            <w:pPr>
              <w:jc w:val="right"/>
              <w:ind w:right="340"/>
              <w:spacing w:after="0" w:line="99" w:lineRule="exact"/>
              <w:rPr>
                <w:sz w:val="20"/>
                <w:szCs w:val="20"/>
                <w:color w:val="auto"/>
              </w:rPr>
            </w:pPr>
            <w:r>
              <w:rPr>
                <w:rFonts w:ascii="Arial" w:cs="Arial" w:eastAsia="Arial" w:hAnsi="Arial"/>
                <w:sz w:val="9"/>
                <w:szCs w:val="9"/>
                <w:b w:val="1"/>
                <w:bCs w:val="1"/>
                <w:color w:val="auto"/>
              </w:rPr>
              <w:t>Weighted</w:t>
            </w:r>
          </w:p>
        </w:tc>
        <w:tc>
          <w:tcPr>
            <w:tcW w:w="66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Number of</w:t>
            </w:r>
          </w:p>
        </w:tc>
        <w:tc>
          <w:tcPr>
            <w:tcW w:w="1400" w:type="dxa"/>
            <w:vAlign w:val="bottom"/>
            <w:gridSpan w:val="2"/>
          </w:tcPr>
          <w:p>
            <w:pPr>
              <w:jc w:val="right"/>
              <w:ind w:right="56"/>
              <w:spacing w:after="0" w:line="99" w:lineRule="exact"/>
              <w:rPr>
                <w:sz w:val="20"/>
                <w:szCs w:val="20"/>
                <w:color w:val="auto"/>
              </w:rPr>
            </w:pPr>
            <w:r>
              <w:rPr>
                <w:rFonts w:ascii="Arial" w:cs="Arial" w:eastAsia="Arial" w:hAnsi="Arial"/>
                <w:sz w:val="9"/>
                <w:szCs w:val="9"/>
                <w:b w:val="1"/>
                <w:bCs w:val="1"/>
                <w:color w:val="auto"/>
              </w:rPr>
              <w:t>Rentable Square Percentage</w:t>
            </w:r>
          </w:p>
        </w:tc>
        <w:tc>
          <w:tcPr>
            <w:tcW w:w="80" w:type="dxa"/>
            <w:vAlign w:val="bottom"/>
          </w:tcPr>
          <w:p>
            <w:pPr>
              <w:spacing w:after="0"/>
              <w:rPr>
                <w:sz w:val="8"/>
                <w:szCs w:val="8"/>
                <w:color w:val="auto"/>
              </w:rPr>
            </w:pPr>
          </w:p>
        </w:tc>
        <w:tc>
          <w:tcPr>
            <w:tcW w:w="76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w w:val="93"/>
              </w:rPr>
              <w:t>Annualized Cash</w:t>
            </w:r>
          </w:p>
        </w:tc>
        <w:tc>
          <w:tcPr>
            <w:tcW w:w="14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9"/>
              </w:rPr>
              <w:t>Rent Per Square</w:t>
            </w:r>
          </w:p>
        </w:tc>
        <w:tc>
          <w:tcPr>
            <w:tcW w:w="7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Weighted</w:t>
            </w:r>
          </w:p>
        </w:tc>
      </w:tr>
      <w:tr>
        <w:trPr>
          <w:trHeight w:val="98"/>
        </w:trPr>
        <w:tc>
          <w:tcPr>
            <w:tcW w:w="60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Lease</w:t>
            </w:r>
          </w:p>
        </w:tc>
        <w:tc>
          <w:tcPr>
            <w:tcW w:w="6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Expiring</w:t>
            </w:r>
          </w:p>
        </w:tc>
        <w:tc>
          <w:tcPr>
            <w:tcW w:w="98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Footage of Expiring</w:t>
            </w:r>
          </w:p>
        </w:tc>
        <w:tc>
          <w:tcPr>
            <w:tcW w:w="52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of Total</w:t>
            </w:r>
          </w:p>
        </w:tc>
        <w:tc>
          <w:tcPr>
            <w:tcW w:w="120" w:type="dxa"/>
            <w:vAlign w:val="bottom"/>
          </w:tcPr>
          <w:p>
            <w:pPr>
              <w:spacing w:after="0"/>
              <w:rPr>
                <w:sz w:val="8"/>
                <w:szCs w:val="8"/>
                <w:color w:val="auto"/>
              </w:rPr>
            </w:pPr>
          </w:p>
        </w:tc>
        <w:tc>
          <w:tcPr>
            <w:tcW w:w="80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Rent of Expiring</w:t>
            </w:r>
          </w:p>
        </w:tc>
        <w:tc>
          <w:tcPr>
            <w:tcW w:w="14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 of Expiring</w:t>
            </w:r>
          </w:p>
        </w:tc>
        <w:tc>
          <w:tcPr>
            <w:tcW w:w="1060" w:type="dxa"/>
            <w:vAlign w:val="bottom"/>
            <w:gridSpan w:val="3"/>
          </w:tcPr>
          <w:p>
            <w:pPr>
              <w:jc w:val="right"/>
              <w:ind w:right="340"/>
              <w:spacing w:after="0" w:line="99" w:lineRule="exact"/>
              <w:rPr>
                <w:sz w:val="20"/>
                <w:szCs w:val="20"/>
                <w:color w:val="auto"/>
              </w:rPr>
            </w:pPr>
            <w:r>
              <w:rPr>
                <w:rFonts w:ascii="Arial" w:cs="Arial" w:eastAsia="Arial" w:hAnsi="Arial"/>
                <w:sz w:val="9"/>
                <w:szCs w:val="9"/>
                <w:b w:val="1"/>
                <w:bCs w:val="1"/>
                <w:color w:val="auto"/>
              </w:rPr>
              <w:t>Average Asking</w:t>
            </w:r>
          </w:p>
        </w:tc>
        <w:tc>
          <w:tcPr>
            <w:tcW w:w="66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Expiring</w:t>
            </w:r>
          </w:p>
        </w:tc>
        <w:tc>
          <w:tcPr>
            <w:tcW w:w="88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Footage of</w:t>
            </w:r>
          </w:p>
        </w:tc>
        <w:tc>
          <w:tcPr>
            <w:tcW w:w="52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of Total</w:t>
            </w:r>
          </w:p>
        </w:tc>
        <w:tc>
          <w:tcPr>
            <w:tcW w:w="80" w:type="dxa"/>
            <w:vAlign w:val="bottom"/>
          </w:tcPr>
          <w:p>
            <w:pPr>
              <w:spacing w:after="0"/>
              <w:rPr>
                <w:sz w:val="8"/>
                <w:szCs w:val="8"/>
                <w:color w:val="auto"/>
              </w:rPr>
            </w:pPr>
          </w:p>
        </w:tc>
        <w:tc>
          <w:tcPr>
            <w:tcW w:w="76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w w:val="97"/>
              </w:rPr>
              <w:t>Rent of Expiring</w:t>
            </w:r>
          </w:p>
        </w:tc>
        <w:tc>
          <w:tcPr>
            <w:tcW w:w="14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 of Expiring</w:t>
            </w:r>
          </w:p>
        </w:tc>
        <w:tc>
          <w:tcPr>
            <w:tcW w:w="7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w w:val="99"/>
              </w:rPr>
              <w:t>Average Asking</w:t>
            </w:r>
          </w:p>
        </w:tc>
      </w:tr>
      <w:tr>
        <w:trPr>
          <w:trHeight w:val="124"/>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Expiration</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(2)</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Leases</w:t>
            </w: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Sq. Ft.</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Leases</w:t>
            </w: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$/psf (3)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Rent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7"/>
              </w:rPr>
              <w:t>/psf (4)</w:t>
            </w:r>
          </w:p>
        </w:tc>
        <w:tc>
          <w:tcPr>
            <w:tcW w:w="320" w:type="dxa"/>
            <w:vAlign w:val="bottom"/>
          </w:tcPr>
          <w:p>
            <w:pPr>
              <w:spacing w:after="0"/>
              <w:rPr>
                <w:sz w:val="10"/>
                <w:szCs w:val="10"/>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Leases (2)</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Expiring Leases</w:t>
            </w: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Sq. Ft.</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Leases</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$/psf (3)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Rent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4"/>
              </w:rPr>
              <w:t>/psf (4)</w:t>
            </w:r>
          </w:p>
        </w:tc>
      </w:tr>
      <w:tr>
        <w:trPr>
          <w:trHeight w:val="456"/>
        </w:trPr>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1st Quarter</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5"/>
        </w:trPr>
        <w:tc>
          <w:tcPr>
            <w:tcW w:w="50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3,445</w:t>
            </w:r>
          </w:p>
        </w:tc>
        <w:tc>
          <w:tcPr>
            <w:tcW w:w="520" w:type="dxa"/>
            <w:vAlign w:val="bottom"/>
          </w:tcPr>
          <w:p>
            <w:pPr>
              <w:jc w:val="right"/>
              <w:spacing w:after="0"/>
              <w:rPr>
                <w:sz w:val="20"/>
                <w:szCs w:val="20"/>
                <w:color w:val="auto"/>
              </w:rPr>
            </w:pPr>
            <w:r>
              <w:rPr>
                <w:rFonts w:ascii="Arial" w:cs="Arial" w:eastAsia="Arial" w:hAnsi="Arial"/>
                <w:sz w:val="9"/>
                <w:szCs w:val="9"/>
                <w:color w:val="auto"/>
              </w:rPr>
              <w:t>0.02%</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86,627</w:t>
            </w: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25.15</w:t>
            </w:r>
          </w:p>
        </w:tc>
        <w:tc>
          <w:tcPr>
            <w:tcW w:w="440" w:type="dxa"/>
            <w:vAlign w:val="bottom"/>
          </w:tcPr>
          <w:p>
            <w:pPr>
              <w:jc w:val="right"/>
              <w:ind w:right="316"/>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38.20</w:t>
            </w:r>
          </w:p>
        </w:tc>
        <w:tc>
          <w:tcPr>
            <w:tcW w:w="320" w:type="dxa"/>
            <w:vAlign w:val="bottom"/>
          </w:tcPr>
          <w:p>
            <w:pPr>
              <w:spacing w:after="0"/>
              <w:rPr>
                <w:sz w:val="9"/>
                <w:szCs w:val="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291</w:t>
            </w:r>
          </w:p>
        </w:tc>
        <w:tc>
          <w:tcPr>
            <w:tcW w:w="520" w:type="dxa"/>
            <w:vAlign w:val="bottom"/>
          </w:tcPr>
          <w:p>
            <w:pPr>
              <w:jc w:val="right"/>
              <w:spacing w:after="0"/>
              <w:rPr>
                <w:sz w:val="20"/>
                <w:szCs w:val="20"/>
                <w:color w:val="auto"/>
              </w:rPr>
            </w:pPr>
            <w:r>
              <w:rPr>
                <w:rFonts w:ascii="Arial" w:cs="Arial" w:eastAsia="Arial" w:hAnsi="Arial"/>
                <w:sz w:val="9"/>
                <w:szCs w:val="9"/>
                <w:color w:val="auto"/>
              </w:rPr>
              <w:t>0.01%</w:t>
            </w: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6,600</w:t>
            </w: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22.68</w:t>
            </w:r>
          </w:p>
        </w:tc>
        <w:tc>
          <w:tcPr>
            <w:tcW w:w="400" w:type="dxa"/>
            <w:vAlign w:val="bottom"/>
          </w:tcPr>
          <w:p>
            <w:pPr>
              <w:jc w:val="right"/>
              <w:ind w:right="296"/>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color w:val="auto"/>
              </w:rPr>
              <w:t>25.00</w:t>
            </w:r>
          </w:p>
        </w:tc>
      </w:tr>
      <w:tr>
        <w:trPr>
          <w:trHeight w:val="135"/>
        </w:trPr>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w w:val="95"/>
              </w:rPr>
              <w:t>2nd Quarter</w:t>
            </w: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05"/>
        </w:trPr>
        <w:tc>
          <w:tcPr>
            <w:tcW w:w="50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72,823</w:t>
            </w:r>
          </w:p>
        </w:tc>
        <w:tc>
          <w:tcPr>
            <w:tcW w:w="520" w:type="dxa"/>
            <w:vAlign w:val="bottom"/>
          </w:tcPr>
          <w:p>
            <w:pPr>
              <w:jc w:val="right"/>
              <w:spacing w:after="0"/>
              <w:rPr>
                <w:sz w:val="20"/>
                <w:szCs w:val="20"/>
                <w:color w:val="auto"/>
              </w:rPr>
            </w:pPr>
            <w:r>
              <w:rPr>
                <w:rFonts w:ascii="Arial" w:cs="Arial" w:eastAsia="Arial" w:hAnsi="Arial"/>
                <w:sz w:val="9"/>
                <w:szCs w:val="9"/>
                <w:color w:val="auto"/>
              </w:rPr>
              <w:t>0.40%</w:t>
            </w:r>
          </w:p>
        </w:tc>
        <w:tc>
          <w:tcPr>
            <w:tcW w:w="120" w:type="dxa"/>
            <w:vAlign w:val="bottom"/>
          </w:tcPr>
          <w:p>
            <w:pPr>
              <w:spacing w:after="0"/>
              <w:rPr>
                <w:sz w:val="9"/>
                <w:szCs w:val="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4,899,096</w:t>
            </w: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67.27</w:t>
            </w:r>
          </w:p>
        </w:tc>
        <w:tc>
          <w:tcPr>
            <w:tcW w:w="44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76.88</w:t>
            </w:r>
          </w:p>
        </w:tc>
        <w:tc>
          <w:tcPr>
            <w:tcW w:w="320" w:type="dxa"/>
            <w:vAlign w:val="bottom"/>
          </w:tcPr>
          <w:p>
            <w:pPr>
              <w:spacing w:after="0"/>
              <w:rPr>
                <w:sz w:val="9"/>
                <w:szCs w:val="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w w:val="99"/>
              </w:rPr>
              <w:t>3rd Quarter</w:t>
            </w: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05"/>
        </w:trPr>
        <w:tc>
          <w:tcPr>
            <w:tcW w:w="500" w:type="dxa"/>
            <w:vAlign w:val="bottom"/>
          </w:tcPr>
          <w:p>
            <w:pPr>
              <w:jc w:val="right"/>
              <w:spacing w:after="0"/>
              <w:rPr>
                <w:sz w:val="20"/>
                <w:szCs w:val="20"/>
                <w:color w:val="auto"/>
              </w:rPr>
            </w:pPr>
            <w:r>
              <w:rPr>
                <w:rFonts w:ascii="Arial" w:cs="Arial" w:eastAsia="Arial" w:hAnsi="Arial"/>
                <w:sz w:val="9"/>
                <w:szCs w:val="9"/>
                <w:color w:val="auto"/>
              </w:rPr>
              <w:t>2016</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14</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67,361</w:t>
            </w:r>
          </w:p>
        </w:tc>
        <w:tc>
          <w:tcPr>
            <w:tcW w:w="520" w:type="dxa"/>
            <w:vAlign w:val="bottom"/>
          </w:tcPr>
          <w:p>
            <w:pPr>
              <w:jc w:val="right"/>
              <w:spacing w:after="0"/>
              <w:rPr>
                <w:sz w:val="20"/>
                <w:szCs w:val="20"/>
                <w:color w:val="auto"/>
              </w:rPr>
            </w:pPr>
            <w:r>
              <w:rPr>
                <w:rFonts w:ascii="Arial" w:cs="Arial" w:eastAsia="Arial" w:hAnsi="Arial"/>
                <w:sz w:val="9"/>
                <w:szCs w:val="9"/>
                <w:color w:val="auto"/>
              </w:rPr>
              <w:t>0.37%</w:t>
            </w:r>
          </w:p>
        </w:tc>
        <w:tc>
          <w:tcPr>
            <w:tcW w:w="120" w:type="dxa"/>
            <w:vAlign w:val="bottom"/>
          </w:tcPr>
          <w:p>
            <w:pPr>
              <w:spacing w:after="0"/>
              <w:rPr>
                <w:sz w:val="9"/>
                <w:szCs w:val="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4,428,166</w:t>
            </w: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65.74</w:t>
            </w:r>
          </w:p>
        </w:tc>
        <w:tc>
          <w:tcPr>
            <w:tcW w:w="44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72.32</w:t>
            </w:r>
          </w:p>
        </w:tc>
        <w:tc>
          <w:tcPr>
            <w:tcW w:w="320" w:type="dxa"/>
            <w:vAlign w:val="bottom"/>
          </w:tcPr>
          <w:p>
            <w:pPr>
              <w:spacing w:after="0"/>
              <w:rPr>
                <w:sz w:val="9"/>
                <w:szCs w:val="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14,554</w:t>
            </w:r>
          </w:p>
        </w:tc>
        <w:tc>
          <w:tcPr>
            <w:tcW w:w="520" w:type="dxa"/>
            <w:vAlign w:val="bottom"/>
          </w:tcPr>
          <w:p>
            <w:pPr>
              <w:jc w:val="right"/>
              <w:spacing w:after="0"/>
              <w:rPr>
                <w:sz w:val="20"/>
                <w:szCs w:val="20"/>
                <w:color w:val="auto"/>
              </w:rPr>
            </w:pPr>
            <w:r>
              <w:rPr>
                <w:rFonts w:ascii="Arial" w:cs="Arial" w:eastAsia="Arial" w:hAnsi="Arial"/>
                <w:sz w:val="9"/>
                <w:szCs w:val="9"/>
                <w:color w:val="auto"/>
              </w:rPr>
              <w:t>0.36%</w:t>
            </w:r>
          </w:p>
        </w:tc>
        <w:tc>
          <w:tcPr>
            <w:tcW w:w="80" w:type="dxa"/>
            <w:vAlign w:val="bottom"/>
          </w:tcPr>
          <w:p>
            <w:pPr>
              <w:spacing w:after="0"/>
              <w:rPr>
                <w:sz w:val="9"/>
                <w:szCs w:val="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894,362</w:t>
            </w: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61.45</w:t>
            </w:r>
          </w:p>
        </w:tc>
        <w:tc>
          <w:tcPr>
            <w:tcW w:w="4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70.24</w:t>
            </w:r>
          </w:p>
        </w:tc>
      </w:tr>
      <w:tr>
        <w:trPr>
          <w:trHeight w:val="135"/>
        </w:trPr>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4th Quarter</w:t>
            </w: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14"/>
        </w:trPr>
        <w:tc>
          <w:tcPr>
            <w:tcW w:w="500" w:type="dxa"/>
            <w:vAlign w:val="bottom"/>
          </w:tcPr>
          <w:p>
            <w:pPr>
              <w:jc w:val="right"/>
              <w:spacing w:after="0"/>
              <w:rPr>
                <w:sz w:val="20"/>
                <w:szCs w:val="20"/>
                <w:color w:val="auto"/>
              </w:rPr>
            </w:pPr>
            <w:r>
              <w:rPr>
                <w:rFonts w:ascii="Arial" w:cs="Arial" w:eastAsia="Arial" w:hAnsi="Arial"/>
                <w:sz w:val="9"/>
                <w:szCs w:val="9"/>
                <w:color w:val="auto"/>
              </w:rPr>
              <w:t>2016</w:t>
            </w:r>
          </w:p>
        </w:tc>
        <w:tc>
          <w:tcPr>
            <w:tcW w:w="10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25</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171,852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0.95%</w:t>
            </w: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10,288,835</w:t>
            </w: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59.87</w:t>
            </w: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68.93</w:t>
            </w:r>
          </w:p>
        </w:tc>
        <w:tc>
          <w:tcPr>
            <w:tcW w:w="320" w:type="dxa"/>
            <w:vAlign w:val="bottom"/>
          </w:tcPr>
          <w:p>
            <w:pPr>
              <w:spacing w:after="0"/>
              <w:rPr>
                <w:sz w:val="9"/>
                <w:szCs w:val="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3</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44,490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1.10%</w:t>
            </w: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3,052,433</w:t>
            </w: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68.61</w:t>
            </w: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70.70</w:t>
            </w:r>
          </w:p>
        </w:tc>
      </w:tr>
      <w:tr>
        <w:trPr>
          <w:trHeight w:val="376"/>
        </w:trPr>
        <w:tc>
          <w:tcPr>
            <w:tcW w:w="60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Total 2016</w:t>
            </w: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rPr>
              <w:t>51</w:t>
            </w:r>
          </w:p>
        </w:tc>
        <w:tc>
          <w:tcPr>
            <w:tcW w:w="980" w:type="dxa"/>
            <w:vAlign w:val="bottom"/>
          </w:tcPr>
          <w:p>
            <w:pPr>
              <w:jc w:val="right"/>
              <w:ind w:right="56"/>
              <w:spacing w:after="0"/>
              <w:rPr>
                <w:sz w:val="20"/>
                <w:szCs w:val="20"/>
                <w:color w:val="auto"/>
              </w:rPr>
            </w:pPr>
            <w:r>
              <w:rPr>
                <w:rFonts w:ascii="Arial" w:cs="Arial" w:eastAsia="Arial" w:hAnsi="Arial"/>
                <w:sz w:val="9"/>
                <w:szCs w:val="9"/>
                <w:b w:val="1"/>
                <w:bCs w:val="1"/>
                <w:color w:val="auto"/>
              </w:rPr>
              <w:t>315,481</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1.75%</w:t>
            </w: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00" w:type="dxa"/>
            <w:vAlign w:val="bottom"/>
          </w:tcPr>
          <w:p>
            <w:pPr>
              <w:jc w:val="right"/>
              <w:ind w:right="36"/>
              <w:spacing w:after="0"/>
              <w:rPr>
                <w:sz w:val="20"/>
                <w:szCs w:val="20"/>
                <w:color w:val="auto"/>
              </w:rPr>
            </w:pPr>
            <w:r>
              <w:rPr>
                <w:rFonts w:ascii="Arial" w:cs="Arial" w:eastAsia="Arial" w:hAnsi="Arial"/>
                <w:sz w:val="9"/>
                <w:szCs w:val="9"/>
                <w:b w:val="1"/>
                <w:bCs w:val="1"/>
                <w:color w:val="auto"/>
              </w:rPr>
              <w:t>19,702,723</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62.45</w:t>
            </w:r>
          </w:p>
        </w:tc>
        <w:tc>
          <w:tcPr>
            <w:tcW w:w="440" w:type="dxa"/>
            <w:vAlign w:val="bottom"/>
          </w:tcPr>
          <w:p>
            <w:pPr>
              <w:jc w:val="right"/>
              <w:ind w:right="316"/>
              <w:spacing w:after="0"/>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71.15</w:t>
            </w:r>
          </w:p>
        </w:tc>
        <w:tc>
          <w:tcPr>
            <w:tcW w:w="320" w:type="dxa"/>
            <w:vAlign w:val="bottom"/>
          </w:tcPr>
          <w:p>
            <w:pPr>
              <w:spacing w:after="0"/>
              <w:rPr>
                <w:sz w:val="24"/>
                <w:szCs w:val="24"/>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b w:val="1"/>
                <w:bCs w:val="1"/>
                <w:color w:val="auto"/>
              </w:rPr>
              <w:t>6</w:t>
            </w:r>
          </w:p>
        </w:tc>
        <w:tc>
          <w:tcPr>
            <w:tcW w:w="880" w:type="dxa"/>
            <w:vAlign w:val="bottom"/>
          </w:tcPr>
          <w:p>
            <w:pPr>
              <w:jc w:val="right"/>
              <w:ind w:right="56"/>
              <w:spacing w:after="0"/>
              <w:rPr>
                <w:sz w:val="20"/>
                <w:szCs w:val="20"/>
                <w:color w:val="auto"/>
              </w:rPr>
            </w:pPr>
            <w:r>
              <w:rPr>
                <w:rFonts w:ascii="Arial" w:cs="Arial" w:eastAsia="Arial" w:hAnsi="Arial"/>
                <w:sz w:val="9"/>
                <w:szCs w:val="9"/>
                <w:b w:val="1"/>
                <w:bCs w:val="1"/>
                <w:color w:val="auto"/>
              </w:rPr>
              <w:t>59,335</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1.47%</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Pr>
          <w:p>
            <w:pPr>
              <w:jc w:val="right"/>
              <w:ind w:right="16"/>
              <w:spacing w:after="0"/>
              <w:rPr>
                <w:sz w:val="20"/>
                <w:szCs w:val="20"/>
                <w:color w:val="auto"/>
              </w:rPr>
            </w:pPr>
            <w:r>
              <w:rPr>
                <w:rFonts w:ascii="Arial" w:cs="Arial" w:eastAsia="Arial" w:hAnsi="Arial"/>
                <w:sz w:val="9"/>
                <w:szCs w:val="9"/>
                <w:b w:val="1"/>
                <w:bCs w:val="1"/>
                <w:color w:val="auto"/>
              </w:rPr>
              <w:t>3,953,395</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66.63</w:t>
            </w:r>
          </w:p>
        </w:tc>
        <w:tc>
          <w:tcPr>
            <w:tcW w:w="400" w:type="dxa"/>
            <w:vAlign w:val="bottom"/>
          </w:tcPr>
          <w:p>
            <w:pPr>
              <w:jc w:val="right"/>
              <w:ind w:right="296"/>
              <w:spacing w:after="0"/>
              <w:rPr>
                <w:sz w:val="20"/>
                <w:szCs w:val="20"/>
                <w:color w:val="auto"/>
              </w:rPr>
            </w:pPr>
            <w:r>
              <w:rPr>
                <w:rFonts w:ascii="Arial" w:cs="Arial" w:eastAsia="Arial" w:hAnsi="Arial"/>
                <w:sz w:val="9"/>
                <w:szCs w:val="9"/>
                <w:b w:val="1"/>
                <w:bCs w:val="1"/>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70.36</w:t>
            </w:r>
          </w:p>
        </w:tc>
      </w:tr>
      <w:tr>
        <w:trPr>
          <w:trHeight w:val="393"/>
        </w:trPr>
        <w:tc>
          <w:tcPr>
            <w:tcW w:w="500" w:type="dxa"/>
            <w:vAlign w:val="bottom"/>
          </w:tcPr>
          <w:p>
            <w:pPr>
              <w:jc w:val="right"/>
              <w:spacing w:after="0"/>
              <w:rPr>
                <w:sz w:val="20"/>
                <w:szCs w:val="20"/>
                <w:color w:val="auto"/>
              </w:rPr>
            </w:pPr>
            <w:r>
              <w:rPr>
                <w:rFonts w:ascii="Arial" w:cs="Arial" w:eastAsia="Arial" w:hAnsi="Arial"/>
                <w:sz w:val="9"/>
                <w:szCs w:val="9"/>
                <w:color w:val="auto"/>
              </w:rPr>
              <w:t>2017</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101</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1,255,223</w:t>
            </w:r>
          </w:p>
        </w:tc>
        <w:tc>
          <w:tcPr>
            <w:tcW w:w="520" w:type="dxa"/>
            <w:vAlign w:val="bottom"/>
          </w:tcPr>
          <w:p>
            <w:pPr>
              <w:jc w:val="right"/>
              <w:spacing w:after="0"/>
              <w:rPr>
                <w:sz w:val="20"/>
                <w:szCs w:val="20"/>
                <w:color w:val="auto"/>
              </w:rPr>
            </w:pPr>
            <w:r>
              <w:rPr>
                <w:rFonts w:ascii="Arial" w:cs="Arial" w:eastAsia="Arial" w:hAnsi="Arial"/>
                <w:sz w:val="9"/>
                <w:szCs w:val="9"/>
                <w:color w:val="auto"/>
              </w:rPr>
              <w:t>6.95%</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74,990,973</w:t>
            </w: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59.74</w:t>
            </w:r>
          </w:p>
        </w:tc>
        <w:tc>
          <w:tcPr>
            <w:tcW w:w="440" w:type="dxa"/>
            <w:vAlign w:val="bottom"/>
          </w:tcPr>
          <w:p>
            <w:pPr>
              <w:jc w:val="right"/>
              <w:ind w:right="316"/>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66.94</w:t>
            </w:r>
          </w:p>
        </w:tc>
        <w:tc>
          <w:tcPr>
            <w:tcW w:w="320" w:type="dxa"/>
            <w:vAlign w:val="bottom"/>
          </w:tcPr>
          <w:p>
            <w:pPr>
              <w:spacing w:after="0"/>
              <w:rPr>
                <w:sz w:val="24"/>
                <w:szCs w:val="24"/>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13</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149,765</w:t>
            </w:r>
          </w:p>
        </w:tc>
        <w:tc>
          <w:tcPr>
            <w:tcW w:w="520" w:type="dxa"/>
            <w:vAlign w:val="bottom"/>
          </w:tcPr>
          <w:p>
            <w:pPr>
              <w:jc w:val="right"/>
              <w:spacing w:after="0"/>
              <w:rPr>
                <w:sz w:val="20"/>
                <w:szCs w:val="20"/>
                <w:color w:val="auto"/>
              </w:rPr>
            </w:pPr>
            <w:r>
              <w:rPr>
                <w:rFonts w:ascii="Arial" w:cs="Arial" w:eastAsia="Arial" w:hAnsi="Arial"/>
                <w:sz w:val="9"/>
                <w:szCs w:val="9"/>
                <w:color w:val="auto"/>
              </w:rPr>
              <w:t>3.71%</w:t>
            </w: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12,652,990</w:t>
            </w: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84.49</w:t>
            </w:r>
          </w:p>
        </w:tc>
        <w:tc>
          <w:tcPr>
            <w:tcW w:w="400" w:type="dxa"/>
            <w:vAlign w:val="bottom"/>
          </w:tcPr>
          <w:p>
            <w:pPr>
              <w:jc w:val="right"/>
              <w:ind w:right="296"/>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color w:val="auto"/>
              </w:rPr>
              <w:t>76.31</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83</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628,346</w:t>
            </w:r>
          </w:p>
        </w:tc>
        <w:tc>
          <w:tcPr>
            <w:tcW w:w="520" w:type="dxa"/>
            <w:vAlign w:val="bottom"/>
          </w:tcPr>
          <w:p>
            <w:pPr>
              <w:jc w:val="right"/>
              <w:spacing w:after="0"/>
              <w:rPr>
                <w:sz w:val="20"/>
                <w:szCs w:val="20"/>
                <w:color w:val="auto"/>
              </w:rPr>
            </w:pPr>
            <w:r>
              <w:rPr>
                <w:rFonts w:ascii="Arial" w:cs="Arial" w:eastAsia="Arial" w:hAnsi="Arial"/>
                <w:sz w:val="9"/>
                <w:szCs w:val="9"/>
                <w:color w:val="auto"/>
              </w:rPr>
              <w:t>3.48%</w:t>
            </w: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49,186,272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78.28</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115.85</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26</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438,790</w:t>
            </w:r>
          </w:p>
        </w:tc>
        <w:tc>
          <w:tcPr>
            <w:tcW w:w="520" w:type="dxa"/>
            <w:vAlign w:val="bottom"/>
          </w:tcPr>
          <w:p>
            <w:pPr>
              <w:jc w:val="right"/>
              <w:spacing w:after="0"/>
              <w:rPr>
                <w:sz w:val="20"/>
                <w:szCs w:val="20"/>
                <w:color w:val="auto"/>
              </w:rPr>
            </w:pPr>
            <w:r>
              <w:rPr>
                <w:rFonts w:ascii="Arial" w:cs="Arial" w:eastAsia="Arial" w:hAnsi="Arial"/>
                <w:sz w:val="9"/>
                <w:szCs w:val="9"/>
                <w:color w:val="auto"/>
              </w:rPr>
              <w:t>10.88%</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36,649,693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83.52</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76.11</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2019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83</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1,170,644</w:t>
            </w:r>
          </w:p>
        </w:tc>
        <w:tc>
          <w:tcPr>
            <w:tcW w:w="520" w:type="dxa"/>
            <w:vAlign w:val="bottom"/>
          </w:tcPr>
          <w:p>
            <w:pPr>
              <w:jc w:val="right"/>
              <w:spacing w:after="0"/>
              <w:rPr>
                <w:sz w:val="20"/>
                <w:szCs w:val="20"/>
                <w:color w:val="auto"/>
              </w:rPr>
            </w:pPr>
            <w:r>
              <w:rPr>
                <w:rFonts w:ascii="Arial" w:cs="Arial" w:eastAsia="Arial" w:hAnsi="Arial"/>
                <w:sz w:val="9"/>
                <w:szCs w:val="9"/>
                <w:color w:val="auto"/>
              </w:rPr>
              <w:t>6.48%</w:t>
            </w: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80,184,853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68.50</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76.00</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292,677</w:t>
            </w:r>
          </w:p>
        </w:tc>
        <w:tc>
          <w:tcPr>
            <w:tcW w:w="520" w:type="dxa"/>
            <w:vAlign w:val="bottom"/>
          </w:tcPr>
          <w:p>
            <w:pPr>
              <w:jc w:val="right"/>
              <w:spacing w:after="0"/>
              <w:rPr>
                <w:sz w:val="20"/>
                <w:szCs w:val="20"/>
                <w:color w:val="auto"/>
              </w:rPr>
            </w:pPr>
            <w:r>
              <w:rPr>
                <w:rFonts w:ascii="Arial" w:cs="Arial" w:eastAsia="Arial" w:hAnsi="Arial"/>
                <w:sz w:val="9"/>
                <w:szCs w:val="9"/>
                <w:color w:val="auto"/>
              </w:rPr>
              <w:t>7.25%</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23,165,282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79.15</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83.27</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95</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2,379,593</w:t>
            </w:r>
          </w:p>
        </w:tc>
        <w:tc>
          <w:tcPr>
            <w:tcW w:w="520" w:type="dxa"/>
            <w:vAlign w:val="bottom"/>
          </w:tcPr>
          <w:p>
            <w:pPr>
              <w:jc w:val="right"/>
              <w:spacing w:after="0"/>
              <w:rPr>
                <w:sz w:val="20"/>
                <w:szCs w:val="20"/>
                <w:color w:val="auto"/>
              </w:rPr>
            </w:pPr>
            <w:r>
              <w:rPr>
                <w:rFonts w:ascii="Arial" w:cs="Arial" w:eastAsia="Arial" w:hAnsi="Arial"/>
                <w:sz w:val="9"/>
                <w:szCs w:val="9"/>
                <w:color w:val="auto"/>
              </w:rPr>
              <w:t>13.17%</w:t>
            </w: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146,936,330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61.75</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69.32</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258,363</w:t>
            </w:r>
          </w:p>
        </w:tc>
        <w:tc>
          <w:tcPr>
            <w:tcW w:w="520" w:type="dxa"/>
            <w:vAlign w:val="bottom"/>
          </w:tcPr>
          <w:p>
            <w:pPr>
              <w:jc w:val="right"/>
              <w:spacing w:after="0"/>
              <w:rPr>
                <w:sz w:val="20"/>
                <w:szCs w:val="20"/>
                <w:color w:val="auto"/>
              </w:rPr>
            </w:pPr>
            <w:r>
              <w:rPr>
                <w:rFonts w:ascii="Arial" w:cs="Arial" w:eastAsia="Arial" w:hAnsi="Arial"/>
                <w:sz w:val="9"/>
                <w:szCs w:val="9"/>
                <w:color w:val="auto"/>
              </w:rPr>
              <w:t>6.40%</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15,136,785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58.59</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68.61</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82</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1,736,476</w:t>
            </w:r>
          </w:p>
        </w:tc>
        <w:tc>
          <w:tcPr>
            <w:tcW w:w="520" w:type="dxa"/>
            <w:vAlign w:val="bottom"/>
          </w:tcPr>
          <w:p>
            <w:pPr>
              <w:jc w:val="right"/>
              <w:spacing w:after="0"/>
              <w:rPr>
                <w:sz w:val="20"/>
                <w:szCs w:val="20"/>
                <w:color w:val="auto"/>
              </w:rPr>
            </w:pPr>
            <w:r>
              <w:rPr>
                <w:rFonts w:ascii="Arial" w:cs="Arial" w:eastAsia="Arial" w:hAnsi="Arial"/>
                <w:sz w:val="9"/>
                <w:szCs w:val="9"/>
                <w:color w:val="auto"/>
              </w:rPr>
              <w:t>9.61%</w:t>
            </w: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106,257,845</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61.19</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65.34</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14</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271,343</w:t>
            </w:r>
          </w:p>
        </w:tc>
        <w:tc>
          <w:tcPr>
            <w:tcW w:w="520" w:type="dxa"/>
            <w:vAlign w:val="bottom"/>
          </w:tcPr>
          <w:p>
            <w:pPr>
              <w:jc w:val="right"/>
              <w:spacing w:after="0"/>
              <w:rPr>
                <w:sz w:val="20"/>
                <w:szCs w:val="20"/>
                <w:color w:val="auto"/>
              </w:rPr>
            </w:pPr>
            <w:r>
              <w:rPr>
                <w:rFonts w:ascii="Arial" w:cs="Arial" w:eastAsia="Arial" w:hAnsi="Arial"/>
                <w:sz w:val="9"/>
                <w:szCs w:val="9"/>
                <w:color w:val="auto"/>
              </w:rPr>
              <w:t>6.73%</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15,918,015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58.66</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69.83</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54</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953,464</w:t>
            </w:r>
          </w:p>
        </w:tc>
        <w:tc>
          <w:tcPr>
            <w:tcW w:w="520" w:type="dxa"/>
            <w:vAlign w:val="bottom"/>
          </w:tcPr>
          <w:p>
            <w:pPr>
              <w:jc w:val="right"/>
              <w:spacing w:after="0"/>
              <w:rPr>
                <w:sz w:val="20"/>
                <w:szCs w:val="20"/>
                <w:color w:val="auto"/>
              </w:rPr>
            </w:pPr>
            <w:r>
              <w:rPr>
                <w:rFonts w:ascii="Arial" w:cs="Arial" w:eastAsia="Arial" w:hAnsi="Arial"/>
                <w:sz w:val="9"/>
                <w:szCs w:val="9"/>
                <w:color w:val="auto"/>
              </w:rPr>
              <w:t>5.28%</w:t>
            </w: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62,347,597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65.39</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79.26</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17</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176,391</w:t>
            </w:r>
          </w:p>
        </w:tc>
        <w:tc>
          <w:tcPr>
            <w:tcW w:w="520" w:type="dxa"/>
            <w:vAlign w:val="bottom"/>
          </w:tcPr>
          <w:p>
            <w:pPr>
              <w:jc w:val="right"/>
              <w:spacing w:after="0"/>
              <w:rPr>
                <w:sz w:val="20"/>
                <w:szCs w:val="20"/>
                <w:color w:val="auto"/>
              </w:rPr>
            </w:pPr>
            <w:r>
              <w:rPr>
                <w:rFonts w:ascii="Arial" w:cs="Arial" w:eastAsia="Arial" w:hAnsi="Arial"/>
                <w:sz w:val="9"/>
                <w:szCs w:val="9"/>
                <w:color w:val="auto"/>
              </w:rPr>
              <w:t>4.37%</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11,989,035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67.97</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76.50</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38</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763,622</w:t>
            </w:r>
          </w:p>
        </w:tc>
        <w:tc>
          <w:tcPr>
            <w:tcW w:w="520" w:type="dxa"/>
            <w:vAlign w:val="bottom"/>
          </w:tcPr>
          <w:p>
            <w:pPr>
              <w:jc w:val="right"/>
              <w:spacing w:after="0"/>
              <w:rPr>
                <w:sz w:val="20"/>
                <w:szCs w:val="20"/>
                <w:color w:val="auto"/>
              </w:rPr>
            </w:pPr>
            <w:r>
              <w:rPr>
                <w:rFonts w:ascii="Arial" w:cs="Arial" w:eastAsia="Arial" w:hAnsi="Arial"/>
                <w:sz w:val="9"/>
                <w:szCs w:val="9"/>
                <w:color w:val="auto"/>
              </w:rPr>
              <w:t>4.23%</w:t>
            </w: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44,042,217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57.68</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64.96</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14</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857,924</w:t>
            </w:r>
          </w:p>
        </w:tc>
        <w:tc>
          <w:tcPr>
            <w:tcW w:w="520" w:type="dxa"/>
            <w:vAlign w:val="bottom"/>
          </w:tcPr>
          <w:p>
            <w:pPr>
              <w:jc w:val="right"/>
              <w:spacing w:after="0"/>
              <w:rPr>
                <w:sz w:val="20"/>
                <w:szCs w:val="20"/>
                <w:color w:val="auto"/>
              </w:rPr>
            </w:pPr>
            <w:r>
              <w:rPr>
                <w:rFonts w:ascii="Arial" w:cs="Arial" w:eastAsia="Arial" w:hAnsi="Arial"/>
                <w:sz w:val="9"/>
                <w:szCs w:val="9"/>
                <w:color w:val="auto"/>
              </w:rPr>
              <w:t>21.27%</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58,451,412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68.13</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70.26</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27</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263,374</w:t>
            </w:r>
          </w:p>
        </w:tc>
        <w:tc>
          <w:tcPr>
            <w:tcW w:w="520" w:type="dxa"/>
            <w:vAlign w:val="bottom"/>
          </w:tcPr>
          <w:p>
            <w:pPr>
              <w:jc w:val="right"/>
              <w:spacing w:after="0"/>
              <w:rPr>
                <w:sz w:val="20"/>
                <w:szCs w:val="20"/>
                <w:color w:val="auto"/>
              </w:rPr>
            </w:pPr>
            <w:r>
              <w:rPr>
                <w:rFonts w:ascii="Arial" w:cs="Arial" w:eastAsia="Arial" w:hAnsi="Arial"/>
                <w:sz w:val="9"/>
                <w:szCs w:val="9"/>
                <w:color w:val="auto"/>
              </w:rPr>
              <w:t>1.46%</w:t>
            </w: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18,308,486</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69.52</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72.38</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17</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368,575</w:t>
            </w:r>
          </w:p>
        </w:tc>
        <w:tc>
          <w:tcPr>
            <w:tcW w:w="520" w:type="dxa"/>
            <w:vAlign w:val="bottom"/>
          </w:tcPr>
          <w:p>
            <w:pPr>
              <w:jc w:val="right"/>
              <w:spacing w:after="0"/>
              <w:rPr>
                <w:sz w:val="20"/>
                <w:szCs w:val="20"/>
                <w:color w:val="auto"/>
              </w:rPr>
            </w:pPr>
            <w:r>
              <w:rPr>
                <w:rFonts w:ascii="Arial" w:cs="Arial" w:eastAsia="Arial" w:hAnsi="Arial"/>
                <w:sz w:val="9"/>
                <w:szCs w:val="9"/>
                <w:color w:val="auto"/>
              </w:rPr>
              <w:t>9.14%</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32,486,414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88.14</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88.75</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35</w:t>
            </w:r>
          </w:p>
        </w:tc>
        <w:tc>
          <w:tcPr>
            <w:tcW w:w="980" w:type="dxa"/>
            <w:vAlign w:val="bottom"/>
          </w:tcPr>
          <w:p>
            <w:pPr>
              <w:jc w:val="right"/>
              <w:ind w:right="56"/>
              <w:spacing w:after="0"/>
              <w:rPr>
                <w:sz w:val="20"/>
                <w:szCs w:val="20"/>
                <w:color w:val="auto"/>
              </w:rPr>
            </w:pPr>
            <w:r>
              <w:rPr>
                <w:rFonts w:ascii="Arial" w:cs="Arial" w:eastAsia="Arial" w:hAnsi="Arial"/>
                <w:sz w:val="9"/>
                <w:szCs w:val="9"/>
                <w:color w:val="auto"/>
              </w:rPr>
              <w:t>800,905</w:t>
            </w:r>
          </w:p>
        </w:tc>
        <w:tc>
          <w:tcPr>
            <w:tcW w:w="520" w:type="dxa"/>
            <w:vAlign w:val="bottom"/>
          </w:tcPr>
          <w:p>
            <w:pPr>
              <w:jc w:val="right"/>
              <w:spacing w:after="0"/>
              <w:rPr>
                <w:sz w:val="20"/>
                <w:szCs w:val="20"/>
                <w:color w:val="auto"/>
              </w:rPr>
            </w:pPr>
            <w:r>
              <w:rPr>
                <w:rFonts w:ascii="Arial" w:cs="Arial" w:eastAsia="Arial" w:hAnsi="Arial"/>
                <w:sz w:val="9"/>
                <w:szCs w:val="9"/>
                <w:color w:val="auto"/>
              </w:rPr>
              <w:t>4.43%</w:t>
            </w: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77,422,972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96.67</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105.34</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240,548</w:t>
            </w:r>
          </w:p>
        </w:tc>
        <w:tc>
          <w:tcPr>
            <w:tcW w:w="520" w:type="dxa"/>
            <w:vAlign w:val="bottom"/>
          </w:tcPr>
          <w:p>
            <w:pPr>
              <w:jc w:val="right"/>
              <w:spacing w:after="0"/>
              <w:rPr>
                <w:sz w:val="20"/>
                <w:szCs w:val="20"/>
                <w:color w:val="auto"/>
              </w:rPr>
            </w:pPr>
            <w:r>
              <w:rPr>
                <w:rFonts w:ascii="Arial" w:cs="Arial" w:eastAsia="Arial" w:hAnsi="Arial"/>
                <w:sz w:val="9"/>
                <w:szCs w:val="9"/>
                <w:color w:val="auto"/>
              </w:rPr>
              <w:t>5.96%</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19,289,590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80.19</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83.70</w:t>
            </w:r>
          </w:p>
        </w:tc>
      </w:tr>
      <w:tr>
        <w:trPr>
          <w:trHeight w:val="227"/>
        </w:trPr>
        <w:tc>
          <w:tcPr>
            <w:tcW w:w="60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Thereafter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104</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7,802,103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43.18%</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459,497,564</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58.89</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68.17</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24</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920,633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22.82%</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84,462,824</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91.74</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103.45</w:t>
            </w:r>
          </w:p>
        </w:tc>
      </w:tr>
      <w:tr>
        <w:trPr>
          <w:trHeight w:val="210"/>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753</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18,069,231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1,138,877,833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63.03</w:t>
            </w:r>
          </w:p>
        </w:tc>
        <w:tc>
          <w:tcPr>
            <w:tcW w:w="440" w:type="dxa"/>
            <w:vAlign w:val="bottom"/>
            <w:tcBorders>
              <w:bottom w:val="single" w:sz="8" w:color="auto"/>
            </w:tcBorders>
          </w:tcPr>
          <w:p>
            <w:pPr>
              <w:jc w:val="right"/>
              <w:ind w:right="316"/>
              <w:spacing w:after="0"/>
              <w:rPr>
                <w:sz w:val="20"/>
                <w:szCs w:val="20"/>
                <w:color w:val="auto"/>
              </w:rPr>
            </w:pPr>
            <w:r>
              <w:rPr>
                <w:rFonts w:ascii="Arial" w:cs="Arial" w:eastAsia="Arial" w:hAnsi="Arial"/>
                <w:sz w:val="9"/>
                <w:szCs w:val="9"/>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72.34</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187</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4,034,344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314,155,435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77.87</w:t>
            </w:r>
          </w:p>
        </w:tc>
        <w:tc>
          <w:tcPr>
            <w:tcW w:w="400" w:type="dxa"/>
            <w:vAlign w:val="bottom"/>
            <w:tcBorders>
              <w:bottom w:val="single" w:sz="8" w:color="auto"/>
            </w:tcBorders>
          </w:tcPr>
          <w:p>
            <w:pPr>
              <w:jc w:val="right"/>
              <w:ind w:right="296"/>
              <w:spacing w:after="0"/>
              <w:rPr>
                <w:sz w:val="20"/>
                <w:szCs w:val="20"/>
                <w:color w:val="auto"/>
              </w:rPr>
            </w:pPr>
            <w:r>
              <w:rPr>
                <w:rFonts w:ascii="Arial" w:cs="Arial" w:eastAsia="Arial" w:hAnsi="Arial"/>
                <w:sz w:val="9"/>
                <w:szCs w:val="9"/>
                <w:b w:val="1"/>
                <w:bCs w:val="1"/>
                <w:color w:val="auto"/>
                <w:w w:val="78"/>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82.27</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222250</wp:posOffset>
            </wp:positionV>
            <wp:extent cx="3629660" cy="7150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29660" cy="71501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9"/>
          <w:szCs w:val="9"/>
          <w:color w:val="auto"/>
        </w:rPr>
        <w:t>NOTE: Data excludes space currently occupied by SL Green's corporate offices</w:t>
      </w:r>
    </w:p>
    <w:p>
      <w:pPr>
        <w:spacing w:after="0" w:line="115" w:lineRule="exact"/>
        <w:rPr>
          <w:sz w:val="20"/>
          <w:szCs w:val="20"/>
          <w:color w:val="auto"/>
        </w:rPr>
      </w:pPr>
    </w:p>
    <w:p>
      <w:pPr>
        <w:ind w:left="680" w:hanging="140"/>
        <w:spacing w:after="0"/>
        <w:tabs>
          <w:tab w:leader="none" w:pos="680"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month to month holdover tenants that expired prior to June 30, 2016.</w:t>
      </w:r>
    </w:p>
    <w:p>
      <w:pPr>
        <w:spacing w:after="0" w:line="115" w:lineRule="exact"/>
        <w:rPr>
          <w:rFonts w:ascii="Arial" w:cs="Arial" w:eastAsia="Arial" w:hAnsi="Arial"/>
          <w:sz w:val="9"/>
          <w:szCs w:val="9"/>
          <w:color w:val="auto"/>
        </w:rPr>
      </w:pPr>
    </w:p>
    <w:p>
      <w:pPr>
        <w:ind w:left="680" w:hanging="140"/>
        <w:spacing w:after="0"/>
        <w:tabs>
          <w:tab w:leader="none" w:pos="680" w:val="left"/>
        </w:tabs>
        <w:numPr>
          <w:ilvl w:val="0"/>
          <w:numId w:val="31"/>
        </w:numPr>
        <w:rPr>
          <w:rFonts w:ascii="Arial" w:cs="Arial" w:eastAsia="Arial" w:hAnsi="Arial"/>
          <w:sz w:val="9"/>
          <w:szCs w:val="9"/>
          <w:color w:val="auto"/>
        </w:rPr>
      </w:pPr>
      <w:r>
        <w:rPr>
          <w:rFonts w:ascii="Arial" w:cs="Arial" w:eastAsia="Arial" w:hAnsi="Arial"/>
          <w:sz w:val="9"/>
          <w:szCs w:val="9"/>
          <w:color w:val="auto"/>
        </w:rPr>
        <w:t>Tenants may have multiple leases.</w:t>
      </w:r>
    </w:p>
    <w:p>
      <w:pPr>
        <w:spacing w:after="0" w:line="115" w:lineRule="exact"/>
        <w:rPr>
          <w:rFonts w:ascii="Arial" w:cs="Arial" w:eastAsia="Arial" w:hAnsi="Arial"/>
          <w:sz w:val="9"/>
          <w:szCs w:val="9"/>
          <w:color w:val="auto"/>
        </w:rPr>
      </w:pPr>
    </w:p>
    <w:p>
      <w:pPr>
        <w:ind w:left="680" w:hanging="140"/>
        <w:spacing w:after="0"/>
        <w:tabs>
          <w:tab w:leader="none" w:pos="680" w:val="left"/>
        </w:tabs>
        <w:numPr>
          <w:ilvl w:val="0"/>
          <w:numId w:val="31"/>
        </w:numPr>
        <w:rPr>
          <w:rFonts w:ascii="Arial" w:cs="Arial" w:eastAsia="Arial" w:hAnsi="Arial"/>
          <w:sz w:val="9"/>
          <w:szCs w:val="9"/>
          <w:color w:val="auto"/>
        </w:rPr>
      </w:pPr>
      <w:r>
        <w:rPr>
          <w:rFonts w:ascii="Arial" w:cs="Arial" w:eastAsia="Arial" w:hAnsi="Arial"/>
          <w:sz w:val="9"/>
          <w:szCs w:val="9"/>
          <w:color w:val="auto"/>
        </w:rPr>
        <w:t>Represents in place annualized rent allocated by year of expiration.</w:t>
      </w:r>
    </w:p>
    <w:p>
      <w:pPr>
        <w:spacing w:after="0" w:line="38" w:lineRule="exact"/>
        <w:rPr>
          <w:rFonts w:ascii="Arial" w:cs="Arial" w:eastAsia="Arial" w:hAnsi="Arial"/>
          <w:sz w:val="9"/>
          <w:szCs w:val="9"/>
          <w:color w:val="auto"/>
        </w:rPr>
      </w:pPr>
    </w:p>
    <w:p>
      <w:pPr>
        <w:ind w:left="540" w:right="4720"/>
        <w:spacing w:after="0" w:line="235" w:lineRule="auto"/>
        <w:tabs>
          <w:tab w:leader="none" w:pos="671" w:val="left"/>
        </w:tabs>
        <w:numPr>
          <w:ilvl w:val="0"/>
          <w:numId w:val="31"/>
        </w:numPr>
        <w:rPr>
          <w:rFonts w:ascii="Arial" w:cs="Arial" w:eastAsia="Arial" w:hAnsi="Arial"/>
          <w:sz w:val="9"/>
          <w:szCs w:val="9"/>
          <w:color w:val="auto"/>
        </w:rPr>
      </w:pPr>
      <w:r>
        <w:rPr>
          <w:rFonts w:ascii="Arial" w:cs="Arial" w:eastAsia="Arial" w:hAnsi="Arial"/>
          <w:sz w:val="9"/>
          <w:szCs w:val="9"/>
          <w:color w:val="auto"/>
        </w:rPr>
        <w:t>Management's estimate of current average asking rents for currently occupied space as of June 30, 2016. Taking rents are typically lower than asking rents and may vary from property to property.</w:t>
      </w: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46</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20"/>
          </w:cols>
          <w:pgMar w:left="900" w:top="338" w:right="879" w:bottom="1440" w:gutter="0" w:footer="0" w:header="0"/>
        </w:sectPr>
      </w:pPr>
    </w:p>
    <w:bookmarkStart w:id="63" w:name="page64"/>
    <w:bookmarkEnd w:id="6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ANNUAL LEASE EXPIRATIONS - SUBURBAN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Office, Retail and Storage Leases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9"/>
                <w:szCs w:val="9"/>
                <w:b w:val="1"/>
                <w:bCs w:val="1"/>
                <w:color w:val="auto"/>
              </w:rPr>
              <w:t>Consolidated Properties</w:t>
            </w: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9"/>
                <w:szCs w:val="9"/>
                <w:b w:val="1"/>
                <w:bCs w:val="1"/>
                <w:color w:val="auto"/>
              </w:rPr>
              <w:t>Joint Venture Properties</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r>
        <w:trPr>
          <w:trHeight w:val="107"/>
        </w:trPr>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w w:val="96"/>
              </w:rPr>
              <w:t>Annualized Cash</w:t>
            </w:r>
          </w:p>
        </w:tc>
        <w:tc>
          <w:tcPr>
            <w:tcW w:w="1040" w:type="dxa"/>
            <w:vAlign w:val="bottom"/>
            <w:gridSpan w:val="3"/>
          </w:tcPr>
          <w:p>
            <w:pPr>
              <w:jc w:val="right"/>
              <w:ind w:right="320"/>
              <w:spacing w:after="0"/>
              <w:rPr>
                <w:sz w:val="20"/>
                <w:szCs w:val="20"/>
                <w:color w:val="auto"/>
              </w:rPr>
            </w:pPr>
            <w:r>
              <w:rPr>
                <w:rFonts w:ascii="Arial" w:cs="Arial" w:eastAsia="Arial" w:hAnsi="Arial"/>
                <w:sz w:val="9"/>
                <w:szCs w:val="9"/>
                <w:b w:val="1"/>
                <w:bCs w:val="1"/>
                <w:color w:val="auto"/>
              </w:rPr>
              <w:t>Current</w:t>
            </w: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w w:val="96"/>
              </w:rPr>
              <w:t>Annualized Cash</w:t>
            </w:r>
          </w:p>
        </w:tc>
        <w:tc>
          <w:tcPr>
            <w:tcW w:w="720" w:type="dxa"/>
            <w:vAlign w:val="bottom"/>
            <w:gridSpan w:val="2"/>
          </w:tcPr>
          <w:p>
            <w:pPr>
              <w:jc w:val="right"/>
              <w:spacing w:after="0"/>
              <w:rPr>
                <w:sz w:val="20"/>
                <w:szCs w:val="20"/>
                <w:color w:val="auto"/>
              </w:rPr>
            </w:pPr>
            <w:r>
              <w:rPr>
                <w:rFonts w:ascii="Arial" w:cs="Arial" w:eastAsia="Arial" w:hAnsi="Arial"/>
                <w:sz w:val="9"/>
                <w:szCs w:val="9"/>
                <w:b w:val="1"/>
                <w:bCs w:val="1"/>
                <w:color w:val="auto"/>
              </w:rPr>
              <w:t>Current</w:t>
            </w:r>
          </w:p>
        </w:tc>
      </w:tr>
      <w:tr>
        <w:trPr>
          <w:trHeight w:val="98"/>
        </w:trPr>
        <w:tc>
          <w:tcPr>
            <w:tcW w:w="60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Year of</w:t>
            </w:r>
          </w:p>
        </w:tc>
        <w:tc>
          <w:tcPr>
            <w:tcW w:w="6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Number of</w:t>
            </w:r>
          </w:p>
        </w:tc>
        <w:tc>
          <w:tcPr>
            <w:tcW w:w="1500" w:type="dxa"/>
            <w:vAlign w:val="bottom"/>
            <w:gridSpan w:val="2"/>
          </w:tcPr>
          <w:p>
            <w:pPr>
              <w:jc w:val="right"/>
              <w:ind w:right="76"/>
              <w:spacing w:after="0" w:line="99" w:lineRule="exact"/>
              <w:rPr>
                <w:sz w:val="20"/>
                <w:szCs w:val="20"/>
                <w:color w:val="auto"/>
              </w:rPr>
            </w:pPr>
            <w:r>
              <w:rPr>
                <w:rFonts w:ascii="Arial" w:cs="Arial" w:eastAsia="Arial" w:hAnsi="Arial"/>
                <w:sz w:val="9"/>
                <w:szCs w:val="9"/>
                <w:b w:val="1"/>
                <w:bCs w:val="1"/>
                <w:color w:val="auto"/>
              </w:rPr>
              <w:t>Rentable Square Percentage</w:t>
            </w:r>
          </w:p>
        </w:tc>
        <w:tc>
          <w:tcPr>
            <w:tcW w:w="100" w:type="dxa"/>
            <w:vAlign w:val="bottom"/>
          </w:tcPr>
          <w:p>
            <w:pPr>
              <w:spacing w:after="0"/>
              <w:rPr>
                <w:sz w:val="8"/>
                <w:szCs w:val="8"/>
                <w:color w:val="auto"/>
              </w:rPr>
            </w:pPr>
          </w:p>
        </w:tc>
        <w:tc>
          <w:tcPr>
            <w:tcW w:w="80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w w:val="99"/>
              </w:rPr>
              <w:t>Annualized Cash</w:t>
            </w:r>
          </w:p>
        </w:tc>
        <w:tc>
          <w:tcPr>
            <w:tcW w:w="16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9"/>
              </w:rPr>
              <w:t>Rent Per Square</w:t>
            </w:r>
          </w:p>
        </w:tc>
        <w:tc>
          <w:tcPr>
            <w:tcW w:w="1040" w:type="dxa"/>
            <w:vAlign w:val="bottom"/>
            <w:gridSpan w:val="3"/>
          </w:tcPr>
          <w:p>
            <w:pPr>
              <w:jc w:val="right"/>
              <w:ind w:right="320"/>
              <w:spacing w:after="0" w:line="99" w:lineRule="exact"/>
              <w:rPr>
                <w:sz w:val="20"/>
                <w:szCs w:val="20"/>
                <w:color w:val="auto"/>
              </w:rPr>
            </w:pPr>
            <w:r>
              <w:rPr>
                <w:rFonts w:ascii="Arial" w:cs="Arial" w:eastAsia="Arial" w:hAnsi="Arial"/>
                <w:sz w:val="9"/>
                <w:szCs w:val="9"/>
                <w:b w:val="1"/>
                <w:bCs w:val="1"/>
                <w:color w:val="auto"/>
              </w:rPr>
              <w:t>Weighted</w:t>
            </w:r>
          </w:p>
        </w:tc>
        <w:tc>
          <w:tcPr>
            <w:tcW w:w="68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Number of</w:t>
            </w:r>
          </w:p>
        </w:tc>
        <w:tc>
          <w:tcPr>
            <w:tcW w:w="1400" w:type="dxa"/>
            <w:vAlign w:val="bottom"/>
            <w:gridSpan w:val="2"/>
          </w:tcPr>
          <w:p>
            <w:pPr>
              <w:jc w:val="right"/>
              <w:ind w:right="56"/>
              <w:spacing w:after="0" w:line="99" w:lineRule="exact"/>
              <w:rPr>
                <w:sz w:val="20"/>
                <w:szCs w:val="20"/>
                <w:color w:val="auto"/>
              </w:rPr>
            </w:pPr>
            <w:r>
              <w:rPr>
                <w:rFonts w:ascii="Arial" w:cs="Arial" w:eastAsia="Arial" w:hAnsi="Arial"/>
                <w:sz w:val="9"/>
                <w:szCs w:val="9"/>
                <w:b w:val="1"/>
                <w:bCs w:val="1"/>
                <w:color w:val="auto"/>
              </w:rPr>
              <w:t>Rentable Square Percentage</w:t>
            </w:r>
          </w:p>
        </w:tc>
        <w:tc>
          <w:tcPr>
            <w:tcW w:w="80" w:type="dxa"/>
            <w:vAlign w:val="bottom"/>
          </w:tcPr>
          <w:p>
            <w:pPr>
              <w:spacing w:after="0"/>
              <w:rPr>
                <w:sz w:val="8"/>
                <w:szCs w:val="8"/>
                <w:color w:val="auto"/>
              </w:rPr>
            </w:pPr>
          </w:p>
        </w:tc>
        <w:tc>
          <w:tcPr>
            <w:tcW w:w="76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w w:val="93"/>
              </w:rPr>
              <w:t>Annualized Cash</w:t>
            </w:r>
          </w:p>
        </w:tc>
        <w:tc>
          <w:tcPr>
            <w:tcW w:w="14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9"/>
              </w:rPr>
              <w:t>Rent Per Square</w:t>
            </w:r>
          </w:p>
        </w:tc>
        <w:tc>
          <w:tcPr>
            <w:tcW w:w="7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Weighted</w:t>
            </w:r>
          </w:p>
        </w:tc>
      </w:tr>
      <w:tr>
        <w:trPr>
          <w:trHeight w:val="98"/>
        </w:trPr>
        <w:tc>
          <w:tcPr>
            <w:tcW w:w="60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Lease</w:t>
            </w:r>
          </w:p>
        </w:tc>
        <w:tc>
          <w:tcPr>
            <w:tcW w:w="6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Expiring</w:t>
            </w:r>
          </w:p>
        </w:tc>
        <w:tc>
          <w:tcPr>
            <w:tcW w:w="980" w:type="dxa"/>
            <w:vAlign w:val="bottom"/>
          </w:tcPr>
          <w:p>
            <w:pPr>
              <w:jc w:val="right"/>
              <w:ind w:right="76"/>
              <w:spacing w:after="0" w:line="99" w:lineRule="exact"/>
              <w:rPr>
                <w:sz w:val="20"/>
                <w:szCs w:val="20"/>
                <w:color w:val="auto"/>
              </w:rPr>
            </w:pPr>
            <w:r>
              <w:rPr>
                <w:rFonts w:ascii="Arial" w:cs="Arial" w:eastAsia="Arial" w:hAnsi="Arial"/>
                <w:sz w:val="9"/>
                <w:szCs w:val="9"/>
                <w:b w:val="1"/>
                <w:bCs w:val="1"/>
                <w:color w:val="auto"/>
                <w:w w:val="99"/>
              </w:rPr>
              <w:t>Footage of Expiring</w:t>
            </w:r>
          </w:p>
        </w:tc>
        <w:tc>
          <w:tcPr>
            <w:tcW w:w="520" w:type="dxa"/>
            <w:vAlign w:val="bottom"/>
          </w:tcPr>
          <w:p>
            <w:pPr>
              <w:jc w:val="right"/>
              <w:ind w:right="76"/>
              <w:spacing w:after="0" w:line="99" w:lineRule="exact"/>
              <w:rPr>
                <w:sz w:val="20"/>
                <w:szCs w:val="20"/>
                <w:color w:val="auto"/>
              </w:rPr>
            </w:pPr>
            <w:r>
              <w:rPr>
                <w:rFonts w:ascii="Arial" w:cs="Arial" w:eastAsia="Arial" w:hAnsi="Arial"/>
                <w:sz w:val="9"/>
                <w:szCs w:val="9"/>
                <w:b w:val="1"/>
                <w:bCs w:val="1"/>
                <w:color w:val="auto"/>
              </w:rPr>
              <w:t>of Total</w:t>
            </w:r>
          </w:p>
        </w:tc>
        <w:tc>
          <w:tcPr>
            <w:tcW w:w="100" w:type="dxa"/>
            <w:vAlign w:val="bottom"/>
          </w:tcPr>
          <w:p>
            <w:pPr>
              <w:spacing w:after="0"/>
              <w:rPr>
                <w:sz w:val="8"/>
                <w:szCs w:val="8"/>
                <w:color w:val="auto"/>
              </w:rPr>
            </w:pPr>
          </w:p>
        </w:tc>
        <w:tc>
          <w:tcPr>
            <w:tcW w:w="80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rPr>
              <w:t>Rent of Expiring</w:t>
            </w:r>
          </w:p>
        </w:tc>
        <w:tc>
          <w:tcPr>
            <w:tcW w:w="16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 of Expiring</w:t>
            </w:r>
          </w:p>
        </w:tc>
        <w:tc>
          <w:tcPr>
            <w:tcW w:w="1040" w:type="dxa"/>
            <w:vAlign w:val="bottom"/>
            <w:gridSpan w:val="3"/>
          </w:tcPr>
          <w:p>
            <w:pPr>
              <w:jc w:val="right"/>
              <w:ind w:right="320"/>
              <w:spacing w:after="0" w:line="99" w:lineRule="exact"/>
              <w:rPr>
                <w:sz w:val="20"/>
                <w:szCs w:val="20"/>
                <w:color w:val="auto"/>
              </w:rPr>
            </w:pPr>
            <w:r>
              <w:rPr>
                <w:rFonts w:ascii="Arial" w:cs="Arial" w:eastAsia="Arial" w:hAnsi="Arial"/>
                <w:sz w:val="9"/>
                <w:szCs w:val="9"/>
                <w:b w:val="1"/>
                <w:bCs w:val="1"/>
                <w:color w:val="auto"/>
              </w:rPr>
              <w:t>Average Asking</w:t>
            </w:r>
          </w:p>
        </w:tc>
        <w:tc>
          <w:tcPr>
            <w:tcW w:w="68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Expiring</w:t>
            </w:r>
          </w:p>
        </w:tc>
        <w:tc>
          <w:tcPr>
            <w:tcW w:w="88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Footage of</w:t>
            </w:r>
          </w:p>
        </w:tc>
        <w:tc>
          <w:tcPr>
            <w:tcW w:w="52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of Total</w:t>
            </w:r>
          </w:p>
        </w:tc>
        <w:tc>
          <w:tcPr>
            <w:tcW w:w="80" w:type="dxa"/>
            <w:vAlign w:val="bottom"/>
          </w:tcPr>
          <w:p>
            <w:pPr>
              <w:spacing w:after="0"/>
              <w:rPr>
                <w:sz w:val="8"/>
                <w:szCs w:val="8"/>
                <w:color w:val="auto"/>
              </w:rPr>
            </w:pPr>
          </w:p>
        </w:tc>
        <w:tc>
          <w:tcPr>
            <w:tcW w:w="76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w w:val="97"/>
              </w:rPr>
              <w:t>Rent of Expiring</w:t>
            </w:r>
          </w:p>
        </w:tc>
        <w:tc>
          <w:tcPr>
            <w:tcW w:w="14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 of Expiring</w:t>
            </w:r>
          </w:p>
        </w:tc>
        <w:tc>
          <w:tcPr>
            <w:tcW w:w="7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w w:val="99"/>
              </w:rPr>
              <w:t>Average Asking</w:t>
            </w:r>
          </w:p>
        </w:tc>
      </w:tr>
      <w:tr>
        <w:trPr>
          <w:trHeight w:val="124"/>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Expiration</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(2)</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Leases</w:t>
            </w: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Sq. Ft.</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Leases</w:t>
            </w: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$/psf (3)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Rent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4"/>
              </w:rPr>
              <w:t>/psf (4)</w:t>
            </w:r>
          </w:p>
        </w:tc>
        <w:tc>
          <w:tcPr>
            <w:tcW w:w="300" w:type="dxa"/>
            <w:vAlign w:val="bottom"/>
          </w:tcPr>
          <w:p>
            <w:pPr>
              <w:spacing w:after="0"/>
              <w:rPr>
                <w:sz w:val="10"/>
                <w:szCs w:val="10"/>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Leases (2)</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Expiring Leases</w:t>
            </w: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Sq. Ft.</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Leases</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$/psf (3)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Rent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4"/>
              </w:rPr>
              <w:t>/psf (4)</w:t>
            </w:r>
          </w:p>
        </w:tc>
      </w:tr>
      <w:tr>
        <w:trPr>
          <w:trHeight w:val="270"/>
        </w:trPr>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1st Quarter</w:t>
            </w: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105"/>
        </w:trPr>
        <w:tc>
          <w:tcPr>
            <w:tcW w:w="50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14</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40,895</w:t>
            </w:r>
          </w:p>
        </w:tc>
        <w:tc>
          <w:tcPr>
            <w:tcW w:w="520" w:type="dxa"/>
            <w:vAlign w:val="bottom"/>
          </w:tcPr>
          <w:p>
            <w:pPr>
              <w:jc w:val="right"/>
              <w:spacing w:after="0"/>
              <w:rPr>
                <w:sz w:val="20"/>
                <w:szCs w:val="20"/>
                <w:color w:val="auto"/>
              </w:rPr>
            </w:pPr>
            <w:r>
              <w:rPr>
                <w:rFonts w:ascii="Arial" w:cs="Arial" w:eastAsia="Arial" w:hAnsi="Arial"/>
                <w:sz w:val="9"/>
                <w:szCs w:val="9"/>
                <w:color w:val="auto"/>
              </w:rPr>
              <w:t>1.25%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1,442,293</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35.27</w:t>
            </w:r>
          </w:p>
        </w:tc>
        <w:tc>
          <w:tcPr>
            <w:tcW w:w="420" w:type="dxa"/>
            <w:vAlign w:val="bottom"/>
          </w:tcPr>
          <w:p>
            <w:pPr>
              <w:jc w:val="right"/>
              <w:ind w:right="316"/>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color w:val="auto"/>
              </w:rPr>
              <w:t>39.50</w:t>
            </w:r>
          </w:p>
        </w:tc>
        <w:tc>
          <w:tcPr>
            <w:tcW w:w="300" w:type="dxa"/>
            <w:vAlign w:val="bottom"/>
          </w:tcPr>
          <w:p>
            <w:pPr>
              <w:spacing w:after="0"/>
              <w:rPr>
                <w:sz w:val="9"/>
                <w:szCs w:val="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4,060</w:t>
            </w:r>
          </w:p>
        </w:tc>
        <w:tc>
          <w:tcPr>
            <w:tcW w:w="520" w:type="dxa"/>
            <w:vAlign w:val="bottom"/>
          </w:tcPr>
          <w:p>
            <w:pPr>
              <w:jc w:val="right"/>
              <w:spacing w:after="0"/>
              <w:rPr>
                <w:sz w:val="20"/>
                <w:szCs w:val="20"/>
                <w:color w:val="auto"/>
              </w:rPr>
            </w:pPr>
            <w:r>
              <w:rPr>
                <w:rFonts w:ascii="Arial" w:cs="Arial" w:eastAsia="Arial" w:hAnsi="Arial"/>
                <w:sz w:val="9"/>
                <w:szCs w:val="9"/>
                <w:color w:val="auto"/>
              </w:rPr>
              <w:t>0.91%</w:t>
            </w: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116,797</w:t>
            </w: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28.77</w:t>
            </w:r>
          </w:p>
        </w:tc>
        <w:tc>
          <w:tcPr>
            <w:tcW w:w="400" w:type="dxa"/>
            <w:vAlign w:val="bottom"/>
          </w:tcPr>
          <w:p>
            <w:pPr>
              <w:jc w:val="right"/>
              <w:ind w:right="296"/>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135"/>
        </w:trPr>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w w:val="95"/>
              </w:rPr>
              <w:t>2nd Quarter</w:t>
            </w: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05"/>
        </w:trPr>
        <w:tc>
          <w:tcPr>
            <w:tcW w:w="50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22,767</w:t>
            </w:r>
          </w:p>
        </w:tc>
        <w:tc>
          <w:tcPr>
            <w:tcW w:w="520" w:type="dxa"/>
            <w:vAlign w:val="bottom"/>
          </w:tcPr>
          <w:p>
            <w:pPr>
              <w:jc w:val="right"/>
              <w:spacing w:after="0"/>
              <w:rPr>
                <w:sz w:val="20"/>
                <w:szCs w:val="20"/>
                <w:color w:val="auto"/>
              </w:rPr>
            </w:pPr>
            <w:r>
              <w:rPr>
                <w:rFonts w:ascii="Arial" w:cs="Arial" w:eastAsia="Arial" w:hAnsi="Arial"/>
                <w:sz w:val="9"/>
                <w:szCs w:val="9"/>
                <w:color w:val="auto"/>
              </w:rPr>
              <w:t>0.70%</w:t>
            </w:r>
          </w:p>
        </w:tc>
        <w:tc>
          <w:tcPr>
            <w:tcW w:w="100" w:type="dxa"/>
            <w:vAlign w:val="bottom"/>
          </w:tcPr>
          <w:p>
            <w:pPr>
              <w:spacing w:after="0"/>
              <w:rPr>
                <w:sz w:val="9"/>
                <w:szCs w:val="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962,954</w:t>
            </w: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42.30</w:t>
            </w:r>
          </w:p>
        </w:tc>
        <w:tc>
          <w:tcPr>
            <w:tcW w:w="4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44.08</w:t>
            </w:r>
          </w:p>
        </w:tc>
        <w:tc>
          <w:tcPr>
            <w:tcW w:w="300" w:type="dxa"/>
            <w:vAlign w:val="bottom"/>
          </w:tcPr>
          <w:p>
            <w:pPr>
              <w:spacing w:after="0"/>
              <w:rPr>
                <w:sz w:val="9"/>
                <w:szCs w:val="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w w:val="99"/>
              </w:rPr>
              <w:t>3rd Quarter</w:t>
            </w: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05"/>
        </w:trPr>
        <w:tc>
          <w:tcPr>
            <w:tcW w:w="500" w:type="dxa"/>
            <w:vAlign w:val="bottom"/>
          </w:tcPr>
          <w:p>
            <w:pPr>
              <w:jc w:val="right"/>
              <w:spacing w:after="0"/>
              <w:rPr>
                <w:sz w:val="20"/>
                <w:szCs w:val="20"/>
                <w:color w:val="auto"/>
              </w:rPr>
            </w:pPr>
            <w:r>
              <w:rPr>
                <w:rFonts w:ascii="Arial" w:cs="Arial" w:eastAsia="Arial" w:hAnsi="Arial"/>
                <w:sz w:val="9"/>
                <w:szCs w:val="9"/>
                <w:color w:val="auto"/>
              </w:rPr>
              <w:t>2016</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13</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48,031</w:t>
            </w:r>
          </w:p>
        </w:tc>
        <w:tc>
          <w:tcPr>
            <w:tcW w:w="520" w:type="dxa"/>
            <w:vAlign w:val="bottom"/>
          </w:tcPr>
          <w:p>
            <w:pPr>
              <w:jc w:val="right"/>
              <w:spacing w:after="0"/>
              <w:rPr>
                <w:sz w:val="20"/>
                <w:szCs w:val="20"/>
                <w:color w:val="auto"/>
              </w:rPr>
            </w:pPr>
            <w:r>
              <w:rPr>
                <w:rFonts w:ascii="Arial" w:cs="Arial" w:eastAsia="Arial" w:hAnsi="Arial"/>
                <w:sz w:val="9"/>
                <w:szCs w:val="9"/>
                <w:color w:val="auto"/>
              </w:rPr>
              <w:t>1.47%</w:t>
            </w:r>
          </w:p>
        </w:tc>
        <w:tc>
          <w:tcPr>
            <w:tcW w:w="100" w:type="dxa"/>
            <w:vAlign w:val="bottom"/>
          </w:tcPr>
          <w:p>
            <w:pPr>
              <w:spacing w:after="0"/>
              <w:rPr>
                <w:sz w:val="9"/>
                <w:szCs w:val="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1,655,229</w:t>
            </w: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34.46</w:t>
            </w:r>
          </w:p>
        </w:tc>
        <w:tc>
          <w:tcPr>
            <w:tcW w:w="4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38.20</w:t>
            </w:r>
          </w:p>
        </w:tc>
        <w:tc>
          <w:tcPr>
            <w:tcW w:w="300" w:type="dxa"/>
            <w:vAlign w:val="bottom"/>
          </w:tcPr>
          <w:p>
            <w:pPr>
              <w:spacing w:after="0"/>
              <w:rPr>
                <w:sz w:val="9"/>
                <w:szCs w:val="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4th Quarter</w:t>
            </w: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14"/>
        </w:trPr>
        <w:tc>
          <w:tcPr>
            <w:tcW w:w="500" w:type="dxa"/>
            <w:vAlign w:val="bottom"/>
          </w:tcPr>
          <w:p>
            <w:pPr>
              <w:jc w:val="right"/>
              <w:spacing w:after="0"/>
              <w:rPr>
                <w:sz w:val="20"/>
                <w:szCs w:val="20"/>
                <w:color w:val="auto"/>
              </w:rPr>
            </w:pPr>
            <w:r>
              <w:rPr>
                <w:rFonts w:ascii="Arial" w:cs="Arial" w:eastAsia="Arial" w:hAnsi="Arial"/>
                <w:sz w:val="9"/>
                <w:szCs w:val="9"/>
                <w:color w:val="auto"/>
              </w:rPr>
              <w:t>2016</w:t>
            </w:r>
          </w:p>
        </w:tc>
        <w:tc>
          <w:tcPr>
            <w:tcW w:w="10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56,323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1.72%</w:t>
            </w: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2,140,083</w:t>
            </w: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38.00</w:t>
            </w:r>
          </w:p>
        </w:tc>
        <w:tc>
          <w:tcPr>
            <w:tcW w:w="4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39.69</w:t>
            </w:r>
          </w:p>
        </w:tc>
        <w:tc>
          <w:tcPr>
            <w:tcW w:w="300" w:type="dxa"/>
            <w:vAlign w:val="bottom"/>
          </w:tcPr>
          <w:p>
            <w:pPr>
              <w:spacing w:after="0"/>
              <w:rPr>
                <w:sz w:val="9"/>
                <w:szCs w:val="9"/>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r>
      <w:tr>
        <w:trPr>
          <w:trHeight w:val="386"/>
        </w:trPr>
        <w:tc>
          <w:tcPr>
            <w:tcW w:w="60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Total 2016</w:t>
            </w: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rPr>
              <w:t>42</w:t>
            </w:r>
          </w:p>
        </w:tc>
        <w:tc>
          <w:tcPr>
            <w:tcW w:w="980" w:type="dxa"/>
            <w:vAlign w:val="bottom"/>
          </w:tcPr>
          <w:p>
            <w:pPr>
              <w:jc w:val="right"/>
              <w:ind w:right="76"/>
              <w:spacing w:after="0"/>
              <w:rPr>
                <w:sz w:val="20"/>
                <w:szCs w:val="20"/>
                <w:color w:val="auto"/>
              </w:rPr>
            </w:pPr>
            <w:r>
              <w:rPr>
                <w:rFonts w:ascii="Arial" w:cs="Arial" w:eastAsia="Arial" w:hAnsi="Arial"/>
                <w:sz w:val="9"/>
                <w:szCs w:val="9"/>
                <w:b w:val="1"/>
                <w:bCs w:val="1"/>
                <w:color w:val="auto"/>
              </w:rPr>
              <w:t>168,016</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5.14%</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tcPr>
          <w:p>
            <w:pPr>
              <w:jc w:val="right"/>
              <w:ind w:right="16"/>
              <w:spacing w:after="0"/>
              <w:rPr>
                <w:sz w:val="20"/>
                <w:szCs w:val="20"/>
                <w:color w:val="auto"/>
              </w:rPr>
            </w:pPr>
            <w:r>
              <w:rPr>
                <w:rFonts w:ascii="Arial" w:cs="Arial" w:eastAsia="Arial" w:hAnsi="Arial"/>
                <w:sz w:val="9"/>
                <w:szCs w:val="9"/>
                <w:b w:val="1"/>
                <w:bCs w:val="1"/>
                <w:color w:val="auto"/>
              </w:rPr>
              <w:t>6,200,559</w:t>
            </w:r>
          </w:p>
        </w:tc>
        <w:tc>
          <w:tcPr>
            <w:tcW w:w="1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36.90</w:t>
            </w:r>
          </w:p>
        </w:tc>
        <w:tc>
          <w:tcPr>
            <w:tcW w:w="420" w:type="dxa"/>
            <w:vAlign w:val="bottom"/>
          </w:tcPr>
          <w:p>
            <w:pPr>
              <w:jc w:val="right"/>
              <w:ind w:right="316"/>
              <w:spacing w:after="0"/>
              <w:rPr>
                <w:sz w:val="20"/>
                <w:szCs w:val="20"/>
                <w:color w:val="auto"/>
              </w:rPr>
            </w:pPr>
            <w:r>
              <w:rPr>
                <w:rFonts w:ascii="Arial" w:cs="Arial" w:eastAsia="Arial" w:hAnsi="Arial"/>
                <w:sz w:val="9"/>
                <w:szCs w:val="9"/>
                <w:b w:val="1"/>
                <w:bCs w:val="1"/>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39.81</w:t>
            </w:r>
          </w:p>
        </w:tc>
        <w:tc>
          <w:tcPr>
            <w:tcW w:w="300" w:type="dxa"/>
            <w:vAlign w:val="bottom"/>
          </w:tcPr>
          <w:p>
            <w:pPr>
              <w:spacing w:after="0"/>
              <w:rPr>
                <w:sz w:val="24"/>
                <w:szCs w:val="24"/>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b w:val="1"/>
                <w:bCs w:val="1"/>
                <w:color w:val="auto"/>
              </w:rPr>
              <w:t>4,060</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0.91%</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Pr>
          <w:p>
            <w:pPr>
              <w:jc w:val="right"/>
              <w:ind w:right="16"/>
              <w:spacing w:after="0"/>
              <w:rPr>
                <w:sz w:val="20"/>
                <w:szCs w:val="20"/>
                <w:color w:val="auto"/>
              </w:rPr>
            </w:pPr>
            <w:r>
              <w:rPr>
                <w:rFonts w:ascii="Arial" w:cs="Arial" w:eastAsia="Arial" w:hAnsi="Arial"/>
                <w:sz w:val="9"/>
                <w:szCs w:val="9"/>
                <w:b w:val="1"/>
                <w:bCs w:val="1"/>
                <w:color w:val="auto"/>
              </w:rPr>
              <w:t>116,797</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28.77</w:t>
            </w:r>
          </w:p>
        </w:tc>
        <w:tc>
          <w:tcPr>
            <w:tcW w:w="400" w:type="dxa"/>
            <w:vAlign w:val="bottom"/>
          </w:tcPr>
          <w:p>
            <w:pPr>
              <w:jc w:val="right"/>
              <w:ind w:right="296"/>
              <w:spacing w:after="0"/>
              <w:rPr>
                <w:sz w:val="20"/>
                <w:szCs w:val="20"/>
                <w:color w:val="auto"/>
              </w:rPr>
            </w:pPr>
            <w:r>
              <w:rPr>
                <w:rFonts w:ascii="Arial" w:cs="Arial" w:eastAsia="Arial" w:hAnsi="Arial"/>
                <w:sz w:val="9"/>
                <w:szCs w:val="9"/>
                <w:b w:val="1"/>
                <w:bCs w:val="1"/>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36.00</w:t>
            </w:r>
          </w:p>
        </w:tc>
      </w:tr>
      <w:tr>
        <w:trPr>
          <w:trHeight w:val="404"/>
        </w:trPr>
        <w:tc>
          <w:tcPr>
            <w:tcW w:w="500" w:type="dxa"/>
            <w:vAlign w:val="bottom"/>
          </w:tcPr>
          <w:p>
            <w:pPr>
              <w:jc w:val="right"/>
              <w:spacing w:after="0"/>
              <w:rPr>
                <w:sz w:val="20"/>
                <w:szCs w:val="20"/>
                <w:color w:val="auto"/>
              </w:rPr>
            </w:pPr>
            <w:r>
              <w:rPr>
                <w:rFonts w:ascii="Arial" w:cs="Arial" w:eastAsia="Arial" w:hAnsi="Arial"/>
                <w:sz w:val="9"/>
                <w:szCs w:val="9"/>
                <w:color w:val="auto"/>
              </w:rPr>
              <w:t>2017</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46</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243,344</w:t>
            </w:r>
          </w:p>
        </w:tc>
        <w:tc>
          <w:tcPr>
            <w:tcW w:w="520" w:type="dxa"/>
            <w:vAlign w:val="bottom"/>
          </w:tcPr>
          <w:p>
            <w:pPr>
              <w:jc w:val="right"/>
              <w:spacing w:after="0"/>
              <w:rPr>
                <w:sz w:val="20"/>
                <w:szCs w:val="20"/>
                <w:color w:val="auto"/>
              </w:rPr>
            </w:pPr>
            <w:r>
              <w:rPr>
                <w:rFonts w:ascii="Arial" w:cs="Arial" w:eastAsia="Arial" w:hAnsi="Arial"/>
                <w:sz w:val="9"/>
                <w:szCs w:val="9"/>
                <w:color w:val="auto"/>
              </w:rPr>
              <w:t>7.44%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9,467,904</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38.91</w:t>
            </w:r>
          </w:p>
        </w:tc>
        <w:tc>
          <w:tcPr>
            <w:tcW w:w="420" w:type="dxa"/>
            <w:vAlign w:val="bottom"/>
          </w:tcPr>
          <w:p>
            <w:pPr>
              <w:jc w:val="right"/>
              <w:ind w:right="316"/>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color w:val="auto"/>
              </w:rPr>
              <w:t>41.24</w:t>
            </w:r>
          </w:p>
        </w:tc>
        <w:tc>
          <w:tcPr>
            <w:tcW w:w="300" w:type="dxa"/>
            <w:vAlign w:val="bottom"/>
          </w:tcPr>
          <w:p>
            <w:pPr>
              <w:spacing w:after="0"/>
              <w:rPr>
                <w:sz w:val="24"/>
                <w:szCs w:val="24"/>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6</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43,017</w:t>
            </w:r>
          </w:p>
        </w:tc>
        <w:tc>
          <w:tcPr>
            <w:tcW w:w="520" w:type="dxa"/>
            <w:vAlign w:val="bottom"/>
          </w:tcPr>
          <w:p>
            <w:pPr>
              <w:jc w:val="right"/>
              <w:spacing w:after="0"/>
              <w:rPr>
                <w:sz w:val="20"/>
                <w:szCs w:val="20"/>
                <w:color w:val="auto"/>
              </w:rPr>
            </w:pPr>
            <w:r>
              <w:rPr>
                <w:rFonts w:ascii="Arial" w:cs="Arial" w:eastAsia="Arial" w:hAnsi="Arial"/>
                <w:sz w:val="9"/>
                <w:szCs w:val="9"/>
                <w:color w:val="auto"/>
              </w:rPr>
              <w:t>9.64%</w:t>
            </w: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1,469,115</w:t>
            </w: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34.15</w:t>
            </w:r>
          </w:p>
        </w:tc>
        <w:tc>
          <w:tcPr>
            <w:tcW w:w="400" w:type="dxa"/>
            <w:vAlign w:val="bottom"/>
          </w:tcPr>
          <w:p>
            <w:pPr>
              <w:jc w:val="right"/>
              <w:ind w:right="296"/>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9"/>
                <w:szCs w:val="9"/>
                <w:color w:val="auto"/>
              </w:rPr>
              <w:t>34.52</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55</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279,603</w:t>
            </w:r>
          </w:p>
        </w:tc>
        <w:tc>
          <w:tcPr>
            <w:tcW w:w="520" w:type="dxa"/>
            <w:vAlign w:val="bottom"/>
          </w:tcPr>
          <w:p>
            <w:pPr>
              <w:jc w:val="right"/>
              <w:spacing w:after="0"/>
              <w:rPr>
                <w:sz w:val="20"/>
                <w:szCs w:val="20"/>
                <w:color w:val="auto"/>
              </w:rPr>
            </w:pPr>
            <w:r>
              <w:rPr>
                <w:rFonts w:ascii="Arial" w:cs="Arial" w:eastAsia="Arial" w:hAnsi="Arial"/>
                <w:sz w:val="9"/>
                <w:szCs w:val="9"/>
                <w:color w:val="auto"/>
              </w:rPr>
              <w:t>8.55%</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10,133,777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36.24</w:t>
            </w: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38.11</w:t>
            </w:r>
          </w:p>
        </w:tc>
        <w:tc>
          <w:tcPr>
            <w:tcW w:w="30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3</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54,052</w:t>
            </w:r>
          </w:p>
        </w:tc>
        <w:tc>
          <w:tcPr>
            <w:tcW w:w="520" w:type="dxa"/>
            <w:vAlign w:val="bottom"/>
          </w:tcPr>
          <w:p>
            <w:pPr>
              <w:jc w:val="right"/>
              <w:spacing w:after="0"/>
              <w:rPr>
                <w:sz w:val="20"/>
                <w:szCs w:val="20"/>
                <w:color w:val="auto"/>
              </w:rPr>
            </w:pPr>
            <w:r>
              <w:rPr>
                <w:rFonts w:ascii="Arial" w:cs="Arial" w:eastAsia="Arial" w:hAnsi="Arial"/>
                <w:sz w:val="9"/>
                <w:szCs w:val="9"/>
                <w:color w:val="auto"/>
              </w:rPr>
              <w:t>12.11%</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2,262,701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41.86</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2019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48</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466,613</w:t>
            </w:r>
          </w:p>
        </w:tc>
        <w:tc>
          <w:tcPr>
            <w:tcW w:w="520" w:type="dxa"/>
            <w:vAlign w:val="bottom"/>
          </w:tcPr>
          <w:p>
            <w:pPr>
              <w:jc w:val="right"/>
              <w:spacing w:after="0"/>
              <w:rPr>
                <w:sz w:val="20"/>
                <w:szCs w:val="20"/>
                <w:color w:val="auto"/>
              </w:rPr>
            </w:pPr>
            <w:r>
              <w:rPr>
                <w:rFonts w:ascii="Arial" w:cs="Arial" w:eastAsia="Arial" w:hAnsi="Arial"/>
                <w:sz w:val="9"/>
                <w:szCs w:val="9"/>
                <w:color w:val="auto"/>
              </w:rPr>
              <w:t>14.27%</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13,382,076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28.68</w:t>
            </w: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29.84</w:t>
            </w:r>
          </w:p>
        </w:tc>
        <w:tc>
          <w:tcPr>
            <w:tcW w:w="30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6</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31,879</w:t>
            </w:r>
          </w:p>
        </w:tc>
        <w:tc>
          <w:tcPr>
            <w:tcW w:w="520" w:type="dxa"/>
            <w:vAlign w:val="bottom"/>
          </w:tcPr>
          <w:p>
            <w:pPr>
              <w:jc w:val="right"/>
              <w:spacing w:after="0"/>
              <w:rPr>
                <w:sz w:val="20"/>
                <w:szCs w:val="20"/>
                <w:color w:val="auto"/>
              </w:rPr>
            </w:pPr>
            <w:r>
              <w:rPr>
                <w:rFonts w:ascii="Arial" w:cs="Arial" w:eastAsia="Arial" w:hAnsi="Arial"/>
                <w:sz w:val="9"/>
                <w:szCs w:val="9"/>
                <w:color w:val="auto"/>
              </w:rPr>
              <w:t>7.14%</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1,065,888</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33.44</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35</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303,619</w:t>
            </w:r>
          </w:p>
        </w:tc>
        <w:tc>
          <w:tcPr>
            <w:tcW w:w="520" w:type="dxa"/>
            <w:vAlign w:val="bottom"/>
          </w:tcPr>
          <w:p>
            <w:pPr>
              <w:jc w:val="right"/>
              <w:spacing w:after="0"/>
              <w:rPr>
                <w:sz w:val="20"/>
                <w:szCs w:val="20"/>
                <w:color w:val="auto"/>
              </w:rPr>
            </w:pPr>
            <w:r>
              <w:rPr>
                <w:rFonts w:ascii="Arial" w:cs="Arial" w:eastAsia="Arial" w:hAnsi="Arial"/>
                <w:sz w:val="9"/>
                <w:szCs w:val="9"/>
                <w:color w:val="auto"/>
              </w:rPr>
              <w:t>9.29%</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11,240,064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37.02</w:t>
            </w: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39.42</w:t>
            </w:r>
          </w:p>
        </w:tc>
        <w:tc>
          <w:tcPr>
            <w:tcW w:w="30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3</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38,562</w:t>
            </w:r>
          </w:p>
        </w:tc>
        <w:tc>
          <w:tcPr>
            <w:tcW w:w="520" w:type="dxa"/>
            <w:vAlign w:val="bottom"/>
          </w:tcPr>
          <w:p>
            <w:pPr>
              <w:jc w:val="right"/>
              <w:spacing w:after="0"/>
              <w:rPr>
                <w:sz w:val="20"/>
                <w:szCs w:val="20"/>
                <w:color w:val="auto"/>
              </w:rPr>
            </w:pPr>
            <w:r>
              <w:rPr>
                <w:rFonts w:ascii="Arial" w:cs="Arial" w:eastAsia="Arial" w:hAnsi="Arial"/>
                <w:sz w:val="9"/>
                <w:szCs w:val="9"/>
                <w:color w:val="auto"/>
              </w:rPr>
              <w:t>8.64%</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1,496,230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38.80</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40</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459,803</w:t>
            </w:r>
          </w:p>
        </w:tc>
        <w:tc>
          <w:tcPr>
            <w:tcW w:w="520" w:type="dxa"/>
            <w:vAlign w:val="bottom"/>
          </w:tcPr>
          <w:p>
            <w:pPr>
              <w:jc w:val="right"/>
              <w:spacing w:after="0"/>
              <w:rPr>
                <w:sz w:val="20"/>
                <w:szCs w:val="20"/>
                <w:color w:val="auto"/>
              </w:rPr>
            </w:pPr>
            <w:r>
              <w:rPr>
                <w:rFonts w:ascii="Arial" w:cs="Arial" w:eastAsia="Arial" w:hAnsi="Arial"/>
                <w:sz w:val="9"/>
                <w:szCs w:val="9"/>
                <w:color w:val="auto"/>
              </w:rPr>
              <w:t>14.07%</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14,111,938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30.69</w:t>
            </w: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32.17</w:t>
            </w:r>
          </w:p>
        </w:tc>
        <w:tc>
          <w:tcPr>
            <w:tcW w:w="30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5</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104,296</w:t>
            </w:r>
          </w:p>
        </w:tc>
        <w:tc>
          <w:tcPr>
            <w:tcW w:w="520" w:type="dxa"/>
            <w:vAlign w:val="bottom"/>
          </w:tcPr>
          <w:p>
            <w:pPr>
              <w:jc w:val="right"/>
              <w:spacing w:after="0"/>
              <w:rPr>
                <w:sz w:val="20"/>
                <w:szCs w:val="20"/>
                <w:color w:val="auto"/>
              </w:rPr>
            </w:pPr>
            <w:r>
              <w:rPr>
                <w:rFonts w:ascii="Arial" w:cs="Arial" w:eastAsia="Arial" w:hAnsi="Arial"/>
                <w:sz w:val="9"/>
                <w:szCs w:val="9"/>
                <w:color w:val="auto"/>
              </w:rPr>
              <w:t>23.37%</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3,787,392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36.31</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21</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115,584</w:t>
            </w:r>
          </w:p>
        </w:tc>
        <w:tc>
          <w:tcPr>
            <w:tcW w:w="520" w:type="dxa"/>
            <w:vAlign w:val="bottom"/>
          </w:tcPr>
          <w:p>
            <w:pPr>
              <w:jc w:val="right"/>
              <w:spacing w:after="0"/>
              <w:rPr>
                <w:sz w:val="20"/>
                <w:szCs w:val="20"/>
                <w:color w:val="auto"/>
              </w:rPr>
            </w:pPr>
            <w:r>
              <w:rPr>
                <w:rFonts w:ascii="Arial" w:cs="Arial" w:eastAsia="Arial" w:hAnsi="Arial"/>
                <w:sz w:val="9"/>
                <w:szCs w:val="9"/>
                <w:color w:val="auto"/>
              </w:rPr>
              <w:t>3.54%</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4,563,024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39.48</w:t>
            </w: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41.27</w:t>
            </w:r>
          </w:p>
        </w:tc>
        <w:tc>
          <w:tcPr>
            <w:tcW w:w="30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1</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16,383</w:t>
            </w:r>
          </w:p>
        </w:tc>
        <w:tc>
          <w:tcPr>
            <w:tcW w:w="520" w:type="dxa"/>
            <w:vAlign w:val="bottom"/>
          </w:tcPr>
          <w:p>
            <w:pPr>
              <w:jc w:val="right"/>
              <w:spacing w:after="0"/>
              <w:rPr>
                <w:sz w:val="20"/>
                <w:szCs w:val="20"/>
                <w:color w:val="auto"/>
              </w:rPr>
            </w:pPr>
            <w:r>
              <w:rPr>
                <w:rFonts w:ascii="Arial" w:cs="Arial" w:eastAsia="Arial" w:hAnsi="Arial"/>
                <w:sz w:val="9"/>
                <w:szCs w:val="9"/>
                <w:color w:val="auto"/>
              </w:rPr>
              <w:t>3.67%</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585,204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35.72</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171,862</w:t>
            </w:r>
          </w:p>
        </w:tc>
        <w:tc>
          <w:tcPr>
            <w:tcW w:w="520" w:type="dxa"/>
            <w:vAlign w:val="bottom"/>
          </w:tcPr>
          <w:p>
            <w:pPr>
              <w:jc w:val="right"/>
              <w:spacing w:after="0"/>
              <w:rPr>
                <w:sz w:val="20"/>
                <w:szCs w:val="20"/>
                <w:color w:val="auto"/>
              </w:rPr>
            </w:pPr>
            <w:r>
              <w:rPr>
                <w:rFonts w:ascii="Arial" w:cs="Arial" w:eastAsia="Arial" w:hAnsi="Arial"/>
                <w:sz w:val="9"/>
                <w:szCs w:val="9"/>
                <w:color w:val="auto"/>
              </w:rPr>
              <w:t>5.26%</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5,642,747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32.83</w:t>
            </w: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35.19</w:t>
            </w:r>
          </w:p>
        </w:tc>
        <w:tc>
          <w:tcPr>
            <w:tcW w:w="30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42,334</w:t>
            </w:r>
          </w:p>
        </w:tc>
        <w:tc>
          <w:tcPr>
            <w:tcW w:w="520" w:type="dxa"/>
            <w:vAlign w:val="bottom"/>
          </w:tcPr>
          <w:p>
            <w:pPr>
              <w:jc w:val="right"/>
              <w:spacing w:after="0"/>
              <w:rPr>
                <w:sz w:val="20"/>
                <w:szCs w:val="20"/>
                <w:color w:val="auto"/>
              </w:rPr>
            </w:pPr>
            <w:r>
              <w:rPr>
                <w:rFonts w:ascii="Arial" w:cs="Arial" w:eastAsia="Arial" w:hAnsi="Arial"/>
                <w:sz w:val="9"/>
                <w:szCs w:val="9"/>
                <w:color w:val="auto"/>
              </w:rPr>
              <w:t>9.48%</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1,422,001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33.59</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13</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207,798</w:t>
            </w:r>
          </w:p>
        </w:tc>
        <w:tc>
          <w:tcPr>
            <w:tcW w:w="520" w:type="dxa"/>
            <w:vAlign w:val="bottom"/>
          </w:tcPr>
          <w:p>
            <w:pPr>
              <w:jc w:val="right"/>
              <w:spacing w:after="0"/>
              <w:rPr>
                <w:sz w:val="20"/>
                <w:szCs w:val="20"/>
                <w:color w:val="auto"/>
              </w:rPr>
            </w:pPr>
            <w:r>
              <w:rPr>
                <w:rFonts w:ascii="Arial" w:cs="Arial" w:eastAsia="Arial" w:hAnsi="Arial"/>
                <w:sz w:val="9"/>
                <w:szCs w:val="9"/>
                <w:color w:val="auto"/>
              </w:rPr>
              <w:t>6.36%</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6,780,802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32.63</w:t>
            </w: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40.25</w:t>
            </w:r>
          </w:p>
        </w:tc>
        <w:tc>
          <w:tcPr>
            <w:tcW w:w="30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52,707</w:t>
            </w:r>
          </w:p>
        </w:tc>
        <w:tc>
          <w:tcPr>
            <w:tcW w:w="520" w:type="dxa"/>
            <w:vAlign w:val="bottom"/>
          </w:tcPr>
          <w:p>
            <w:pPr>
              <w:jc w:val="right"/>
              <w:spacing w:after="0"/>
              <w:rPr>
                <w:sz w:val="20"/>
                <w:szCs w:val="20"/>
                <w:color w:val="auto"/>
              </w:rPr>
            </w:pPr>
            <w:r>
              <w:rPr>
                <w:rFonts w:ascii="Arial" w:cs="Arial" w:eastAsia="Arial" w:hAnsi="Arial"/>
                <w:sz w:val="9"/>
                <w:szCs w:val="9"/>
                <w:color w:val="auto"/>
              </w:rPr>
              <w:t>11.81%</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1,798,161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34.12</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500" w:type="dxa"/>
            <w:vAlign w:val="bottom"/>
          </w:tcPr>
          <w:p>
            <w:pPr>
              <w:jc w:val="right"/>
              <w:spacing w:after="0"/>
              <w:rPr>
                <w:sz w:val="20"/>
                <w:szCs w:val="20"/>
                <w:color w:val="auto"/>
              </w:rPr>
            </w:pPr>
            <w:r>
              <w:rPr>
                <w:rFonts w:ascii="Arial" w:cs="Arial" w:eastAsia="Arial" w:hAnsi="Arial"/>
                <w:sz w:val="9"/>
                <w:szCs w:val="9"/>
                <w:color w:val="auto"/>
              </w:rPr>
              <w:t>2025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16</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167,698</w:t>
            </w:r>
          </w:p>
        </w:tc>
        <w:tc>
          <w:tcPr>
            <w:tcW w:w="520" w:type="dxa"/>
            <w:vAlign w:val="bottom"/>
          </w:tcPr>
          <w:p>
            <w:pPr>
              <w:jc w:val="right"/>
              <w:spacing w:after="0"/>
              <w:rPr>
                <w:sz w:val="20"/>
                <w:szCs w:val="20"/>
                <w:color w:val="auto"/>
              </w:rPr>
            </w:pPr>
            <w:r>
              <w:rPr>
                <w:rFonts w:ascii="Arial" w:cs="Arial" w:eastAsia="Arial" w:hAnsi="Arial"/>
                <w:sz w:val="9"/>
                <w:szCs w:val="9"/>
                <w:color w:val="auto"/>
              </w:rPr>
              <w:t>5.13%</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5,469,077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32.61</w:t>
            </w:r>
          </w:p>
        </w:tc>
        <w:tc>
          <w:tcPr>
            <w:tcW w:w="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33.99</w:t>
            </w:r>
          </w:p>
        </w:tc>
        <w:tc>
          <w:tcPr>
            <w:tcW w:w="30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9"/>
                <w:szCs w:val="9"/>
                <w:color w:val="auto"/>
              </w:rPr>
              <w:t>1</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1,729</w:t>
            </w:r>
          </w:p>
        </w:tc>
        <w:tc>
          <w:tcPr>
            <w:tcW w:w="520" w:type="dxa"/>
            <w:vAlign w:val="bottom"/>
          </w:tcPr>
          <w:p>
            <w:pPr>
              <w:jc w:val="right"/>
              <w:spacing w:after="0"/>
              <w:rPr>
                <w:sz w:val="20"/>
                <w:szCs w:val="20"/>
                <w:color w:val="auto"/>
              </w:rPr>
            </w:pPr>
            <w:r>
              <w:rPr>
                <w:rFonts w:ascii="Arial" w:cs="Arial" w:eastAsia="Arial" w:hAnsi="Arial"/>
                <w:sz w:val="9"/>
                <w:szCs w:val="9"/>
                <w:color w:val="auto"/>
              </w:rPr>
              <w:t>0.39%</w:t>
            </w:r>
          </w:p>
        </w:tc>
        <w:tc>
          <w:tcPr>
            <w:tcW w:w="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56,193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32.50</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27"/>
        </w:trPr>
        <w:tc>
          <w:tcPr>
            <w:tcW w:w="60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Thereafter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31</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684,877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20.95%</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21,924,528</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32.01</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33.81</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3</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57,340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12.85%</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1,821,657</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31.77</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35.93</w:t>
            </w:r>
          </w:p>
        </w:tc>
      </w:tr>
      <w:tr>
        <w:trPr>
          <w:trHeight w:val="209"/>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367</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3,268,817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108,916,496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33.32</w:t>
            </w:r>
          </w:p>
        </w:tc>
        <w:tc>
          <w:tcPr>
            <w:tcW w:w="420" w:type="dxa"/>
            <w:vAlign w:val="bottom"/>
            <w:tcBorders>
              <w:bottom w:val="single" w:sz="8" w:color="auto"/>
            </w:tcBorders>
          </w:tcPr>
          <w:p>
            <w:pPr>
              <w:jc w:val="right"/>
              <w:ind w:right="316"/>
              <w:spacing w:after="0"/>
              <w:rPr>
                <w:sz w:val="20"/>
                <w:szCs w:val="20"/>
                <w:color w:val="auto"/>
              </w:rPr>
            </w:pPr>
            <w:r>
              <w:rPr>
                <w:rFonts w:ascii="Arial" w:cs="Arial" w:eastAsia="Arial" w:hAnsi="Arial"/>
                <w:sz w:val="9"/>
                <w:szCs w:val="9"/>
                <w:b w:val="1"/>
                <w:bCs w:val="1"/>
                <w:color w:val="auto"/>
                <w:w w:val="78"/>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35.52</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34</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446,359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15,881,340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35.58</w:t>
            </w:r>
          </w:p>
        </w:tc>
        <w:tc>
          <w:tcPr>
            <w:tcW w:w="400" w:type="dxa"/>
            <w:vAlign w:val="bottom"/>
            <w:tcBorders>
              <w:bottom w:val="single" w:sz="8" w:color="auto"/>
            </w:tcBorders>
          </w:tcPr>
          <w:p>
            <w:pPr>
              <w:jc w:val="right"/>
              <w:ind w:right="296"/>
              <w:spacing w:after="0"/>
              <w:rPr>
                <w:sz w:val="20"/>
                <w:szCs w:val="20"/>
                <w:color w:val="auto"/>
              </w:rPr>
            </w:pPr>
            <w:r>
              <w:rPr>
                <w:rFonts w:ascii="Arial" w:cs="Arial" w:eastAsia="Arial" w:hAnsi="Arial"/>
                <w:sz w:val="9"/>
                <w:szCs w:val="9"/>
                <w:b w:val="1"/>
                <w:bCs w:val="1"/>
                <w:color w:val="auto"/>
                <w:w w:val="78"/>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35.85</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236220</wp:posOffset>
            </wp:positionV>
            <wp:extent cx="3629660" cy="5759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29660" cy="5759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80" w:hanging="140"/>
        <w:spacing w:after="0"/>
        <w:tabs>
          <w:tab w:leader="none" w:pos="680" w:val="left"/>
        </w:tabs>
        <w:numPr>
          <w:ilvl w:val="0"/>
          <w:numId w:val="32"/>
        </w:numPr>
        <w:rPr>
          <w:rFonts w:ascii="Arial" w:cs="Arial" w:eastAsia="Arial" w:hAnsi="Arial"/>
          <w:sz w:val="9"/>
          <w:szCs w:val="9"/>
          <w:color w:val="auto"/>
        </w:rPr>
      </w:pPr>
      <w:r>
        <w:rPr>
          <w:rFonts w:ascii="Arial" w:cs="Arial" w:eastAsia="Arial" w:hAnsi="Arial"/>
          <w:sz w:val="9"/>
          <w:szCs w:val="9"/>
          <w:color w:val="auto"/>
        </w:rPr>
        <w:t>Includes month to month holdover tenants that expired prior to June 30, 2016.</w:t>
      </w:r>
    </w:p>
    <w:p>
      <w:pPr>
        <w:spacing w:after="0" w:line="115" w:lineRule="exact"/>
        <w:rPr>
          <w:rFonts w:ascii="Arial" w:cs="Arial" w:eastAsia="Arial" w:hAnsi="Arial"/>
          <w:sz w:val="9"/>
          <w:szCs w:val="9"/>
          <w:color w:val="auto"/>
        </w:rPr>
      </w:pPr>
    </w:p>
    <w:p>
      <w:pPr>
        <w:ind w:left="680" w:hanging="140"/>
        <w:spacing w:after="0"/>
        <w:tabs>
          <w:tab w:leader="none" w:pos="680" w:val="left"/>
        </w:tabs>
        <w:numPr>
          <w:ilvl w:val="0"/>
          <w:numId w:val="32"/>
        </w:numPr>
        <w:rPr>
          <w:rFonts w:ascii="Arial" w:cs="Arial" w:eastAsia="Arial" w:hAnsi="Arial"/>
          <w:sz w:val="9"/>
          <w:szCs w:val="9"/>
          <w:color w:val="auto"/>
        </w:rPr>
      </w:pPr>
      <w:r>
        <w:rPr>
          <w:rFonts w:ascii="Arial" w:cs="Arial" w:eastAsia="Arial" w:hAnsi="Arial"/>
          <w:sz w:val="9"/>
          <w:szCs w:val="9"/>
          <w:color w:val="auto"/>
        </w:rPr>
        <w:t>Tenants may have multiple leases.</w:t>
      </w:r>
    </w:p>
    <w:p>
      <w:pPr>
        <w:spacing w:after="0" w:line="115" w:lineRule="exact"/>
        <w:rPr>
          <w:rFonts w:ascii="Arial" w:cs="Arial" w:eastAsia="Arial" w:hAnsi="Arial"/>
          <w:sz w:val="9"/>
          <w:szCs w:val="9"/>
          <w:color w:val="auto"/>
        </w:rPr>
      </w:pPr>
    </w:p>
    <w:p>
      <w:pPr>
        <w:ind w:left="680" w:hanging="140"/>
        <w:spacing w:after="0"/>
        <w:tabs>
          <w:tab w:leader="none" w:pos="680" w:val="left"/>
        </w:tabs>
        <w:numPr>
          <w:ilvl w:val="0"/>
          <w:numId w:val="32"/>
        </w:numPr>
        <w:rPr>
          <w:rFonts w:ascii="Arial" w:cs="Arial" w:eastAsia="Arial" w:hAnsi="Arial"/>
          <w:sz w:val="9"/>
          <w:szCs w:val="9"/>
          <w:color w:val="auto"/>
        </w:rPr>
      </w:pPr>
      <w:r>
        <w:rPr>
          <w:rFonts w:ascii="Arial" w:cs="Arial" w:eastAsia="Arial" w:hAnsi="Arial"/>
          <w:sz w:val="9"/>
          <w:szCs w:val="9"/>
          <w:color w:val="auto"/>
        </w:rPr>
        <w:t>Represents in place annualized rent allocated by year of expiration.</w:t>
      </w:r>
    </w:p>
    <w:p>
      <w:pPr>
        <w:spacing w:after="0" w:line="38" w:lineRule="exact"/>
        <w:rPr>
          <w:rFonts w:ascii="Arial" w:cs="Arial" w:eastAsia="Arial" w:hAnsi="Arial"/>
          <w:sz w:val="9"/>
          <w:szCs w:val="9"/>
          <w:color w:val="auto"/>
        </w:rPr>
      </w:pPr>
    </w:p>
    <w:p>
      <w:pPr>
        <w:ind w:left="540" w:right="4720"/>
        <w:spacing w:after="0" w:line="235" w:lineRule="auto"/>
        <w:tabs>
          <w:tab w:leader="none" w:pos="671" w:val="left"/>
        </w:tabs>
        <w:numPr>
          <w:ilvl w:val="0"/>
          <w:numId w:val="32"/>
        </w:numPr>
        <w:rPr>
          <w:rFonts w:ascii="Arial" w:cs="Arial" w:eastAsia="Arial" w:hAnsi="Arial"/>
          <w:sz w:val="9"/>
          <w:szCs w:val="9"/>
          <w:color w:val="auto"/>
        </w:rPr>
      </w:pPr>
      <w:r>
        <w:rPr>
          <w:rFonts w:ascii="Arial" w:cs="Arial" w:eastAsia="Arial" w:hAnsi="Arial"/>
          <w:sz w:val="9"/>
          <w:szCs w:val="9"/>
          <w:color w:val="auto"/>
        </w:rPr>
        <w:t>Management's estimate of current average asking rents for currently occupied space as of June 30, 2016. Taking rents are typically lower than asking rents and may vary from property to property.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47</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20"/>
          </w:cols>
          <w:pgMar w:left="900" w:top="338" w:right="879" w:bottom="1440" w:gutter="0" w:footer="0" w:header="0"/>
        </w:sectPr>
      </w:pPr>
    </w:p>
    <w:bookmarkStart w:id="64" w:name="page65"/>
    <w:bookmarkEnd w:id="6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ANNUAL 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Leases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0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9"/>
                <w:szCs w:val="9"/>
                <w:b w:val="1"/>
                <w:bCs w:val="1"/>
                <w:color w:val="auto"/>
              </w:rPr>
              <w:t>Consolidated Properties</w:t>
            </w: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9"/>
                <w:szCs w:val="9"/>
                <w:b w:val="1"/>
                <w:bCs w:val="1"/>
                <w:color w:val="auto"/>
              </w:rPr>
              <w:t>Joint Venture Properties</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w w:val="99"/>
              </w:rPr>
              <w:t>Annualized Cash</w:t>
            </w:r>
          </w:p>
        </w:tc>
        <w:tc>
          <w:tcPr>
            <w:tcW w:w="1060" w:type="dxa"/>
            <w:vAlign w:val="bottom"/>
            <w:gridSpan w:val="3"/>
          </w:tcPr>
          <w:p>
            <w:pPr>
              <w:jc w:val="right"/>
              <w:ind w:right="340"/>
              <w:spacing w:after="0"/>
              <w:rPr>
                <w:sz w:val="20"/>
                <w:szCs w:val="20"/>
                <w:color w:val="auto"/>
              </w:rPr>
            </w:pPr>
            <w:r>
              <w:rPr>
                <w:rFonts w:ascii="Arial" w:cs="Arial" w:eastAsia="Arial" w:hAnsi="Arial"/>
                <w:sz w:val="9"/>
                <w:szCs w:val="9"/>
                <w:b w:val="1"/>
                <w:bCs w:val="1"/>
                <w:color w:val="auto"/>
              </w:rPr>
              <w:t>Current</w:t>
            </w: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w w:val="96"/>
              </w:rPr>
              <w:t>Annualized Cash</w:t>
            </w:r>
          </w:p>
        </w:tc>
        <w:tc>
          <w:tcPr>
            <w:tcW w:w="720" w:type="dxa"/>
            <w:vAlign w:val="bottom"/>
            <w:gridSpan w:val="2"/>
          </w:tcPr>
          <w:p>
            <w:pPr>
              <w:jc w:val="right"/>
              <w:spacing w:after="0"/>
              <w:rPr>
                <w:sz w:val="20"/>
                <w:szCs w:val="20"/>
                <w:color w:val="auto"/>
              </w:rPr>
            </w:pPr>
            <w:r>
              <w:rPr>
                <w:rFonts w:ascii="Arial" w:cs="Arial" w:eastAsia="Arial" w:hAnsi="Arial"/>
                <w:sz w:val="9"/>
                <w:szCs w:val="9"/>
                <w:b w:val="1"/>
                <w:bCs w:val="1"/>
                <w:color w:val="auto"/>
              </w:rPr>
              <w:t>Current</w:t>
            </w:r>
          </w:p>
        </w:tc>
        <w:tc>
          <w:tcPr>
            <w:tcW w:w="0" w:type="dxa"/>
            <w:vAlign w:val="bottom"/>
          </w:tcPr>
          <w:p>
            <w:pPr>
              <w:spacing w:after="0"/>
              <w:rPr>
                <w:sz w:val="1"/>
                <w:szCs w:val="1"/>
                <w:color w:val="auto"/>
              </w:rPr>
            </w:pPr>
          </w:p>
        </w:tc>
      </w:tr>
      <w:tr>
        <w:trPr>
          <w:trHeight w:val="98"/>
        </w:trPr>
        <w:tc>
          <w:tcPr>
            <w:tcW w:w="600" w:type="dxa"/>
            <w:vAlign w:val="bottom"/>
          </w:tcPr>
          <w:p>
            <w:pPr>
              <w:jc w:val="right"/>
              <w:ind w:right="76"/>
              <w:spacing w:after="0" w:line="99" w:lineRule="exact"/>
              <w:rPr>
                <w:sz w:val="20"/>
                <w:szCs w:val="20"/>
                <w:color w:val="auto"/>
              </w:rPr>
            </w:pPr>
            <w:r>
              <w:rPr>
                <w:rFonts w:ascii="Arial" w:cs="Arial" w:eastAsia="Arial" w:hAnsi="Arial"/>
                <w:sz w:val="9"/>
                <w:szCs w:val="9"/>
                <w:b w:val="1"/>
                <w:bCs w:val="1"/>
                <w:color w:val="auto"/>
              </w:rPr>
              <w:t>Year of</w:t>
            </w:r>
          </w:p>
        </w:tc>
        <w:tc>
          <w:tcPr>
            <w:tcW w:w="6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Number of</w:t>
            </w:r>
          </w:p>
        </w:tc>
        <w:tc>
          <w:tcPr>
            <w:tcW w:w="1500" w:type="dxa"/>
            <w:vAlign w:val="bottom"/>
            <w:gridSpan w:val="2"/>
          </w:tcPr>
          <w:p>
            <w:pPr>
              <w:jc w:val="right"/>
              <w:ind w:right="56"/>
              <w:spacing w:after="0" w:line="99" w:lineRule="exact"/>
              <w:rPr>
                <w:sz w:val="20"/>
                <w:szCs w:val="20"/>
                <w:color w:val="auto"/>
              </w:rPr>
            </w:pPr>
            <w:r>
              <w:rPr>
                <w:rFonts w:ascii="Arial" w:cs="Arial" w:eastAsia="Arial" w:hAnsi="Arial"/>
                <w:sz w:val="9"/>
                <w:szCs w:val="9"/>
                <w:b w:val="1"/>
                <w:bCs w:val="1"/>
                <w:color w:val="auto"/>
              </w:rPr>
              <w:t>Rentable Square Percentage</w:t>
            </w:r>
          </w:p>
        </w:tc>
        <w:tc>
          <w:tcPr>
            <w:tcW w:w="100" w:type="dxa"/>
            <w:vAlign w:val="bottom"/>
          </w:tcPr>
          <w:p>
            <w:pPr>
              <w:spacing w:after="0"/>
              <w:rPr>
                <w:sz w:val="8"/>
                <w:szCs w:val="8"/>
                <w:color w:val="auto"/>
              </w:rPr>
            </w:pPr>
          </w:p>
        </w:tc>
        <w:tc>
          <w:tcPr>
            <w:tcW w:w="80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w w:val="99"/>
              </w:rPr>
              <w:t>Annualized Cash</w:t>
            </w:r>
          </w:p>
        </w:tc>
        <w:tc>
          <w:tcPr>
            <w:tcW w:w="16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Rent Per Square</w:t>
            </w:r>
          </w:p>
        </w:tc>
        <w:tc>
          <w:tcPr>
            <w:tcW w:w="1060" w:type="dxa"/>
            <w:vAlign w:val="bottom"/>
            <w:gridSpan w:val="3"/>
          </w:tcPr>
          <w:p>
            <w:pPr>
              <w:jc w:val="right"/>
              <w:ind w:right="340"/>
              <w:spacing w:after="0" w:line="99" w:lineRule="exact"/>
              <w:rPr>
                <w:sz w:val="20"/>
                <w:szCs w:val="20"/>
                <w:color w:val="auto"/>
              </w:rPr>
            </w:pPr>
            <w:r>
              <w:rPr>
                <w:rFonts w:ascii="Arial" w:cs="Arial" w:eastAsia="Arial" w:hAnsi="Arial"/>
                <w:sz w:val="9"/>
                <w:szCs w:val="9"/>
                <w:b w:val="1"/>
                <w:bCs w:val="1"/>
                <w:color w:val="auto"/>
              </w:rPr>
              <w:t>Weighted</w:t>
            </w:r>
          </w:p>
        </w:tc>
        <w:tc>
          <w:tcPr>
            <w:tcW w:w="66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Number of</w:t>
            </w:r>
          </w:p>
        </w:tc>
        <w:tc>
          <w:tcPr>
            <w:tcW w:w="1400" w:type="dxa"/>
            <w:vAlign w:val="bottom"/>
            <w:gridSpan w:val="2"/>
          </w:tcPr>
          <w:p>
            <w:pPr>
              <w:jc w:val="right"/>
              <w:ind w:right="56"/>
              <w:spacing w:after="0" w:line="99" w:lineRule="exact"/>
              <w:rPr>
                <w:sz w:val="20"/>
                <w:szCs w:val="20"/>
                <w:color w:val="auto"/>
              </w:rPr>
            </w:pPr>
            <w:r>
              <w:rPr>
                <w:rFonts w:ascii="Arial" w:cs="Arial" w:eastAsia="Arial" w:hAnsi="Arial"/>
                <w:sz w:val="9"/>
                <w:szCs w:val="9"/>
                <w:b w:val="1"/>
                <w:bCs w:val="1"/>
                <w:color w:val="auto"/>
              </w:rPr>
              <w:t>Rentable Square Percentage</w:t>
            </w:r>
          </w:p>
        </w:tc>
        <w:tc>
          <w:tcPr>
            <w:tcW w:w="80" w:type="dxa"/>
            <w:vAlign w:val="bottom"/>
          </w:tcPr>
          <w:p>
            <w:pPr>
              <w:spacing w:after="0"/>
              <w:rPr>
                <w:sz w:val="8"/>
                <w:szCs w:val="8"/>
                <w:color w:val="auto"/>
              </w:rPr>
            </w:pPr>
          </w:p>
        </w:tc>
        <w:tc>
          <w:tcPr>
            <w:tcW w:w="78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w w:val="93"/>
              </w:rPr>
              <w:t>Annualized Cash</w:t>
            </w:r>
          </w:p>
        </w:tc>
        <w:tc>
          <w:tcPr>
            <w:tcW w:w="12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9"/>
              </w:rPr>
              <w:t>Rent Per Square</w:t>
            </w:r>
          </w:p>
        </w:tc>
        <w:tc>
          <w:tcPr>
            <w:tcW w:w="7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Weighted</w:t>
            </w:r>
          </w:p>
        </w:tc>
        <w:tc>
          <w:tcPr>
            <w:tcW w:w="0" w:type="dxa"/>
            <w:vAlign w:val="bottom"/>
          </w:tcPr>
          <w:p>
            <w:pPr>
              <w:spacing w:after="0"/>
              <w:rPr>
                <w:sz w:val="1"/>
                <w:szCs w:val="1"/>
                <w:color w:val="auto"/>
              </w:rPr>
            </w:pPr>
          </w:p>
        </w:tc>
      </w:tr>
      <w:tr>
        <w:trPr>
          <w:trHeight w:val="98"/>
        </w:trPr>
        <w:tc>
          <w:tcPr>
            <w:tcW w:w="600" w:type="dxa"/>
            <w:vAlign w:val="bottom"/>
          </w:tcPr>
          <w:p>
            <w:pPr>
              <w:jc w:val="right"/>
              <w:ind w:right="76"/>
              <w:spacing w:after="0" w:line="99" w:lineRule="exact"/>
              <w:rPr>
                <w:sz w:val="20"/>
                <w:szCs w:val="20"/>
                <w:color w:val="auto"/>
              </w:rPr>
            </w:pPr>
            <w:r>
              <w:rPr>
                <w:rFonts w:ascii="Arial" w:cs="Arial" w:eastAsia="Arial" w:hAnsi="Arial"/>
                <w:sz w:val="9"/>
                <w:szCs w:val="9"/>
                <w:b w:val="1"/>
                <w:bCs w:val="1"/>
                <w:color w:val="auto"/>
              </w:rPr>
              <w:t>Lease</w:t>
            </w:r>
          </w:p>
        </w:tc>
        <w:tc>
          <w:tcPr>
            <w:tcW w:w="6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Expiring</w:t>
            </w:r>
          </w:p>
        </w:tc>
        <w:tc>
          <w:tcPr>
            <w:tcW w:w="980" w:type="dxa"/>
            <w:vAlign w:val="bottom"/>
          </w:tcPr>
          <w:p>
            <w:pPr>
              <w:jc w:val="right"/>
              <w:ind w:right="76"/>
              <w:spacing w:after="0" w:line="99" w:lineRule="exact"/>
              <w:rPr>
                <w:sz w:val="20"/>
                <w:szCs w:val="20"/>
                <w:color w:val="auto"/>
              </w:rPr>
            </w:pPr>
            <w:r>
              <w:rPr>
                <w:rFonts w:ascii="Arial" w:cs="Arial" w:eastAsia="Arial" w:hAnsi="Arial"/>
                <w:sz w:val="9"/>
                <w:szCs w:val="9"/>
                <w:b w:val="1"/>
                <w:bCs w:val="1"/>
                <w:color w:val="auto"/>
                <w:w w:val="99"/>
              </w:rPr>
              <w:t>Footage of Expiring</w:t>
            </w:r>
          </w:p>
        </w:tc>
        <w:tc>
          <w:tcPr>
            <w:tcW w:w="52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of Total</w:t>
            </w:r>
          </w:p>
        </w:tc>
        <w:tc>
          <w:tcPr>
            <w:tcW w:w="100" w:type="dxa"/>
            <w:vAlign w:val="bottom"/>
          </w:tcPr>
          <w:p>
            <w:pPr>
              <w:spacing w:after="0"/>
              <w:rPr>
                <w:sz w:val="8"/>
                <w:szCs w:val="8"/>
                <w:color w:val="auto"/>
              </w:rPr>
            </w:pPr>
          </w:p>
        </w:tc>
        <w:tc>
          <w:tcPr>
            <w:tcW w:w="80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rPr>
              <w:t>Rent of Expiring</w:t>
            </w:r>
          </w:p>
        </w:tc>
        <w:tc>
          <w:tcPr>
            <w:tcW w:w="16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 of Expiring</w:t>
            </w:r>
          </w:p>
        </w:tc>
        <w:tc>
          <w:tcPr>
            <w:tcW w:w="1060" w:type="dxa"/>
            <w:vAlign w:val="bottom"/>
            <w:gridSpan w:val="3"/>
          </w:tcPr>
          <w:p>
            <w:pPr>
              <w:jc w:val="right"/>
              <w:ind w:right="340"/>
              <w:spacing w:after="0" w:line="99" w:lineRule="exact"/>
              <w:rPr>
                <w:sz w:val="20"/>
                <w:szCs w:val="20"/>
                <w:color w:val="auto"/>
              </w:rPr>
            </w:pPr>
            <w:r>
              <w:rPr>
                <w:rFonts w:ascii="Arial" w:cs="Arial" w:eastAsia="Arial" w:hAnsi="Arial"/>
                <w:sz w:val="9"/>
                <w:szCs w:val="9"/>
                <w:b w:val="1"/>
                <w:bCs w:val="1"/>
                <w:color w:val="auto"/>
              </w:rPr>
              <w:t>Average Asking</w:t>
            </w:r>
          </w:p>
        </w:tc>
        <w:tc>
          <w:tcPr>
            <w:tcW w:w="66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Expiring</w:t>
            </w:r>
          </w:p>
        </w:tc>
        <w:tc>
          <w:tcPr>
            <w:tcW w:w="88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Footage of</w:t>
            </w:r>
          </w:p>
        </w:tc>
        <w:tc>
          <w:tcPr>
            <w:tcW w:w="52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of Total</w:t>
            </w:r>
          </w:p>
        </w:tc>
        <w:tc>
          <w:tcPr>
            <w:tcW w:w="80" w:type="dxa"/>
            <w:vAlign w:val="bottom"/>
          </w:tcPr>
          <w:p>
            <w:pPr>
              <w:spacing w:after="0"/>
              <w:rPr>
                <w:sz w:val="8"/>
                <w:szCs w:val="8"/>
                <w:color w:val="auto"/>
              </w:rPr>
            </w:pPr>
          </w:p>
        </w:tc>
        <w:tc>
          <w:tcPr>
            <w:tcW w:w="78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w w:val="97"/>
              </w:rPr>
              <w:t>Rent of Expiring</w:t>
            </w:r>
          </w:p>
        </w:tc>
        <w:tc>
          <w:tcPr>
            <w:tcW w:w="12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 of Expiring</w:t>
            </w:r>
          </w:p>
        </w:tc>
        <w:tc>
          <w:tcPr>
            <w:tcW w:w="7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w w:val="99"/>
              </w:rPr>
              <w:t>Average Asking</w:t>
            </w:r>
          </w:p>
        </w:tc>
        <w:tc>
          <w:tcPr>
            <w:tcW w:w="0" w:type="dxa"/>
            <w:vAlign w:val="bottom"/>
          </w:tcPr>
          <w:p>
            <w:pPr>
              <w:spacing w:after="0"/>
              <w:rPr>
                <w:sz w:val="1"/>
                <w:szCs w:val="1"/>
                <w:color w:val="auto"/>
              </w:rPr>
            </w:pPr>
          </w:p>
        </w:tc>
      </w:tr>
      <w:tr>
        <w:trPr>
          <w:trHeight w:val="124"/>
        </w:trPr>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rPr>
              <w:t>Expiration</w:t>
            </w: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rPr>
              <w:t>Leases (2)</w:t>
            </w:r>
          </w:p>
        </w:tc>
        <w:tc>
          <w:tcPr>
            <w:tcW w:w="980" w:type="dxa"/>
            <w:vAlign w:val="bottom"/>
          </w:tcPr>
          <w:p>
            <w:pPr>
              <w:jc w:val="right"/>
              <w:ind w:right="76"/>
              <w:spacing w:after="0"/>
              <w:rPr>
                <w:sz w:val="20"/>
                <w:szCs w:val="20"/>
                <w:color w:val="auto"/>
              </w:rPr>
            </w:pPr>
            <w:r>
              <w:rPr>
                <w:rFonts w:ascii="Arial" w:cs="Arial" w:eastAsia="Arial" w:hAnsi="Arial"/>
                <w:sz w:val="9"/>
                <w:szCs w:val="9"/>
                <w:b w:val="1"/>
                <w:bCs w:val="1"/>
                <w:color w:val="auto"/>
              </w:rPr>
              <w:t>Leases</w:t>
            </w:r>
          </w:p>
        </w:tc>
        <w:tc>
          <w:tcPr>
            <w:tcW w:w="520" w:type="dxa"/>
            <w:vAlign w:val="bottom"/>
          </w:tcPr>
          <w:p>
            <w:pPr>
              <w:jc w:val="right"/>
              <w:ind w:right="56"/>
              <w:spacing w:after="0"/>
              <w:rPr>
                <w:sz w:val="20"/>
                <w:szCs w:val="20"/>
                <w:color w:val="auto"/>
              </w:rPr>
            </w:pPr>
            <w:r>
              <w:rPr>
                <w:rFonts w:ascii="Arial" w:cs="Arial" w:eastAsia="Arial" w:hAnsi="Arial"/>
                <w:sz w:val="9"/>
                <w:szCs w:val="9"/>
                <w:b w:val="1"/>
                <w:bCs w:val="1"/>
                <w:color w:val="auto"/>
              </w:rPr>
              <w:t>Sq. Ft.</w:t>
            </w:r>
          </w:p>
        </w:tc>
        <w:tc>
          <w:tcPr>
            <w:tcW w:w="100" w:type="dxa"/>
            <w:vAlign w:val="bottom"/>
          </w:tcPr>
          <w:p>
            <w:pPr>
              <w:spacing w:after="0"/>
              <w:rPr>
                <w:sz w:val="10"/>
                <w:szCs w:val="10"/>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b w:val="1"/>
                <w:bCs w:val="1"/>
                <w:color w:val="auto"/>
              </w:rPr>
              <w:t>Leases</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Leases $/psf (3)</w:t>
            </w: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Rent $</w:t>
            </w:r>
          </w:p>
        </w:tc>
        <w:tc>
          <w:tcPr>
            <w:tcW w:w="6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87"/>
              </w:rPr>
              <w:t>/psf (4)</w:t>
            </w:r>
          </w:p>
        </w:tc>
        <w:tc>
          <w:tcPr>
            <w:tcW w:w="660" w:type="dxa"/>
            <w:vAlign w:val="bottom"/>
          </w:tcPr>
          <w:p>
            <w:pPr>
              <w:jc w:val="right"/>
              <w:ind w:right="36"/>
              <w:spacing w:after="0"/>
              <w:rPr>
                <w:sz w:val="20"/>
                <w:szCs w:val="20"/>
                <w:color w:val="auto"/>
              </w:rPr>
            </w:pPr>
            <w:r>
              <w:rPr>
                <w:rFonts w:ascii="Arial" w:cs="Arial" w:eastAsia="Arial" w:hAnsi="Arial"/>
                <w:sz w:val="9"/>
                <w:szCs w:val="9"/>
                <w:b w:val="1"/>
                <w:bCs w:val="1"/>
                <w:color w:val="auto"/>
              </w:rPr>
              <w:t>Leases (2)</w:t>
            </w:r>
          </w:p>
        </w:tc>
        <w:tc>
          <w:tcPr>
            <w:tcW w:w="880" w:type="dxa"/>
            <w:vAlign w:val="bottom"/>
          </w:tcPr>
          <w:p>
            <w:pPr>
              <w:jc w:val="right"/>
              <w:ind w:right="56"/>
              <w:spacing w:after="0"/>
              <w:rPr>
                <w:sz w:val="20"/>
                <w:szCs w:val="20"/>
                <w:color w:val="auto"/>
              </w:rPr>
            </w:pPr>
            <w:r>
              <w:rPr>
                <w:rFonts w:ascii="Arial" w:cs="Arial" w:eastAsia="Arial" w:hAnsi="Arial"/>
                <w:sz w:val="9"/>
                <w:szCs w:val="9"/>
                <w:b w:val="1"/>
                <w:bCs w:val="1"/>
                <w:color w:val="auto"/>
              </w:rPr>
              <w:t>Expiring Leases</w:t>
            </w:r>
          </w:p>
        </w:tc>
        <w:tc>
          <w:tcPr>
            <w:tcW w:w="520" w:type="dxa"/>
            <w:vAlign w:val="bottom"/>
          </w:tcPr>
          <w:p>
            <w:pPr>
              <w:jc w:val="right"/>
              <w:ind w:right="56"/>
              <w:spacing w:after="0"/>
              <w:rPr>
                <w:sz w:val="20"/>
                <w:szCs w:val="20"/>
                <w:color w:val="auto"/>
              </w:rPr>
            </w:pPr>
            <w:r>
              <w:rPr>
                <w:rFonts w:ascii="Arial" w:cs="Arial" w:eastAsia="Arial" w:hAnsi="Arial"/>
                <w:sz w:val="9"/>
                <w:szCs w:val="9"/>
                <w:b w:val="1"/>
                <w:bCs w:val="1"/>
                <w:color w:val="auto"/>
              </w:rPr>
              <w:t>Sq. Ft.</w:t>
            </w:r>
          </w:p>
        </w:tc>
        <w:tc>
          <w:tcPr>
            <w:tcW w:w="80" w:type="dxa"/>
            <w:vAlign w:val="bottom"/>
          </w:tcPr>
          <w:p>
            <w:pPr>
              <w:spacing w:after="0"/>
              <w:rPr>
                <w:sz w:val="10"/>
                <w:szCs w:val="10"/>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b w:val="1"/>
                <w:bCs w:val="1"/>
                <w:color w:val="auto"/>
              </w:rPr>
              <w:t>Leases</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Leases $/psf (3)</w:t>
            </w:r>
          </w:p>
        </w:tc>
        <w:tc>
          <w:tcPr>
            <w:tcW w:w="420" w:type="dxa"/>
            <w:vAlign w:val="bottom"/>
          </w:tcPr>
          <w:p>
            <w:pPr>
              <w:jc w:val="right"/>
              <w:spacing w:after="0"/>
              <w:rPr>
                <w:sz w:val="20"/>
                <w:szCs w:val="20"/>
                <w:color w:val="auto"/>
              </w:rPr>
            </w:pPr>
            <w:r>
              <w:rPr>
                <w:rFonts w:ascii="Arial" w:cs="Arial" w:eastAsia="Arial" w:hAnsi="Arial"/>
                <w:sz w:val="9"/>
                <w:szCs w:val="9"/>
                <w:b w:val="1"/>
                <w:bCs w:val="1"/>
                <w:color w:val="auto"/>
              </w:rPr>
              <w:t>Rent $</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w w:val="87"/>
              </w:rPr>
              <w:t>/psf (4)</w:t>
            </w:r>
          </w:p>
        </w:tc>
        <w:tc>
          <w:tcPr>
            <w:tcW w:w="0" w:type="dxa"/>
            <w:vAlign w:val="bottom"/>
          </w:tcPr>
          <w:p>
            <w:pPr>
              <w:spacing w:after="0"/>
              <w:rPr>
                <w:sz w:val="1"/>
                <w:szCs w:val="1"/>
                <w:color w:val="auto"/>
              </w:rPr>
            </w:pPr>
          </w:p>
        </w:tc>
      </w:tr>
      <w:tr>
        <w:trPr>
          <w:trHeight w:val="261"/>
        </w:trPr>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w w:val="95"/>
              </w:rPr>
              <w:t>High Street</w:t>
            </w:r>
          </w:p>
        </w:tc>
        <w:tc>
          <w:tcPr>
            <w:tcW w:w="6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Retail</w:t>
            </w:r>
          </w:p>
        </w:tc>
        <w:tc>
          <w:tcPr>
            <w:tcW w:w="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600" w:type="dxa"/>
            <w:vAlign w:val="bottom"/>
          </w:tcPr>
          <w:p>
            <w:pPr>
              <w:jc w:val="right"/>
              <w:ind w:right="76"/>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640" w:type="dxa"/>
            <w:vAlign w:val="bottom"/>
          </w:tcPr>
          <w:p>
            <w:pPr>
              <w:jc w:val="right"/>
              <w:spacing w:after="0"/>
              <w:rPr>
                <w:sz w:val="20"/>
                <w:szCs w:val="20"/>
                <w:color w:val="auto"/>
              </w:rPr>
            </w:pPr>
            <w:r>
              <w:rPr>
                <w:rFonts w:ascii="Arial" w:cs="Arial" w:eastAsia="Arial" w:hAnsi="Arial"/>
                <w:sz w:val="9"/>
                <w:szCs w:val="9"/>
                <w:color w:val="auto"/>
              </w:rPr>
              <w:t>10</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11,460</w:t>
            </w:r>
          </w:p>
        </w:tc>
        <w:tc>
          <w:tcPr>
            <w:tcW w:w="520" w:type="dxa"/>
            <w:vAlign w:val="bottom"/>
          </w:tcPr>
          <w:p>
            <w:pPr>
              <w:jc w:val="right"/>
              <w:spacing w:after="0"/>
              <w:rPr>
                <w:sz w:val="20"/>
                <w:szCs w:val="20"/>
                <w:color w:val="auto"/>
              </w:rPr>
            </w:pPr>
            <w:r>
              <w:rPr>
                <w:rFonts w:ascii="Arial" w:cs="Arial" w:eastAsia="Arial" w:hAnsi="Arial"/>
                <w:sz w:val="9"/>
                <w:szCs w:val="9"/>
                <w:color w:val="auto"/>
              </w:rPr>
              <w:t>3.14%</w:t>
            </w: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572,324</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49.94</w:t>
            </w:r>
          </w:p>
        </w:tc>
        <w:tc>
          <w:tcPr>
            <w:tcW w:w="440" w:type="dxa"/>
            <w:vAlign w:val="bottom"/>
          </w:tcPr>
          <w:p>
            <w:pPr>
              <w:jc w:val="right"/>
              <w:ind w:right="336"/>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rPr>
              <w:t>59.82</w:t>
            </w:r>
          </w:p>
        </w:tc>
        <w:tc>
          <w:tcPr>
            <w:tcW w:w="320" w:type="dxa"/>
            <w:vAlign w:val="bottom"/>
          </w:tcPr>
          <w:p>
            <w:pPr>
              <w:spacing w:after="0"/>
              <w:rPr>
                <w:sz w:val="17"/>
                <w:szCs w:val="17"/>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5,455</w:t>
            </w:r>
          </w:p>
        </w:tc>
        <w:tc>
          <w:tcPr>
            <w:tcW w:w="520" w:type="dxa"/>
            <w:vAlign w:val="bottom"/>
          </w:tcPr>
          <w:p>
            <w:pPr>
              <w:jc w:val="right"/>
              <w:spacing w:after="0"/>
              <w:rPr>
                <w:sz w:val="20"/>
                <w:szCs w:val="20"/>
                <w:color w:val="auto"/>
              </w:rPr>
            </w:pPr>
            <w:r>
              <w:rPr>
                <w:rFonts w:ascii="Arial" w:cs="Arial" w:eastAsia="Arial" w:hAnsi="Arial"/>
                <w:sz w:val="9"/>
                <w:szCs w:val="9"/>
                <w:color w:val="auto"/>
              </w:rPr>
              <w:t>1.79%</w:t>
            </w: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308,571</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56.57</w:t>
            </w:r>
          </w:p>
        </w:tc>
        <w:tc>
          <w:tcPr>
            <w:tcW w:w="420" w:type="dxa"/>
            <w:vAlign w:val="bottom"/>
          </w:tcPr>
          <w:p>
            <w:pPr>
              <w:jc w:val="right"/>
              <w:ind w:right="316"/>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rPr>
              <w:t>59.39</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2017</w:t>
            </w:r>
          </w:p>
        </w:tc>
        <w:tc>
          <w:tcPr>
            <w:tcW w:w="640" w:type="dxa"/>
            <w:vAlign w:val="bottom"/>
          </w:tcPr>
          <w:p>
            <w:pPr>
              <w:jc w:val="right"/>
              <w:spacing w:after="0"/>
              <w:rPr>
                <w:sz w:val="20"/>
                <w:szCs w:val="20"/>
                <w:color w:val="auto"/>
              </w:rPr>
            </w:pPr>
            <w:r>
              <w:rPr>
                <w:rFonts w:ascii="Arial" w:cs="Arial" w:eastAsia="Arial" w:hAnsi="Arial"/>
                <w:sz w:val="9"/>
                <w:szCs w:val="9"/>
                <w:color w:val="auto"/>
              </w:rPr>
              <w:t>16</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61,300</w:t>
            </w:r>
          </w:p>
        </w:tc>
        <w:tc>
          <w:tcPr>
            <w:tcW w:w="520" w:type="dxa"/>
            <w:vAlign w:val="bottom"/>
          </w:tcPr>
          <w:p>
            <w:pPr>
              <w:jc w:val="right"/>
              <w:spacing w:after="0"/>
              <w:rPr>
                <w:sz w:val="20"/>
                <w:szCs w:val="20"/>
                <w:color w:val="auto"/>
              </w:rPr>
            </w:pPr>
            <w:r>
              <w:rPr>
                <w:rFonts w:ascii="Arial" w:cs="Arial" w:eastAsia="Arial" w:hAnsi="Arial"/>
                <w:sz w:val="9"/>
                <w:szCs w:val="9"/>
                <w:color w:val="auto"/>
              </w:rPr>
              <w:t>16.79%</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3,450,757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56.29</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175.81</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5</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19,854</w:t>
            </w:r>
          </w:p>
        </w:tc>
        <w:tc>
          <w:tcPr>
            <w:tcW w:w="520" w:type="dxa"/>
            <w:vAlign w:val="bottom"/>
          </w:tcPr>
          <w:p>
            <w:pPr>
              <w:jc w:val="right"/>
              <w:spacing w:after="0"/>
              <w:rPr>
                <w:sz w:val="20"/>
                <w:szCs w:val="20"/>
                <w:color w:val="auto"/>
              </w:rPr>
            </w:pPr>
            <w:r>
              <w:rPr>
                <w:rFonts w:ascii="Arial" w:cs="Arial" w:eastAsia="Arial" w:hAnsi="Arial"/>
                <w:sz w:val="9"/>
                <w:szCs w:val="9"/>
                <w:color w:val="auto"/>
              </w:rPr>
              <w:t>6.50%</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1,017,201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51.23</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72.54</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2018</w:t>
            </w:r>
          </w:p>
        </w:tc>
        <w:tc>
          <w:tcPr>
            <w:tcW w:w="640" w:type="dxa"/>
            <w:vAlign w:val="bottom"/>
          </w:tcPr>
          <w:p>
            <w:pPr>
              <w:jc w:val="right"/>
              <w:spacing w:after="0"/>
              <w:rPr>
                <w:sz w:val="20"/>
                <w:szCs w:val="20"/>
                <w:color w:val="auto"/>
              </w:rPr>
            </w:pPr>
            <w:r>
              <w:rPr>
                <w:rFonts w:ascii="Arial" w:cs="Arial" w:eastAsia="Arial" w:hAnsi="Arial"/>
                <w:sz w:val="9"/>
                <w:szCs w:val="9"/>
                <w:color w:val="auto"/>
              </w:rPr>
              <w:t>11</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18,949</w:t>
            </w:r>
          </w:p>
        </w:tc>
        <w:tc>
          <w:tcPr>
            <w:tcW w:w="520" w:type="dxa"/>
            <w:vAlign w:val="bottom"/>
          </w:tcPr>
          <w:p>
            <w:pPr>
              <w:jc w:val="right"/>
              <w:spacing w:after="0"/>
              <w:rPr>
                <w:sz w:val="20"/>
                <w:szCs w:val="20"/>
                <w:color w:val="auto"/>
              </w:rPr>
            </w:pPr>
            <w:r>
              <w:rPr>
                <w:rFonts w:ascii="Arial" w:cs="Arial" w:eastAsia="Arial" w:hAnsi="Arial"/>
                <w:sz w:val="9"/>
                <w:szCs w:val="9"/>
                <w:color w:val="auto"/>
              </w:rPr>
              <w:t>5.19%</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996,332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52.58</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67.99</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22,571</w:t>
            </w:r>
          </w:p>
        </w:tc>
        <w:tc>
          <w:tcPr>
            <w:tcW w:w="520" w:type="dxa"/>
            <w:vAlign w:val="bottom"/>
          </w:tcPr>
          <w:p>
            <w:pPr>
              <w:jc w:val="right"/>
              <w:spacing w:after="0"/>
              <w:rPr>
                <w:sz w:val="20"/>
                <w:szCs w:val="20"/>
                <w:color w:val="auto"/>
              </w:rPr>
            </w:pPr>
            <w:r>
              <w:rPr>
                <w:rFonts w:ascii="Arial" w:cs="Arial" w:eastAsia="Arial" w:hAnsi="Arial"/>
                <w:sz w:val="9"/>
                <w:szCs w:val="9"/>
                <w:color w:val="auto"/>
              </w:rPr>
              <w:t>7.39%</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1,470,072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65.13</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74.39</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2019</w:t>
            </w:r>
          </w:p>
        </w:tc>
        <w:tc>
          <w:tcPr>
            <w:tcW w:w="640" w:type="dxa"/>
            <w:vAlign w:val="bottom"/>
          </w:tcPr>
          <w:p>
            <w:pPr>
              <w:jc w:val="right"/>
              <w:spacing w:after="0"/>
              <w:rPr>
                <w:sz w:val="20"/>
                <w:szCs w:val="20"/>
                <w:color w:val="auto"/>
              </w:rPr>
            </w:pPr>
            <w:r>
              <w:rPr>
                <w:rFonts w:ascii="Arial" w:cs="Arial" w:eastAsia="Arial" w:hAnsi="Arial"/>
                <w:sz w:val="9"/>
                <w:szCs w:val="9"/>
                <w:color w:val="auto"/>
              </w:rPr>
              <w:t>4</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5,350</w:t>
            </w:r>
          </w:p>
        </w:tc>
        <w:tc>
          <w:tcPr>
            <w:tcW w:w="520" w:type="dxa"/>
            <w:vAlign w:val="bottom"/>
          </w:tcPr>
          <w:p>
            <w:pPr>
              <w:jc w:val="right"/>
              <w:spacing w:after="0"/>
              <w:rPr>
                <w:sz w:val="20"/>
                <w:szCs w:val="20"/>
                <w:color w:val="auto"/>
              </w:rPr>
            </w:pPr>
            <w:r>
              <w:rPr>
                <w:rFonts w:ascii="Arial" w:cs="Arial" w:eastAsia="Arial" w:hAnsi="Arial"/>
                <w:sz w:val="9"/>
                <w:szCs w:val="9"/>
                <w:color w:val="auto"/>
              </w:rPr>
              <w:t>1.47%</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515,516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96.36</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97.42</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2020</w:t>
            </w:r>
          </w:p>
        </w:tc>
        <w:tc>
          <w:tcPr>
            <w:tcW w:w="640" w:type="dxa"/>
            <w:vAlign w:val="bottom"/>
          </w:tcPr>
          <w:p>
            <w:pPr>
              <w:jc w:val="right"/>
              <w:spacing w:after="0"/>
              <w:rPr>
                <w:sz w:val="20"/>
                <w:szCs w:val="20"/>
                <w:color w:val="auto"/>
              </w:rPr>
            </w:pPr>
            <w:r>
              <w:rPr>
                <w:rFonts w:ascii="Arial" w:cs="Arial" w:eastAsia="Arial" w:hAnsi="Arial"/>
                <w:sz w:val="9"/>
                <w:szCs w:val="9"/>
                <w:color w:val="auto"/>
              </w:rPr>
              <w:t>6</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12,491</w:t>
            </w:r>
          </w:p>
        </w:tc>
        <w:tc>
          <w:tcPr>
            <w:tcW w:w="520" w:type="dxa"/>
            <w:vAlign w:val="bottom"/>
          </w:tcPr>
          <w:p>
            <w:pPr>
              <w:jc w:val="right"/>
              <w:spacing w:after="0"/>
              <w:rPr>
                <w:sz w:val="20"/>
                <w:szCs w:val="20"/>
                <w:color w:val="auto"/>
              </w:rPr>
            </w:pPr>
            <w:r>
              <w:rPr>
                <w:rFonts w:ascii="Arial" w:cs="Arial" w:eastAsia="Arial" w:hAnsi="Arial"/>
                <w:sz w:val="9"/>
                <w:szCs w:val="9"/>
                <w:color w:val="auto"/>
              </w:rPr>
              <w:t>3.42%</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1,814,842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145.29</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337.20</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3</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25,424</w:t>
            </w:r>
          </w:p>
        </w:tc>
        <w:tc>
          <w:tcPr>
            <w:tcW w:w="520" w:type="dxa"/>
            <w:vAlign w:val="bottom"/>
          </w:tcPr>
          <w:p>
            <w:pPr>
              <w:jc w:val="right"/>
              <w:spacing w:after="0"/>
              <w:rPr>
                <w:sz w:val="20"/>
                <w:szCs w:val="20"/>
                <w:color w:val="auto"/>
              </w:rPr>
            </w:pPr>
            <w:r>
              <w:rPr>
                <w:rFonts w:ascii="Arial" w:cs="Arial" w:eastAsia="Arial" w:hAnsi="Arial"/>
                <w:sz w:val="9"/>
                <w:szCs w:val="9"/>
                <w:color w:val="auto"/>
              </w:rPr>
              <w:t>8.32%</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5,213,956</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205.08</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277.01</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2021</w:t>
            </w:r>
          </w:p>
        </w:tc>
        <w:tc>
          <w:tcPr>
            <w:tcW w:w="640" w:type="dxa"/>
            <w:vAlign w:val="bottom"/>
          </w:tcPr>
          <w:p>
            <w:pPr>
              <w:jc w:val="right"/>
              <w:spacing w:after="0"/>
              <w:rPr>
                <w:sz w:val="20"/>
                <w:szCs w:val="20"/>
                <w:color w:val="auto"/>
              </w:rPr>
            </w:pPr>
            <w:r>
              <w:rPr>
                <w:rFonts w:ascii="Arial" w:cs="Arial" w:eastAsia="Arial" w:hAnsi="Arial"/>
                <w:sz w:val="9"/>
                <w:szCs w:val="9"/>
                <w:color w:val="auto"/>
              </w:rPr>
              <w:t>1</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108,148</w:t>
            </w:r>
          </w:p>
        </w:tc>
        <w:tc>
          <w:tcPr>
            <w:tcW w:w="520" w:type="dxa"/>
            <w:vAlign w:val="bottom"/>
          </w:tcPr>
          <w:p>
            <w:pPr>
              <w:jc w:val="right"/>
              <w:spacing w:after="0"/>
              <w:rPr>
                <w:sz w:val="20"/>
                <w:szCs w:val="20"/>
                <w:color w:val="auto"/>
              </w:rPr>
            </w:pPr>
            <w:r>
              <w:rPr>
                <w:rFonts w:ascii="Arial" w:cs="Arial" w:eastAsia="Arial" w:hAnsi="Arial"/>
                <w:sz w:val="9"/>
                <w:szCs w:val="9"/>
                <w:color w:val="auto"/>
              </w:rPr>
              <w:t>29.62%</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6,740,732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62.33</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70.00</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5</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26,753</w:t>
            </w:r>
          </w:p>
        </w:tc>
        <w:tc>
          <w:tcPr>
            <w:tcW w:w="520" w:type="dxa"/>
            <w:vAlign w:val="bottom"/>
          </w:tcPr>
          <w:p>
            <w:pPr>
              <w:jc w:val="right"/>
              <w:spacing w:after="0"/>
              <w:rPr>
                <w:sz w:val="20"/>
                <w:szCs w:val="20"/>
                <w:color w:val="auto"/>
              </w:rPr>
            </w:pPr>
            <w:r>
              <w:rPr>
                <w:rFonts w:ascii="Arial" w:cs="Arial" w:eastAsia="Arial" w:hAnsi="Arial"/>
                <w:sz w:val="9"/>
                <w:szCs w:val="9"/>
                <w:color w:val="auto"/>
              </w:rPr>
              <w:t>8.76%</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4,402,416</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164.56</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216.26</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2022</w:t>
            </w:r>
          </w:p>
        </w:tc>
        <w:tc>
          <w:tcPr>
            <w:tcW w:w="640" w:type="dxa"/>
            <w:vAlign w:val="bottom"/>
          </w:tcPr>
          <w:p>
            <w:pPr>
              <w:jc w:val="right"/>
              <w:spacing w:after="0"/>
              <w:rPr>
                <w:sz w:val="20"/>
                <w:szCs w:val="20"/>
                <w:color w:val="auto"/>
              </w:rPr>
            </w:pPr>
            <w:r>
              <w:rPr>
                <w:rFonts w:ascii="Arial" w:cs="Arial" w:eastAsia="Arial" w:hAnsi="Arial"/>
                <w:sz w:val="9"/>
                <w:szCs w:val="9"/>
                <w:color w:val="auto"/>
              </w:rPr>
              <w:t>1</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1,366</w:t>
            </w:r>
          </w:p>
        </w:tc>
        <w:tc>
          <w:tcPr>
            <w:tcW w:w="520" w:type="dxa"/>
            <w:vAlign w:val="bottom"/>
          </w:tcPr>
          <w:p>
            <w:pPr>
              <w:jc w:val="right"/>
              <w:spacing w:after="0"/>
              <w:rPr>
                <w:sz w:val="20"/>
                <w:szCs w:val="20"/>
                <w:color w:val="auto"/>
              </w:rPr>
            </w:pPr>
            <w:r>
              <w:rPr>
                <w:rFonts w:ascii="Arial" w:cs="Arial" w:eastAsia="Arial" w:hAnsi="Arial"/>
                <w:sz w:val="9"/>
                <w:szCs w:val="9"/>
                <w:color w:val="auto"/>
              </w:rPr>
              <w:t>0.37%</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216,124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158.22</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299.00</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50,808</w:t>
            </w:r>
          </w:p>
        </w:tc>
        <w:tc>
          <w:tcPr>
            <w:tcW w:w="520" w:type="dxa"/>
            <w:vAlign w:val="bottom"/>
          </w:tcPr>
          <w:p>
            <w:pPr>
              <w:jc w:val="right"/>
              <w:spacing w:after="0"/>
              <w:rPr>
                <w:sz w:val="20"/>
                <w:szCs w:val="20"/>
                <w:color w:val="auto"/>
              </w:rPr>
            </w:pPr>
            <w:r>
              <w:rPr>
                <w:rFonts w:ascii="Arial" w:cs="Arial" w:eastAsia="Arial" w:hAnsi="Arial"/>
                <w:sz w:val="9"/>
                <w:szCs w:val="9"/>
                <w:color w:val="auto"/>
              </w:rPr>
              <w:t>16.63%</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20,230,080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398.17</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501.10</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2023</w:t>
            </w:r>
          </w:p>
        </w:tc>
        <w:tc>
          <w:tcPr>
            <w:tcW w:w="640" w:type="dxa"/>
            <w:vAlign w:val="bottom"/>
          </w:tcPr>
          <w:p>
            <w:pPr>
              <w:jc w:val="right"/>
              <w:spacing w:after="0"/>
              <w:rPr>
                <w:sz w:val="20"/>
                <w:szCs w:val="20"/>
                <w:color w:val="auto"/>
              </w:rPr>
            </w:pPr>
            <w:r>
              <w:rPr>
                <w:rFonts w:ascii="Arial" w:cs="Arial" w:eastAsia="Arial" w:hAnsi="Arial"/>
                <w:sz w:val="9"/>
                <w:szCs w:val="9"/>
                <w:color w:val="auto"/>
              </w:rPr>
              <w:t>3</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12,703</w:t>
            </w:r>
          </w:p>
        </w:tc>
        <w:tc>
          <w:tcPr>
            <w:tcW w:w="520" w:type="dxa"/>
            <w:vAlign w:val="bottom"/>
          </w:tcPr>
          <w:p>
            <w:pPr>
              <w:jc w:val="right"/>
              <w:spacing w:after="0"/>
              <w:rPr>
                <w:sz w:val="20"/>
                <w:szCs w:val="20"/>
                <w:color w:val="auto"/>
              </w:rPr>
            </w:pPr>
            <w:r>
              <w:rPr>
                <w:rFonts w:ascii="Arial" w:cs="Arial" w:eastAsia="Arial" w:hAnsi="Arial"/>
                <w:sz w:val="9"/>
                <w:szCs w:val="9"/>
                <w:color w:val="auto"/>
              </w:rPr>
              <w:t>3.48%</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1,076,966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84.78</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97.42</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7,131</w:t>
            </w:r>
          </w:p>
        </w:tc>
        <w:tc>
          <w:tcPr>
            <w:tcW w:w="520" w:type="dxa"/>
            <w:vAlign w:val="bottom"/>
          </w:tcPr>
          <w:p>
            <w:pPr>
              <w:jc w:val="right"/>
              <w:spacing w:after="0"/>
              <w:rPr>
                <w:sz w:val="20"/>
                <w:szCs w:val="20"/>
                <w:color w:val="auto"/>
              </w:rPr>
            </w:pPr>
            <w:r>
              <w:rPr>
                <w:rFonts w:ascii="Arial" w:cs="Arial" w:eastAsia="Arial" w:hAnsi="Arial"/>
                <w:sz w:val="9"/>
                <w:szCs w:val="9"/>
                <w:color w:val="auto"/>
              </w:rPr>
              <w:t>2.33%</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1,369,639</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192.07</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350.00</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2024</w:t>
            </w:r>
          </w:p>
        </w:tc>
        <w:tc>
          <w:tcPr>
            <w:tcW w:w="640" w:type="dxa"/>
            <w:vAlign w:val="bottom"/>
          </w:tcPr>
          <w:p>
            <w:pPr>
              <w:jc w:val="right"/>
              <w:spacing w:after="0"/>
              <w:rPr>
                <w:sz w:val="20"/>
                <w:szCs w:val="20"/>
                <w:color w:val="auto"/>
              </w:rPr>
            </w:pPr>
            <w:r>
              <w:rPr>
                <w:rFonts w:ascii="Arial" w:cs="Arial" w:eastAsia="Arial" w:hAnsi="Arial"/>
                <w:sz w:val="9"/>
                <w:szCs w:val="9"/>
                <w:color w:val="auto"/>
              </w:rPr>
              <w:t>5</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76,039</w:t>
            </w:r>
          </w:p>
        </w:tc>
        <w:tc>
          <w:tcPr>
            <w:tcW w:w="520" w:type="dxa"/>
            <w:vAlign w:val="bottom"/>
          </w:tcPr>
          <w:p>
            <w:pPr>
              <w:jc w:val="right"/>
              <w:spacing w:after="0"/>
              <w:rPr>
                <w:sz w:val="20"/>
                <w:szCs w:val="20"/>
                <w:color w:val="auto"/>
              </w:rPr>
            </w:pPr>
            <w:r>
              <w:rPr>
                <w:rFonts w:ascii="Arial" w:cs="Arial" w:eastAsia="Arial" w:hAnsi="Arial"/>
                <w:sz w:val="9"/>
                <w:szCs w:val="9"/>
                <w:color w:val="auto"/>
              </w:rPr>
              <w:t>20.83%</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15,629,117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205.54</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212.77</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7,793</w:t>
            </w:r>
          </w:p>
        </w:tc>
        <w:tc>
          <w:tcPr>
            <w:tcW w:w="520" w:type="dxa"/>
            <w:vAlign w:val="bottom"/>
          </w:tcPr>
          <w:p>
            <w:pPr>
              <w:jc w:val="right"/>
              <w:spacing w:after="0"/>
              <w:rPr>
                <w:sz w:val="20"/>
                <w:szCs w:val="20"/>
                <w:color w:val="auto"/>
              </w:rPr>
            </w:pPr>
            <w:r>
              <w:rPr>
                <w:rFonts w:ascii="Arial" w:cs="Arial" w:eastAsia="Arial" w:hAnsi="Arial"/>
                <w:sz w:val="9"/>
                <w:szCs w:val="9"/>
                <w:color w:val="auto"/>
              </w:rPr>
              <w:t>2.55%</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4,869,792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624.89</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898.00</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2025</w:t>
            </w:r>
          </w:p>
        </w:tc>
        <w:tc>
          <w:tcPr>
            <w:tcW w:w="640" w:type="dxa"/>
            <w:vAlign w:val="bottom"/>
          </w:tcPr>
          <w:p>
            <w:pPr>
              <w:jc w:val="right"/>
              <w:spacing w:after="0"/>
              <w:rPr>
                <w:sz w:val="20"/>
                <w:szCs w:val="20"/>
                <w:color w:val="auto"/>
              </w:rPr>
            </w:pPr>
            <w:r>
              <w:rPr>
                <w:rFonts w:ascii="Arial" w:cs="Arial" w:eastAsia="Arial" w:hAnsi="Arial"/>
                <w:sz w:val="9"/>
                <w:szCs w:val="9"/>
                <w:color w:val="auto"/>
              </w:rPr>
              <w:t>3</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33,944</w:t>
            </w:r>
          </w:p>
        </w:tc>
        <w:tc>
          <w:tcPr>
            <w:tcW w:w="520" w:type="dxa"/>
            <w:vAlign w:val="bottom"/>
          </w:tcPr>
          <w:p>
            <w:pPr>
              <w:jc w:val="right"/>
              <w:spacing w:after="0"/>
              <w:rPr>
                <w:sz w:val="20"/>
                <w:szCs w:val="20"/>
                <w:color w:val="auto"/>
              </w:rPr>
            </w:pPr>
            <w:r>
              <w:rPr>
                <w:rFonts w:ascii="Arial" w:cs="Arial" w:eastAsia="Arial" w:hAnsi="Arial"/>
                <w:sz w:val="9"/>
                <w:szCs w:val="9"/>
                <w:color w:val="auto"/>
              </w:rPr>
              <w:t>9.30%</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813,986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23.98</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23.84</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3</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16,143</w:t>
            </w:r>
          </w:p>
        </w:tc>
        <w:tc>
          <w:tcPr>
            <w:tcW w:w="520" w:type="dxa"/>
            <w:vAlign w:val="bottom"/>
          </w:tcPr>
          <w:p>
            <w:pPr>
              <w:jc w:val="right"/>
              <w:spacing w:after="0"/>
              <w:rPr>
                <w:sz w:val="20"/>
                <w:szCs w:val="20"/>
                <w:color w:val="auto"/>
              </w:rPr>
            </w:pPr>
            <w:r>
              <w:rPr>
                <w:rFonts w:ascii="Arial" w:cs="Arial" w:eastAsia="Arial" w:hAnsi="Arial"/>
                <w:sz w:val="9"/>
                <w:szCs w:val="9"/>
                <w:color w:val="auto"/>
              </w:rPr>
              <w:t>5.28%</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993,065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61.52</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61.09</w:t>
            </w:r>
          </w:p>
        </w:tc>
        <w:tc>
          <w:tcPr>
            <w:tcW w:w="0" w:type="dxa"/>
            <w:vAlign w:val="bottom"/>
          </w:tcPr>
          <w:p>
            <w:pPr>
              <w:spacing w:after="0"/>
              <w:rPr>
                <w:sz w:val="1"/>
                <w:szCs w:val="1"/>
                <w:color w:val="auto"/>
              </w:rPr>
            </w:pPr>
          </w:p>
        </w:tc>
      </w:tr>
      <w:tr>
        <w:trPr>
          <w:trHeight w:val="227"/>
        </w:trPr>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rPr>
              <w:t>Thereafter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23,318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6.39%</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3,738,140</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160.31</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228.31</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8</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123,559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40.45%</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67,336,947</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544.98</w:t>
            </w: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617.40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rPr>
              <w:t>64</w:t>
            </w:r>
          </w:p>
        </w:tc>
        <w:tc>
          <w:tcPr>
            <w:tcW w:w="980" w:type="dxa"/>
            <w:vAlign w:val="bottom"/>
          </w:tcPr>
          <w:p>
            <w:pPr>
              <w:jc w:val="right"/>
              <w:ind w:right="76"/>
              <w:spacing w:after="0"/>
              <w:rPr>
                <w:sz w:val="20"/>
                <w:szCs w:val="20"/>
                <w:color w:val="auto"/>
              </w:rPr>
            </w:pPr>
            <w:r>
              <w:rPr>
                <w:rFonts w:ascii="Arial" w:cs="Arial" w:eastAsia="Arial" w:hAnsi="Arial"/>
                <w:sz w:val="9"/>
                <w:szCs w:val="9"/>
                <w:b w:val="1"/>
                <w:bCs w:val="1"/>
                <w:color w:val="auto"/>
              </w:rPr>
              <w:t>365,068</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100.00%</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00" w:type="dxa"/>
            <w:vAlign w:val="bottom"/>
          </w:tcPr>
          <w:p>
            <w:pPr>
              <w:jc w:val="right"/>
              <w:ind w:right="16"/>
              <w:spacing w:after="0"/>
              <w:rPr>
                <w:sz w:val="20"/>
                <w:szCs w:val="20"/>
                <w:color w:val="auto"/>
              </w:rPr>
            </w:pPr>
            <w:r>
              <w:rPr>
                <w:rFonts w:ascii="Arial" w:cs="Arial" w:eastAsia="Arial" w:hAnsi="Arial"/>
                <w:sz w:val="9"/>
                <w:szCs w:val="9"/>
                <w:b w:val="1"/>
                <w:bCs w:val="1"/>
                <w:color w:val="auto"/>
              </w:rPr>
              <w:t>35,564,835</w:t>
            </w:r>
          </w:p>
        </w:tc>
        <w:tc>
          <w:tcPr>
            <w:tcW w:w="1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97.42</w:t>
            </w:r>
          </w:p>
        </w:tc>
        <w:tc>
          <w:tcPr>
            <w:tcW w:w="440" w:type="dxa"/>
            <w:vAlign w:val="bottom"/>
          </w:tcPr>
          <w:p>
            <w:pPr>
              <w:jc w:val="right"/>
              <w:ind w:right="336"/>
              <w:spacing w:after="0"/>
              <w:rPr>
                <w:sz w:val="20"/>
                <w:szCs w:val="20"/>
                <w:color w:val="auto"/>
              </w:rPr>
            </w:pPr>
            <w:r>
              <w:rPr>
                <w:rFonts w:ascii="Arial" w:cs="Arial" w:eastAsia="Arial" w:hAnsi="Arial"/>
                <w:sz w:val="9"/>
                <w:szCs w:val="9"/>
                <w:b w:val="1"/>
                <w:bCs w:val="1"/>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w w:val="94"/>
              </w:rPr>
              <w:t>134.26</w:t>
            </w:r>
          </w:p>
        </w:tc>
        <w:tc>
          <w:tcPr>
            <w:tcW w:w="320" w:type="dxa"/>
            <w:vAlign w:val="bottom"/>
          </w:tcPr>
          <w:p>
            <w:pPr>
              <w:spacing w:after="0"/>
              <w:rPr>
                <w:sz w:val="17"/>
                <w:szCs w:val="17"/>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b w:val="1"/>
                <w:bCs w:val="1"/>
                <w:color w:val="auto"/>
              </w:rPr>
              <w:t>32</w:t>
            </w:r>
          </w:p>
        </w:tc>
        <w:tc>
          <w:tcPr>
            <w:tcW w:w="880" w:type="dxa"/>
            <w:vAlign w:val="bottom"/>
          </w:tcPr>
          <w:p>
            <w:pPr>
              <w:jc w:val="right"/>
              <w:ind w:right="56"/>
              <w:spacing w:after="0"/>
              <w:rPr>
                <w:sz w:val="20"/>
                <w:szCs w:val="20"/>
                <w:color w:val="auto"/>
              </w:rPr>
            </w:pPr>
            <w:r>
              <w:rPr>
                <w:rFonts w:ascii="Arial" w:cs="Arial" w:eastAsia="Arial" w:hAnsi="Arial"/>
                <w:sz w:val="9"/>
                <w:szCs w:val="9"/>
                <w:b w:val="1"/>
                <w:bCs w:val="1"/>
                <w:color w:val="auto"/>
              </w:rPr>
              <w:t>305,491</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100.00%</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80" w:type="dxa"/>
            <w:vAlign w:val="bottom"/>
          </w:tcPr>
          <w:p>
            <w:pPr>
              <w:jc w:val="right"/>
              <w:ind w:right="36"/>
              <w:spacing w:after="0"/>
              <w:rPr>
                <w:sz w:val="20"/>
                <w:szCs w:val="20"/>
                <w:color w:val="auto"/>
              </w:rPr>
            </w:pPr>
            <w:r>
              <w:rPr>
                <w:rFonts w:ascii="Arial" w:cs="Arial" w:eastAsia="Arial" w:hAnsi="Arial"/>
                <w:sz w:val="9"/>
                <w:szCs w:val="9"/>
                <w:b w:val="1"/>
                <w:bCs w:val="1"/>
                <w:color w:val="auto"/>
              </w:rPr>
              <w:t>107,211,738</w:t>
            </w: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350.95</w:t>
            </w:r>
          </w:p>
        </w:tc>
        <w:tc>
          <w:tcPr>
            <w:tcW w:w="420" w:type="dxa"/>
            <w:vAlign w:val="bottom"/>
          </w:tcPr>
          <w:p>
            <w:pPr>
              <w:jc w:val="right"/>
              <w:ind w:right="316"/>
              <w:spacing w:after="0"/>
              <w:rPr>
                <w:sz w:val="20"/>
                <w:szCs w:val="20"/>
                <w:color w:val="auto"/>
              </w:rPr>
            </w:pPr>
            <w:r>
              <w:rPr>
                <w:rFonts w:ascii="Arial" w:cs="Arial" w:eastAsia="Arial" w:hAnsi="Arial"/>
                <w:sz w:val="9"/>
                <w:szCs w:val="9"/>
                <w:b w:val="1"/>
                <w:bCs w:val="1"/>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w w:val="94"/>
              </w:rPr>
              <w:t>420.63</w:t>
            </w:r>
          </w:p>
        </w:tc>
        <w:tc>
          <w:tcPr>
            <w:tcW w:w="0" w:type="dxa"/>
            <w:vAlign w:val="bottom"/>
          </w:tcPr>
          <w:p>
            <w:pPr>
              <w:spacing w:after="0"/>
              <w:rPr>
                <w:sz w:val="1"/>
                <w:szCs w:val="1"/>
                <w:color w:val="auto"/>
              </w:rPr>
            </w:pPr>
          </w:p>
        </w:tc>
      </w:tr>
      <w:tr>
        <w:trPr>
          <w:trHeight w:val="227"/>
        </w:trPr>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rPr>
              <w:t xml:space="preserve">Vacancy </w:t>
            </w:r>
            <w:r>
              <w:rPr>
                <w:rFonts w:ascii="Arial" w:cs="Arial" w:eastAsia="Arial" w:hAnsi="Arial"/>
                <w:sz w:val="5"/>
                <w:szCs w:val="5"/>
                <w:b w:val="1"/>
                <w:bCs w:val="1"/>
                <w:color w:val="auto"/>
              </w:rPr>
              <w:t>(5)</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10,040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517.93</w:t>
            </w:r>
          </w:p>
        </w:tc>
        <w:tc>
          <w:tcPr>
            <w:tcW w:w="3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51,002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550.49</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375,108</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36"/>
              <w:spacing w:after="0"/>
              <w:rPr>
                <w:sz w:val="20"/>
                <w:szCs w:val="20"/>
                <w:color w:val="auto"/>
              </w:rPr>
            </w:pPr>
            <w:r>
              <w:rPr>
                <w:rFonts w:ascii="Arial" w:cs="Arial" w:eastAsia="Arial" w:hAnsi="Arial"/>
                <w:sz w:val="9"/>
                <w:szCs w:val="9"/>
                <w:b w:val="1"/>
                <w:bCs w:val="1"/>
                <w:color w:val="auto"/>
                <w:w w:val="78"/>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4"/>
              </w:rPr>
              <w:t>144.53</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356,493</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16"/>
              <w:spacing w:after="0"/>
              <w:rPr>
                <w:sz w:val="20"/>
                <w:szCs w:val="20"/>
                <w:color w:val="auto"/>
              </w:rPr>
            </w:pPr>
            <w:r>
              <w:rPr>
                <w:rFonts w:ascii="Arial" w:cs="Arial" w:eastAsia="Arial" w:hAnsi="Arial"/>
                <w:sz w:val="9"/>
                <w:szCs w:val="9"/>
                <w:b w:val="1"/>
                <w:bCs w:val="1"/>
                <w:color w:val="auto"/>
                <w:w w:val="78"/>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4"/>
              </w:rPr>
              <w:t>439.20</w:t>
            </w:r>
          </w:p>
        </w:tc>
        <w:tc>
          <w:tcPr>
            <w:tcW w:w="0" w:type="dxa"/>
            <w:vAlign w:val="bottom"/>
          </w:tcPr>
          <w:p>
            <w:pPr>
              <w:spacing w:after="0"/>
              <w:rPr>
                <w:sz w:val="1"/>
                <w:szCs w:val="1"/>
                <w:color w:val="auto"/>
              </w:rPr>
            </w:pPr>
          </w:p>
        </w:tc>
      </w:tr>
      <w:tr>
        <w:trPr>
          <w:trHeight w:val="20"/>
        </w:trPr>
        <w:tc>
          <w:tcPr>
            <w:tcW w:w="600" w:type="dxa"/>
            <w:vAlign w:val="bottom"/>
            <w:vMerge w:val="restart"/>
          </w:tcPr>
          <w:p>
            <w:pPr>
              <w:ind w:left="20"/>
              <w:spacing w:after="0"/>
              <w:rPr>
                <w:sz w:val="20"/>
                <w:szCs w:val="20"/>
                <w:color w:val="auto"/>
              </w:rPr>
            </w:pPr>
            <w:r>
              <w:rPr>
                <w:rFonts w:ascii="Arial" w:cs="Arial" w:eastAsia="Arial" w:hAnsi="Arial"/>
                <w:sz w:val="9"/>
                <w:szCs w:val="9"/>
                <w:b w:val="1"/>
                <w:bCs w:val="1"/>
                <w:color w:val="auto"/>
              </w:rPr>
              <w:t>Other</w:t>
            </w: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Retail</w:t>
            </w:r>
          </w:p>
        </w:tc>
        <w:tc>
          <w:tcPr>
            <w:tcW w:w="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600" w:type="dxa"/>
            <w:vAlign w:val="bottom"/>
          </w:tcPr>
          <w:p>
            <w:pPr>
              <w:jc w:val="right"/>
              <w:ind w:right="76"/>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640" w:type="dxa"/>
            <w:vAlign w:val="bottom"/>
          </w:tcPr>
          <w:p>
            <w:pPr>
              <w:jc w:val="right"/>
              <w:spacing w:after="0"/>
              <w:rPr>
                <w:sz w:val="20"/>
                <w:szCs w:val="20"/>
                <w:color w:val="auto"/>
              </w:rPr>
            </w:pPr>
            <w:r>
              <w:rPr>
                <w:rFonts w:ascii="Arial" w:cs="Arial" w:eastAsia="Arial" w:hAnsi="Arial"/>
                <w:sz w:val="9"/>
                <w:szCs w:val="9"/>
                <w:color w:val="auto"/>
              </w:rPr>
              <w:t>6</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41,510</w:t>
            </w:r>
          </w:p>
        </w:tc>
        <w:tc>
          <w:tcPr>
            <w:tcW w:w="520" w:type="dxa"/>
            <w:vAlign w:val="bottom"/>
          </w:tcPr>
          <w:p>
            <w:pPr>
              <w:jc w:val="right"/>
              <w:spacing w:after="0"/>
              <w:rPr>
                <w:sz w:val="20"/>
                <w:szCs w:val="20"/>
                <w:color w:val="auto"/>
              </w:rPr>
            </w:pPr>
            <w:r>
              <w:rPr>
                <w:rFonts w:ascii="Arial" w:cs="Arial" w:eastAsia="Arial" w:hAnsi="Arial"/>
                <w:sz w:val="9"/>
                <w:szCs w:val="9"/>
                <w:color w:val="auto"/>
              </w:rPr>
              <w:t>4.70%</w:t>
            </w: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3,807,801</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91.73</w:t>
            </w:r>
          </w:p>
        </w:tc>
        <w:tc>
          <w:tcPr>
            <w:tcW w:w="440" w:type="dxa"/>
            <w:vAlign w:val="bottom"/>
          </w:tcPr>
          <w:p>
            <w:pPr>
              <w:jc w:val="right"/>
              <w:ind w:right="336"/>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w w:val="94"/>
              </w:rPr>
              <w:t>137.28</w:t>
            </w:r>
          </w:p>
        </w:tc>
        <w:tc>
          <w:tcPr>
            <w:tcW w:w="320" w:type="dxa"/>
            <w:vAlign w:val="bottom"/>
          </w:tcPr>
          <w:p>
            <w:pPr>
              <w:spacing w:after="0"/>
              <w:rPr>
                <w:sz w:val="17"/>
                <w:szCs w:val="17"/>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2,120</w:t>
            </w:r>
          </w:p>
        </w:tc>
        <w:tc>
          <w:tcPr>
            <w:tcW w:w="520" w:type="dxa"/>
            <w:vAlign w:val="bottom"/>
          </w:tcPr>
          <w:p>
            <w:pPr>
              <w:jc w:val="right"/>
              <w:spacing w:after="0"/>
              <w:rPr>
                <w:sz w:val="20"/>
                <w:szCs w:val="20"/>
                <w:color w:val="auto"/>
              </w:rPr>
            </w:pPr>
            <w:r>
              <w:rPr>
                <w:rFonts w:ascii="Arial" w:cs="Arial" w:eastAsia="Arial" w:hAnsi="Arial"/>
                <w:sz w:val="9"/>
                <w:szCs w:val="9"/>
                <w:color w:val="auto"/>
              </w:rPr>
              <w:t>0.70%</w:t>
            </w: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134,790</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63.58</w:t>
            </w:r>
          </w:p>
        </w:tc>
        <w:tc>
          <w:tcPr>
            <w:tcW w:w="420" w:type="dxa"/>
            <w:vAlign w:val="bottom"/>
          </w:tcPr>
          <w:p>
            <w:pPr>
              <w:jc w:val="right"/>
              <w:ind w:right="316"/>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rPr>
              <w:t>66.51</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2017</w:t>
            </w:r>
          </w:p>
        </w:tc>
        <w:tc>
          <w:tcPr>
            <w:tcW w:w="640" w:type="dxa"/>
            <w:vAlign w:val="bottom"/>
          </w:tcPr>
          <w:p>
            <w:pPr>
              <w:jc w:val="right"/>
              <w:spacing w:after="0"/>
              <w:rPr>
                <w:sz w:val="20"/>
                <w:szCs w:val="20"/>
                <w:color w:val="auto"/>
              </w:rPr>
            </w:pPr>
            <w:r>
              <w:rPr>
                <w:rFonts w:ascii="Arial" w:cs="Arial" w:eastAsia="Arial" w:hAnsi="Arial"/>
                <w:sz w:val="9"/>
                <w:szCs w:val="9"/>
                <w:color w:val="auto"/>
              </w:rPr>
              <w:t>12</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39,032</w:t>
            </w:r>
          </w:p>
        </w:tc>
        <w:tc>
          <w:tcPr>
            <w:tcW w:w="520" w:type="dxa"/>
            <w:vAlign w:val="bottom"/>
          </w:tcPr>
          <w:p>
            <w:pPr>
              <w:jc w:val="right"/>
              <w:spacing w:after="0"/>
              <w:rPr>
                <w:sz w:val="20"/>
                <w:szCs w:val="20"/>
                <w:color w:val="auto"/>
              </w:rPr>
            </w:pPr>
            <w:r>
              <w:rPr>
                <w:rFonts w:ascii="Arial" w:cs="Arial" w:eastAsia="Arial" w:hAnsi="Arial"/>
                <w:sz w:val="9"/>
                <w:szCs w:val="9"/>
                <w:color w:val="auto"/>
              </w:rPr>
              <w:t>4.42%</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5,262,738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134.83</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214.49</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2,133</w:t>
            </w:r>
          </w:p>
        </w:tc>
        <w:tc>
          <w:tcPr>
            <w:tcW w:w="520" w:type="dxa"/>
            <w:vAlign w:val="bottom"/>
          </w:tcPr>
          <w:p>
            <w:pPr>
              <w:jc w:val="right"/>
              <w:spacing w:after="0"/>
              <w:rPr>
                <w:sz w:val="20"/>
                <w:szCs w:val="20"/>
                <w:color w:val="auto"/>
              </w:rPr>
            </w:pPr>
            <w:r>
              <w:rPr>
                <w:rFonts w:ascii="Arial" w:cs="Arial" w:eastAsia="Arial" w:hAnsi="Arial"/>
                <w:sz w:val="9"/>
                <w:szCs w:val="9"/>
                <w:color w:val="auto"/>
              </w:rPr>
              <w:t>0.71%</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303,855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142.45</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143.76</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2018</w:t>
            </w:r>
          </w:p>
        </w:tc>
        <w:tc>
          <w:tcPr>
            <w:tcW w:w="640" w:type="dxa"/>
            <w:vAlign w:val="bottom"/>
          </w:tcPr>
          <w:p>
            <w:pPr>
              <w:jc w:val="right"/>
              <w:spacing w:after="0"/>
              <w:rPr>
                <w:sz w:val="20"/>
                <w:szCs w:val="20"/>
                <w:color w:val="auto"/>
              </w:rPr>
            </w:pPr>
            <w:r>
              <w:rPr>
                <w:rFonts w:ascii="Arial" w:cs="Arial" w:eastAsia="Arial" w:hAnsi="Arial"/>
                <w:sz w:val="9"/>
                <w:szCs w:val="9"/>
                <w:color w:val="auto"/>
              </w:rPr>
              <w:t>8</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62,051</w:t>
            </w:r>
          </w:p>
        </w:tc>
        <w:tc>
          <w:tcPr>
            <w:tcW w:w="520" w:type="dxa"/>
            <w:vAlign w:val="bottom"/>
          </w:tcPr>
          <w:p>
            <w:pPr>
              <w:jc w:val="right"/>
              <w:spacing w:after="0"/>
              <w:rPr>
                <w:sz w:val="20"/>
                <w:szCs w:val="20"/>
                <w:color w:val="auto"/>
              </w:rPr>
            </w:pPr>
            <w:r>
              <w:rPr>
                <w:rFonts w:ascii="Arial" w:cs="Arial" w:eastAsia="Arial" w:hAnsi="Arial"/>
                <w:sz w:val="9"/>
                <w:szCs w:val="9"/>
                <w:color w:val="auto"/>
              </w:rPr>
              <w:t>7.02%</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11,661,203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187.93</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537.79</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7</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13,587</w:t>
            </w:r>
          </w:p>
        </w:tc>
        <w:tc>
          <w:tcPr>
            <w:tcW w:w="520" w:type="dxa"/>
            <w:vAlign w:val="bottom"/>
          </w:tcPr>
          <w:p>
            <w:pPr>
              <w:jc w:val="right"/>
              <w:spacing w:after="0"/>
              <w:rPr>
                <w:sz w:val="20"/>
                <w:szCs w:val="20"/>
                <w:color w:val="auto"/>
              </w:rPr>
            </w:pPr>
            <w:r>
              <w:rPr>
                <w:rFonts w:ascii="Arial" w:cs="Arial" w:eastAsia="Arial" w:hAnsi="Arial"/>
                <w:sz w:val="9"/>
                <w:szCs w:val="9"/>
                <w:color w:val="auto"/>
              </w:rPr>
              <w:t>4.51%</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1,997,101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146.99</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159.83</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2019</w:t>
            </w:r>
          </w:p>
        </w:tc>
        <w:tc>
          <w:tcPr>
            <w:tcW w:w="640" w:type="dxa"/>
            <w:vAlign w:val="bottom"/>
          </w:tcPr>
          <w:p>
            <w:pPr>
              <w:jc w:val="right"/>
              <w:spacing w:after="0"/>
              <w:rPr>
                <w:sz w:val="20"/>
                <w:szCs w:val="20"/>
                <w:color w:val="auto"/>
              </w:rPr>
            </w:pPr>
            <w:r>
              <w:rPr>
                <w:rFonts w:ascii="Arial" w:cs="Arial" w:eastAsia="Arial" w:hAnsi="Arial"/>
                <w:sz w:val="9"/>
                <w:szCs w:val="9"/>
                <w:color w:val="auto"/>
              </w:rPr>
              <w:t>7</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58,084</w:t>
            </w:r>
          </w:p>
        </w:tc>
        <w:tc>
          <w:tcPr>
            <w:tcW w:w="520" w:type="dxa"/>
            <w:vAlign w:val="bottom"/>
          </w:tcPr>
          <w:p>
            <w:pPr>
              <w:jc w:val="right"/>
              <w:spacing w:after="0"/>
              <w:rPr>
                <w:sz w:val="20"/>
                <w:szCs w:val="20"/>
                <w:color w:val="auto"/>
              </w:rPr>
            </w:pPr>
            <w:r>
              <w:rPr>
                <w:rFonts w:ascii="Arial" w:cs="Arial" w:eastAsia="Arial" w:hAnsi="Arial"/>
                <w:sz w:val="9"/>
                <w:szCs w:val="9"/>
                <w:color w:val="auto"/>
              </w:rPr>
              <w:t>6.57%</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5,039,237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86.76</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213.40</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7,400</w:t>
            </w:r>
          </w:p>
        </w:tc>
        <w:tc>
          <w:tcPr>
            <w:tcW w:w="520" w:type="dxa"/>
            <w:vAlign w:val="bottom"/>
          </w:tcPr>
          <w:p>
            <w:pPr>
              <w:jc w:val="right"/>
              <w:spacing w:after="0"/>
              <w:rPr>
                <w:sz w:val="20"/>
                <w:szCs w:val="20"/>
                <w:color w:val="auto"/>
              </w:rPr>
            </w:pPr>
            <w:r>
              <w:rPr>
                <w:rFonts w:ascii="Arial" w:cs="Arial" w:eastAsia="Arial" w:hAnsi="Arial"/>
                <w:sz w:val="9"/>
                <w:szCs w:val="9"/>
                <w:color w:val="auto"/>
              </w:rPr>
              <w:t>2.45%</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1,201,049</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162.30</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195.41</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2020</w:t>
            </w:r>
          </w:p>
        </w:tc>
        <w:tc>
          <w:tcPr>
            <w:tcW w:w="640" w:type="dxa"/>
            <w:vAlign w:val="bottom"/>
          </w:tcPr>
          <w:p>
            <w:pPr>
              <w:jc w:val="right"/>
              <w:spacing w:after="0"/>
              <w:rPr>
                <w:sz w:val="20"/>
                <w:szCs w:val="20"/>
                <w:color w:val="auto"/>
              </w:rPr>
            </w:pPr>
            <w:r>
              <w:rPr>
                <w:rFonts w:ascii="Arial" w:cs="Arial" w:eastAsia="Arial" w:hAnsi="Arial"/>
                <w:sz w:val="9"/>
                <w:szCs w:val="9"/>
                <w:color w:val="auto"/>
              </w:rPr>
              <w:t>11</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59,121</w:t>
            </w:r>
          </w:p>
        </w:tc>
        <w:tc>
          <w:tcPr>
            <w:tcW w:w="520" w:type="dxa"/>
            <w:vAlign w:val="bottom"/>
          </w:tcPr>
          <w:p>
            <w:pPr>
              <w:jc w:val="right"/>
              <w:spacing w:after="0"/>
              <w:rPr>
                <w:sz w:val="20"/>
                <w:szCs w:val="20"/>
                <w:color w:val="auto"/>
              </w:rPr>
            </w:pPr>
            <w:r>
              <w:rPr>
                <w:rFonts w:ascii="Arial" w:cs="Arial" w:eastAsia="Arial" w:hAnsi="Arial"/>
                <w:sz w:val="9"/>
                <w:szCs w:val="9"/>
                <w:color w:val="auto"/>
              </w:rPr>
              <w:t>6.69%</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7,336,795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124.10</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158.08</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3</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32,800</w:t>
            </w:r>
          </w:p>
        </w:tc>
        <w:tc>
          <w:tcPr>
            <w:tcW w:w="520" w:type="dxa"/>
            <w:vAlign w:val="bottom"/>
          </w:tcPr>
          <w:p>
            <w:pPr>
              <w:jc w:val="right"/>
              <w:spacing w:after="0"/>
              <w:rPr>
                <w:sz w:val="20"/>
                <w:szCs w:val="20"/>
                <w:color w:val="auto"/>
              </w:rPr>
            </w:pPr>
            <w:r>
              <w:rPr>
                <w:rFonts w:ascii="Arial" w:cs="Arial" w:eastAsia="Arial" w:hAnsi="Arial"/>
                <w:sz w:val="9"/>
                <w:szCs w:val="9"/>
                <w:color w:val="auto"/>
              </w:rPr>
              <w:t>10.88%</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1,473,302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44.92</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54.77</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2021</w:t>
            </w:r>
          </w:p>
        </w:tc>
        <w:tc>
          <w:tcPr>
            <w:tcW w:w="640" w:type="dxa"/>
            <w:vAlign w:val="bottom"/>
          </w:tcPr>
          <w:p>
            <w:pPr>
              <w:jc w:val="right"/>
              <w:spacing w:after="0"/>
              <w:rPr>
                <w:sz w:val="20"/>
                <w:szCs w:val="20"/>
                <w:color w:val="auto"/>
              </w:rPr>
            </w:pPr>
            <w:r>
              <w:rPr>
                <w:rFonts w:ascii="Arial" w:cs="Arial" w:eastAsia="Arial" w:hAnsi="Arial"/>
                <w:sz w:val="9"/>
                <w:szCs w:val="9"/>
                <w:color w:val="auto"/>
              </w:rPr>
              <w:t>10</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26,548</w:t>
            </w:r>
          </w:p>
        </w:tc>
        <w:tc>
          <w:tcPr>
            <w:tcW w:w="520" w:type="dxa"/>
            <w:vAlign w:val="bottom"/>
          </w:tcPr>
          <w:p>
            <w:pPr>
              <w:jc w:val="right"/>
              <w:spacing w:after="0"/>
              <w:rPr>
                <w:sz w:val="20"/>
                <w:szCs w:val="20"/>
                <w:color w:val="auto"/>
              </w:rPr>
            </w:pPr>
            <w:r>
              <w:rPr>
                <w:rFonts w:ascii="Arial" w:cs="Arial" w:eastAsia="Arial" w:hAnsi="Arial"/>
                <w:sz w:val="9"/>
                <w:szCs w:val="9"/>
                <w:color w:val="auto"/>
              </w:rPr>
              <w:t>3.00%</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2,782,982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104.83</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142.28</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5,992</w:t>
            </w:r>
          </w:p>
        </w:tc>
        <w:tc>
          <w:tcPr>
            <w:tcW w:w="520" w:type="dxa"/>
            <w:vAlign w:val="bottom"/>
          </w:tcPr>
          <w:p>
            <w:pPr>
              <w:jc w:val="right"/>
              <w:spacing w:after="0"/>
              <w:rPr>
                <w:sz w:val="20"/>
                <w:szCs w:val="20"/>
                <w:color w:val="auto"/>
              </w:rPr>
            </w:pPr>
            <w:r>
              <w:rPr>
                <w:rFonts w:ascii="Arial" w:cs="Arial" w:eastAsia="Arial" w:hAnsi="Arial"/>
                <w:sz w:val="9"/>
                <w:szCs w:val="9"/>
                <w:color w:val="auto"/>
              </w:rPr>
              <w:t>1.99%</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634,337</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105.86</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103.52</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2022</w:t>
            </w:r>
          </w:p>
        </w:tc>
        <w:tc>
          <w:tcPr>
            <w:tcW w:w="640" w:type="dxa"/>
            <w:vAlign w:val="bottom"/>
          </w:tcPr>
          <w:p>
            <w:pPr>
              <w:jc w:val="right"/>
              <w:spacing w:after="0"/>
              <w:rPr>
                <w:sz w:val="20"/>
                <w:szCs w:val="20"/>
                <w:color w:val="auto"/>
              </w:rPr>
            </w:pPr>
            <w:r>
              <w:rPr>
                <w:rFonts w:ascii="Arial" w:cs="Arial" w:eastAsia="Arial" w:hAnsi="Arial"/>
                <w:sz w:val="9"/>
                <w:szCs w:val="9"/>
                <w:color w:val="auto"/>
              </w:rPr>
              <w:t>14</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130,693</w:t>
            </w:r>
          </w:p>
        </w:tc>
        <w:tc>
          <w:tcPr>
            <w:tcW w:w="520" w:type="dxa"/>
            <w:vAlign w:val="bottom"/>
          </w:tcPr>
          <w:p>
            <w:pPr>
              <w:jc w:val="right"/>
              <w:spacing w:after="0"/>
              <w:rPr>
                <w:sz w:val="20"/>
                <w:szCs w:val="20"/>
                <w:color w:val="auto"/>
              </w:rPr>
            </w:pPr>
            <w:r>
              <w:rPr>
                <w:rFonts w:ascii="Arial" w:cs="Arial" w:eastAsia="Arial" w:hAnsi="Arial"/>
                <w:sz w:val="9"/>
                <w:szCs w:val="9"/>
                <w:color w:val="auto"/>
              </w:rPr>
              <w:t>14.79%</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16,025,849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122.62</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158.93</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6</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12,603</w:t>
            </w:r>
          </w:p>
        </w:tc>
        <w:tc>
          <w:tcPr>
            <w:tcW w:w="520" w:type="dxa"/>
            <w:vAlign w:val="bottom"/>
          </w:tcPr>
          <w:p>
            <w:pPr>
              <w:jc w:val="right"/>
              <w:spacing w:after="0"/>
              <w:rPr>
                <w:sz w:val="20"/>
                <w:szCs w:val="20"/>
                <w:color w:val="auto"/>
              </w:rPr>
            </w:pPr>
            <w:r>
              <w:rPr>
                <w:rFonts w:ascii="Arial" w:cs="Arial" w:eastAsia="Arial" w:hAnsi="Arial"/>
                <w:sz w:val="9"/>
                <w:szCs w:val="9"/>
                <w:color w:val="auto"/>
              </w:rPr>
              <w:t>4.18%</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1,597,224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126.73</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175.49</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2023</w:t>
            </w:r>
          </w:p>
        </w:tc>
        <w:tc>
          <w:tcPr>
            <w:tcW w:w="640" w:type="dxa"/>
            <w:vAlign w:val="bottom"/>
          </w:tcPr>
          <w:p>
            <w:pPr>
              <w:jc w:val="right"/>
              <w:spacing w:after="0"/>
              <w:rPr>
                <w:sz w:val="20"/>
                <w:szCs w:val="20"/>
                <w:color w:val="auto"/>
              </w:rPr>
            </w:pPr>
            <w:r>
              <w:rPr>
                <w:rFonts w:ascii="Arial" w:cs="Arial" w:eastAsia="Arial" w:hAnsi="Arial"/>
                <w:sz w:val="9"/>
                <w:szCs w:val="9"/>
                <w:color w:val="auto"/>
              </w:rPr>
              <w:t>5</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38,875</w:t>
            </w:r>
          </w:p>
        </w:tc>
        <w:tc>
          <w:tcPr>
            <w:tcW w:w="520" w:type="dxa"/>
            <w:vAlign w:val="bottom"/>
          </w:tcPr>
          <w:p>
            <w:pPr>
              <w:jc w:val="right"/>
              <w:spacing w:after="0"/>
              <w:rPr>
                <w:sz w:val="20"/>
                <w:szCs w:val="20"/>
                <w:color w:val="auto"/>
              </w:rPr>
            </w:pPr>
            <w:r>
              <w:rPr>
                <w:rFonts w:ascii="Arial" w:cs="Arial" w:eastAsia="Arial" w:hAnsi="Arial"/>
                <w:sz w:val="9"/>
                <w:szCs w:val="9"/>
                <w:color w:val="auto"/>
              </w:rPr>
              <w:t>4.40%</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5,149,530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132.46</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146.06</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4</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15,009</w:t>
            </w:r>
          </w:p>
        </w:tc>
        <w:tc>
          <w:tcPr>
            <w:tcW w:w="520" w:type="dxa"/>
            <w:vAlign w:val="bottom"/>
          </w:tcPr>
          <w:p>
            <w:pPr>
              <w:jc w:val="right"/>
              <w:spacing w:after="0"/>
              <w:rPr>
                <w:sz w:val="20"/>
                <w:szCs w:val="20"/>
                <w:color w:val="auto"/>
              </w:rPr>
            </w:pPr>
            <w:r>
              <w:rPr>
                <w:rFonts w:ascii="Arial" w:cs="Arial" w:eastAsia="Arial" w:hAnsi="Arial"/>
                <w:sz w:val="9"/>
                <w:szCs w:val="9"/>
                <w:color w:val="auto"/>
              </w:rPr>
              <w:t>4.98%</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1,397,306</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93.10</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94.67</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2024</w:t>
            </w:r>
          </w:p>
        </w:tc>
        <w:tc>
          <w:tcPr>
            <w:tcW w:w="640" w:type="dxa"/>
            <w:vAlign w:val="bottom"/>
          </w:tcPr>
          <w:p>
            <w:pPr>
              <w:jc w:val="right"/>
              <w:spacing w:after="0"/>
              <w:rPr>
                <w:sz w:val="20"/>
                <w:szCs w:val="20"/>
                <w:color w:val="auto"/>
              </w:rPr>
            </w:pPr>
            <w:r>
              <w:rPr>
                <w:rFonts w:ascii="Arial" w:cs="Arial" w:eastAsia="Arial" w:hAnsi="Arial"/>
                <w:sz w:val="9"/>
                <w:szCs w:val="9"/>
                <w:color w:val="auto"/>
              </w:rPr>
              <w:t>7</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28,143</w:t>
            </w:r>
          </w:p>
        </w:tc>
        <w:tc>
          <w:tcPr>
            <w:tcW w:w="520" w:type="dxa"/>
            <w:vAlign w:val="bottom"/>
          </w:tcPr>
          <w:p>
            <w:pPr>
              <w:jc w:val="right"/>
              <w:spacing w:after="0"/>
              <w:rPr>
                <w:sz w:val="20"/>
                <w:szCs w:val="20"/>
                <w:color w:val="auto"/>
              </w:rPr>
            </w:pPr>
            <w:r>
              <w:rPr>
                <w:rFonts w:ascii="Arial" w:cs="Arial" w:eastAsia="Arial" w:hAnsi="Arial"/>
                <w:sz w:val="9"/>
                <w:szCs w:val="9"/>
                <w:color w:val="auto"/>
              </w:rPr>
              <w:t>3.19%</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4,747,831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168.70</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163.24</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11</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30,774</w:t>
            </w:r>
          </w:p>
        </w:tc>
        <w:tc>
          <w:tcPr>
            <w:tcW w:w="520" w:type="dxa"/>
            <w:vAlign w:val="bottom"/>
          </w:tcPr>
          <w:p>
            <w:pPr>
              <w:jc w:val="right"/>
              <w:spacing w:after="0"/>
              <w:rPr>
                <w:sz w:val="20"/>
                <w:szCs w:val="20"/>
                <w:color w:val="auto"/>
              </w:rPr>
            </w:pPr>
            <w:r>
              <w:rPr>
                <w:rFonts w:ascii="Arial" w:cs="Arial" w:eastAsia="Arial" w:hAnsi="Arial"/>
                <w:sz w:val="9"/>
                <w:szCs w:val="9"/>
                <w:color w:val="auto"/>
              </w:rPr>
              <w:t>10.21%</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3,399,608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110.47</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150.11</w:t>
            </w:r>
          </w:p>
        </w:tc>
        <w:tc>
          <w:tcPr>
            <w:tcW w:w="0" w:type="dxa"/>
            <w:vAlign w:val="bottom"/>
          </w:tcPr>
          <w:p>
            <w:pPr>
              <w:spacing w:after="0"/>
              <w:rPr>
                <w:sz w:val="1"/>
                <w:szCs w:val="1"/>
                <w:color w:val="auto"/>
              </w:rPr>
            </w:pPr>
          </w:p>
        </w:tc>
      </w:tr>
      <w:tr>
        <w:trPr>
          <w:trHeight w:val="219"/>
        </w:trPr>
        <w:tc>
          <w:tcPr>
            <w:tcW w:w="600" w:type="dxa"/>
            <w:vAlign w:val="bottom"/>
          </w:tcPr>
          <w:p>
            <w:pPr>
              <w:jc w:val="right"/>
              <w:ind w:right="76"/>
              <w:spacing w:after="0"/>
              <w:rPr>
                <w:sz w:val="20"/>
                <w:szCs w:val="20"/>
                <w:color w:val="auto"/>
              </w:rPr>
            </w:pPr>
            <w:r>
              <w:rPr>
                <w:rFonts w:ascii="Arial" w:cs="Arial" w:eastAsia="Arial" w:hAnsi="Arial"/>
                <w:sz w:val="9"/>
                <w:szCs w:val="9"/>
                <w:color w:val="auto"/>
              </w:rPr>
              <w:t>2025</w:t>
            </w:r>
          </w:p>
        </w:tc>
        <w:tc>
          <w:tcPr>
            <w:tcW w:w="640" w:type="dxa"/>
            <w:vAlign w:val="bottom"/>
          </w:tcPr>
          <w:p>
            <w:pPr>
              <w:jc w:val="right"/>
              <w:spacing w:after="0"/>
              <w:rPr>
                <w:sz w:val="20"/>
                <w:szCs w:val="20"/>
                <w:color w:val="auto"/>
              </w:rPr>
            </w:pPr>
            <w:r>
              <w:rPr>
                <w:rFonts w:ascii="Arial" w:cs="Arial" w:eastAsia="Arial" w:hAnsi="Arial"/>
                <w:sz w:val="9"/>
                <w:szCs w:val="9"/>
                <w:color w:val="auto"/>
              </w:rPr>
              <w:t>12</w:t>
            </w:r>
          </w:p>
        </w:tc>
        <w:tc>
          <w:tcPr>
            <w:tcW w:w="980" w:type="dxa"/>
            <w:vAlign w:val="bottom"/>
          </w:tcPr>
          <w:p>
            <w:pPr>
              <w:jc w:val="right"/>
              <w:ind w:right="76"/>
              <w:spacing w:after="0"/>
              <w:rPr>
                <w:sz w:val="20"/>
                <w:szCs w:val="20"/>
                <w:color w:val="auto"/>
              </w:rPr>
            </w:pPr>
            <w:r>
              <w:rPr>
                <w:rFonts w:ascii="Arial" w:cs="Arial" w:eastAsia="Arial" w:hAnsi="Arial"/>
                <w:sz w:val="9"/>
                <w:szCs w:val="9"/>
                <w:color w:val="auto"/>
              </w:rPr>
              <w:t>54,438</w:t>
            </w:r>
          </w:p>
        </w:tc>
        <w:tc>
          <w:tcPr>
            <w:tcW w:w="520" w:type="dxa"/>
            <w:vAlign w:val="bottom"/>
          </w:tcPr>
          <w:p>
            <w:pPr>
              <w:jc w:val="right"/>
              <w:spacing w:after="0"/>
              <w:rPr>
                <w:sz w:val="20"/>
                <w:szCs w:val="20"/>
                <w:color w:val="auto"/>
              </w:rPr>
            </w:pPr>
            <w:r>
              <w:rPr>
                <w:rFonts w:ascii="Arial" w:cs="Arial" w:eastAsia="Arial" w:hAnsi="Arial"/>
                <w:sz w:val="9"/>
                <w:szCs w:val="9"/>
                <w:color w:val="auto"/>
              </w:rPr>
              <w:t>6.16%</w:t>
            </w:r>
          </w:p>
        </w:tc>
        <w:tc>
          <w:tcPr>
            <w:tcW w:w="1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22,278,489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409.25</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557.12</w:t>
            </w:r>
          </w:p>
        </w:tc>
        <w:tc>
          <w:tcPr>
            <w:tcW w:w="3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4</w:t>
            </w:r>
          </w:p>
        </w:tc>
        <w:tc>
          <w:tcPr>
            <w:tcW w:w="880" w:type="dxa"/>
            <w:vAlign w:val="bottom"/>
          </w:tcPr>
          <w:p>
            <w:pPr>
              <w:jc w:val="right"/>
              <w:ind w:right="56"/>
              <w:spacing w:after="0"/>
              <w:rPr>
                <w:sz w:val="20"/>
                <w:szCs w:val="20"/>
                <w:color w:val="auto"/>
              </w:rPr>
            </w:pPr>
            <w:r>
              <w:rPr>
                <w:rFonts w:ascii="Arial" w:cs="Arial" w:eastAsia="Arial" w:hAnsi="Arial"/>
                <w:sz w:val="9"/>
                <w:szCs w:val="9"/>
                <w:color w:val="auto"/>
              </w:rPr>
              <w:t>3,147</w:t>
            </w:r>
          </w:p>
        </w:tc>
        <w:tc>
          <w:tcPr>
            <w:tcW w:w="520" w:type="dxa"/>
            <w:vAlign w:val="bottom"/>
          </w:tcPr>
          <w:p>
            <w:pPr>
              <w:jc w:val="right"/>
              <w:spacing w:after="0"/>
              <w:rPr>
                <w:sz w:val="20"/>
                <w:szCs w:val="20"/>
                <w:color w:val="auto"/>
              </w:rPr>
            </w:pPr>
            <w:r>
              <w:rPr>
                <w:rFonts w:ascii="Arial" w:cs="Arial" w:eastAsia="Arial" w:hAnsi="Arial"/>
                <w:sz w:val="9"/>
                <w:szCs w:val="9"/>
                <w:color w:val="auto"/>
              </w:rPr>
              <w:t>1.04%</w:t>
            </w:r>
          </w:p>
        </w:tc>
        <w:tc>
          <w:tcPr>
            <w:tcW w:w="8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9"/>
                <w:szCs w:val="9"/>
                <w:color w:val="auto"/>
              </w:rPr>
              <w:t>662,275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210.45</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4"/>
              </w:rPr>
              <w:t>207.62</w:t>
            </w:r>
          </w:p>
        </w:tc>
        <w:tc>
          <w:tcPr>
            <w:tcW w:w="0" w:type="dxa"/>
            <w:vAlign w:val="bottom"/>
          </w:tcPr>
          <w:p>
            <w:pPr>
              <w:spacing w:after="0"/>
              <w:rPr>
                <w:sz w:val="1"/>
                <w:szCs w:val="1"/>
                <w:color w:val="auto"/>
              </w:rPr>
            </w:pPr>
          </w:p>
        </w:tc>
      </w:tr>
      <w:tr>
        <w:trPr>
          <w:trHeight w:val="227"/>
        </w:trPr>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rPr>
              <w:t>Thereafter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30</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345,109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39.06%</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36,328,703</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105.27</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114.09</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22</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175,894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58.35%</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30,877,245</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175.54</w:t>
            </w: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201.14</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rPr>
              <w:t>122</w:t>
            </w:r>
          </w:p>
        </w:tc>
        <w:tc>
          <w:tcPr>
            <w:tcW w:w="980" w:type="dxa"/>
            <w:vAlign w:val="bottom"/>
          </w:tcPr>
          <w:p>
            <w:pPr>
              <w:jc w:val="right"/>
              <w:ind w:right="76"/>
              <w:spacing w:after="0"/>
              <w:rPr>
                <w:sz w:val="20"/>
                <w:szCs w:val="20"/>
                <w:color w:val="auto"/>
              </w:rPr>
            </w:pPr>
            <w:r>
              <w:rPr>
                <w:rFonts w:ascii="Arial" w:cs="Arial" w:eastAsia="Arial" w:hAnsi="Arial"/>
                <w:sz w:val="9"/>
                <w:szCs w:val="9"/>
                <w:b w:val="1"/>
                <w:bCs w:val="1"/>
                <w:color w:val="auto"/>
              </w:rPr>
              <w:t>883,604</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100.00%</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00" w:type="dxa"/>
            <w:vAlign w:val="bottom"/>
          </w:tcPr>
          <w:p>
            <w:pPr>
              <w:jc w:val="right"/>
              <w:ind w:right="16"/>
              <w:spacing w:after="0"/>
              <w:rPr>
                <w:sz w:val="20"/>
                <w:szCs w:val="20"/>
                <w:color w:val="auto"/>
              </w:rPr>
            </w:pPr>
            <w:r>
              <w:rPr>
                <w:rFonts w:ascii="Arial" w:cs="Arial" w:eastAsia="Arial" w:hAnsi="Arial"/>
                <w:sz w:val="9"/>
                <w:szCs w:val="9"/>
                <w:b w:val="1"/>
                <w:bCs w:val="1"/>
                <w:color w:val="auto"/>
              </w:rPr>
              <w:t>120,421,158</w:t>
            </w:r>
          </w:p>
        </w:tc>
        <w:tc>
          <w:tcPr>
            <w:tcW w:w="1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136.28</w:t>
            </w:r>
          </w:p>
        </w:tc>
        <w:tc>
          <w:tcPr>
            <w:tcW w:w="440" w:type="dxa"/>
            <w:vAlign w:val="bottom"/>
          </w:tcPr>
          <w:p>
            <w:pPr>
              <w:jc w:val="right"/>
              <w:ind w:right="336"/>
              <w:spacing w:after="0"/>
              <w:rPr>
                <w:sz w:val="20"/>
                <w:szCs w:val="20"/>
                <w:color w:val="auto"/>
              </w:rPr>
            </w:pPr>
            <w:r>
              <w:rPr>
                <w:rFonts w:ascii="Arial" w:cs="Arial" w:eastAsia="Arial" w:hAnsi="Arial"/>
                <w:sz w:val="9"/>
                <w:szCs w:val="9"/>
                <w:b w:val="1"/>
                <w:bCs w:val="1"/>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w w:val="94"/>
              </w:rPr>
              <w:t>196.59</w:t>
            </w:r>
          </w:p>
        </w:tc>
        <w:tc>
          <w:tcPr>
            <w:tcW w:w="320" w:type="dxa"/>
            <w:vAlign w:val="bottom"/>
          </w:tcPr>
          <w:p>
            <w:pPr>
              <w:spacing w:after="0"/>
              <w:rPr>
                <w:sz w:val="17"/>
                <w:szCs w:val="17"/>
                <w:color w:val="auto"/>
              </w:rPr>
            </w:pPr>
          </w:p>
        </w:tc>
        <w:tc>
          <w:tcPr>
            <w:tcW w:w="660" w:type="dxa"/>
            <w:vAlign w:val="bottom"/>
          </w:tcPr>
          <w:p>
            <w:pPr>
              <w:jc w:val="right"/>
              <w:ind w:right="36"/>
              <w:spacing w:after="0"/>
              <w:rPr>
                <w:sz w:val="20"/>
                <w:szCs w:val="20"/>
                <w:color w:val="auto"/>
              </w:rPr>
            </w:pPr>
            <w:r>
              <w:rPr>
                <w:rFonts w:ascii="Arial" w:cs="Arial" w:eastAsia="Arial" w:hAnsi="Arial"/>
                <w:sz w:val="9"/>
                <w:szCs w:val="9"/>
                <w:b w:val="1"/>
                <w:bCs w:val="1"/>
                <w:color w:val="auto"/>
              </w:rPr>
              <w:t>64</w:t>
            </w:r>
          </w:p>
        </w:tc>
        <w:tc>
          <w:tcPr>
            <w:tcW w:w="880" w:type="dxa"/>
            <w:vAlign w:val="bottom"/>
          </w:tcPr>
          <w:p>
            <w:pPr>
              <w:jc w:val="right"/>
              <w:ind w:right="56"/>
              <w:spacing w:after="0"/>
              <w:rPr>
                <w:sz w:val="20"/>
                <w:szCs w:val="20"/>
                <w:color w:val="auto"/>
              </w:rPr>
            </w:pPr>
            <w:r>
              <w:rPr>
                <w:rFonts w:ascii="Arial" w:cs="Arial" w:eastAsia="Arial" w:hAnsi="Arial"/>
                <w:sz w:val="9"/>
                <w:szCs w:val="9"/>
                <w:b w:val="1"/>
                <w:bCs w:val="1"/>
                <w:color w:val="auto"/>
              </w:rPr>
              <w:t>301,459</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100.00%</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80" w:type="dxa"/>
            <w:vAlign w:val="bottom"/>
          </w:tcPr>
          <w:p>
            <w:pPr>
              <w:jc w:val="right"/>
              <w:ind w:right="36"/>
              <w:spacing w:after="0"/>
              <w:rPr>
                <w:sz w:val="20"/>
                <w:szCs w:val="20"/>
                <w:color w:val="auto"/>
              </w:rPr>
            </w:pPr>
            <w:r>
              <w:rPr>
                <w:rFonts w:ascii="Arial" w:cs="Arial" w:eastAsia="Arial" w:hAnsi="Arial"/>
                <w:sz w:val="9"/>
                <w:szCs w:val="9"/>
                <w:b w:val="1"/>
                <w:bCs w:val="1"/>
                <w:color w:val="auto"/>
              </w:rPr>
              <w:t>43,678,091</w:t>
            </w: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144.89</w:t>
            </w:r>
          </w:p>
        </w:tc>
        <w:tc>
          <w:tcPr>
            <w:tcW w:w="420" w:type="dxa"/>
            <w:vAlign w:val="bottom"/>
          </w:tcPr>
          <w:p>
            <w:pPr>
              <w:jc w:val="right"/>
              <w:ind w:right="316"/>
              <w:spacing w:after="0"/>
              <w:rPr>
                <w:sz w:val="20"/>
                <w:szCs w:val="20"/>
                <w:color w:val="auto"/>
              </w:rPr>
            </w:pPr>
            <w:r>
              <w:rPr>
                <w:rFonts w:ascii="Arial" w:cs="Arial" w:eastAsia="Arial" w:hAnsi="Arial"/>
                <w:sz w:val="9"/>
                <w:szCs w:val="9"/>
                <w:b w:val="1"/>
                <w:bCs w:val="1"/>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w w:val="94"/>
              </w:rPr>
              <w:t>168.41</w:t>
            </w:r>
          </w:p>
        </w:tc>
        <w:tc>
          <w:tcPr>
            <w:tcW w:w="0" w:type="dxa"/>
            <w:vAlign w:val="bottom"/>
          </w:tcPr>
          <w:p>
            <w:pPr>
              <w:spacing w:after="0"/>
              <w:rPr>
                <w:sz w:val="1"/>
                <w:szCs w:val="1"/>
                <w:color w:val="auto"/>
              </w:rPr>
            </w:pPr>
          </w:p>
        </w:tc>
      </w:tr>
      <w:tr>
        <w:trPr>
          <w:trHeight w:val="227"/>
        </w:trPr>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rPr>
              <w:t xml:space="preserve">Vacancy </w:t>
            </w:r>
            <w:r>
              <w:rPr>
                <w:rFonts w:ascii="Arial" w:cs="Arial" w:eastAsia="Arial" w:hAnsi="Arial"/>
                <w:sz w:val="5"/>
                <w:szCs w:val="5"/>
                <w:b w:val="1"/>
                <w:bCs w:val="1"/>
                <w:color w:val="auto"/>
              </w:rPr>
              <w:t>(5)</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31,856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130.89</w:t>
            </w:r>
          </w:p>
        </w:tc>
        <w:tc>
          <w:tcPr>
            <w:tcW w:w="3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33,461</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137.54</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915,460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36"/>
              <w:spacing w:after="0"/>
              <w:rPr>
                <w:sz w:val="20"/>
                <w:szCs w:val="20"/>
                <w:color w:val="auto"/>
              </w:rPr>
            </w:pPr>
            <w:r>
              <w:rPr>
                <w:rFonts w:ascii="Arial" w:cs="Arial" w:eastAsia="Arial" w:hAnsi="Arial"/>
                <w:sz w:val="9"/>
                <w:szCs w:val="9"/>
                <w:b w:val="1"/>
                <w:bCs w:val="1"/>
                <w:color w:val="auto"/>
                <w:w w:val="78"/>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4"/>
              </w:rPr>
              <w:t>194.30</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334,920</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16"/>
              <w:spacing w:after="0"/>
              <w:rPr>
                <w:sz w:val="20"/>
                <w:szCs w:val="20"/>
                <w:color w:val="auto"/>
              </w:rPr>
            </w:pPr>
            <w:r>
              <w:rPr>
                <w:rFonts w:ascii="Arial" w:cs="Arial" w:eastAsia="Arial" w:hAnsi="Arial"/>
                <w:sz w:val="9"/>
                <w:szCs w:val="9"/>
                <w:b w:val="1"/>
                <w:bCs w:val="1"/>
                <w:color w:val="auto"/>
                <w:w w:val="78"/>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4"/>
              </w:rPr>
              <w:t>165.32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97155</wp:posOffset>
            </wp:positionV>
            <wp:extent cx="3636645" cy="784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36645" cy="784225"/>
                    </a:xfrm>
                    <a:prstGeom prst="rect">
                      <a:avLst/>
                    </a:prstGeom>
                    <a:noFill/>
                  </pic:spPr>
                </pic:pic>
              </a:graphicData>
            </a:graphic>
          </wp:anchor>
        </w:drawing>
      </w:r>
    </w:p>
    <w:p>
      <w:pPr>
        <w:spacing w:after="0" w:line="240" w:lineRule="exact"/>
        <w:rPr>
          <w:sz w:val="20"/>
          <w:szCs w:val="20"/>
          <w:color w:val="auto"/>
        </w:rPr>
      </w:pPr>
    </w:p>
    <w:p>
      <w:pPr>
        <w:ind w:left="660" w:hanging="125"/>
        <w:spacing w:after="0"/>
        <w:tabs>
          <w:tab w:leader="none" w:pos="660" w:val="left"/>
        </w:tabs>
        <w:numPr>
          <w:ilvl w:val="0"/>
          <w:numId w:val="33"/>
        </w:numPr>
        <w:rPr>
          <w:rFonts w:ascii="Arial" w:cs="Arial" w:eastAsia="Arial" w:hAnsi="Arial"/>
          <w:sz w:val="9"/>
          <w:szCs w:val="9"/>
          <w:color w:val="auto"/>
        </w:rPr>
      </w:pPr>
      <w:r>
        <w:rPr>
          <w:rFonts w:ascii="Arial" w:cs="Arial" w:eastAsia="Arial" w:hAnsi="Arial"/>
          <w:sz w:val="9"/>
          <w:szCs w:val="9"/>
          <w:color w:val="auto"/>
        </w:rPr>
        <w:t>Includes month to month holdover tenants that expired prior to June 30, 2016.</w:t>
      </w:r>
    </w:p>
    <w:p>
      <w:pPr>
        <w:spacing w:after="0" w:line="115" w:lineRule="exact"/>
        <w:rPr>
          <w:rFonts w:ascii="Arial" w:cs="Arial" w:eastAsia="Arial" w:hAnsi="Arial"/>
          <w:sz w:val="9"/>
          <w:szCs w:val="9"/>
          <w:color w:val="auto"/>
        </w:rPr>
      </w:pPr>
    </w:p>
    <w:p>
      <w:pPr>
        <w:ind w:left="660" w:hanging="125"/>
        <w:spacing w:after="0"/>
        <w:tabs>
          <w:tab w:leader="none" w:pos="660" w:val="left"/>
        </w:tabs>
        <w:numPr>
          <w:ilvl w:val="0"/>
          <w:numId w:val="33"/>
        </w:numPr>
        <w:rPr>
          <w:rFonts w:ascii="Arial" w:cs="Arial" w:eastAsia="Arial" w:hAnsi="Arial"/>
          <w:sz w:val="9"/>
          <w:szCs w:val="9"/>
          <w:color w:val="auto"/>
        </w:rPr>
      </w:pPr>
      <w:r>
        <w:rPr>
          <w:rFonts w:ascii="Arial" w:cs="Arial" w:eastAsia="Arial" w:hAnsi="Arial"/>
          <w:sz w:val="9"/>
          <w:szCs w:val="9"/>
          <w:color w:val="auto"/>
        </w:rPr>
        <w:t>Tenants may have multiple leases.</w:t>
      </w:r>
    </w:p>
    <w:p>
      <w:pPr>
        <w:spacing w:after="0" w:line="115" w:lineRule="exact"/>
        <w:rPr>
          <w:rFonts w:ascii="Arial" w:cs="Arial" w:eastAsia="Arial" w:hAnsi="Arial"/>
          <w:sz w:val="9"/>
          <w:szCs w:val="9"/>
          <w:color w:val="auto"/>
        </w:rPr>
      </w:pPr>
    </w:p>
    <w:p>
      <w:pPr>
        <w:ind w:left="660" w:hanging="125"/>
        <w:spacing w:after="0"/>
        <w:tabs>
          <w:tab w:leader="none" w:pos="660" w:val="left"/>
        </w:tabs>
        <w:numPr>
          <w:ilvl w:val="0"/>
          <w:numId w:val="33"/>
        </w:numPr>
        <w:rPr>
          <w:rFonts w:ascii="Arial" w:cs="Arial" w:eastAsia="Arial" w:hAnsi="Arial"/>
          <w:sz w:val="9"/>
          <w:szCs w:val="9"/>
          <w:color w:val="auto"/>
        </w:rPr>
      </w:pPr>
      <w:r>
        <w:rPr>
          <w:rFonts w:ascii="Arial" w:cs="Arial" w:eastAsia="Arial" w:hAnsi="Arial"/>
          <w:sz w:val="9"/>
          <w:szCs w:val="9"/>
          <w:color w:val="auto"/>
        </w:rPr>
        <w:t>Represents in place annualized rent allocated by year of expiration.</w:t>
      </w:r>
    </w:p>
    <w:p>
      <w:pPr>
        <w:spacing w:after="0" w:line="38" w:lineRule="exact"/>
        <w:rPr>
          <w:rFonts w:ascii="Arial" w:cs="Arial" w:eastAsia="Arial" w:hAnsi="Arial"/>
          <w:sz w:val="9"/>
          <w:szCs w:val="9"/>
          <w:color w:val="auto"/>
        </w:rPr>
      </w:pPr>
    </w:p>
    <w:p>
      <w:pPr>
        <w:ind w:left="700" w:right="5020" w:hanging="165"/>
        <w:spacing w:after="0" w:line="235" w:lineRule="auto"/>
        <w:tabs>
          <w:tab w:leader="none" w:pos="661" w:val="left"/>
        </w:tabs>
        <w:numPr>
          <w:ilvl w:val="0"/>
          <w:numId w:val="33"/>
        </w:numPr>
        <w:rPr>
          <w:rFonts w:ascii="Arial" w:cs="Arial" w:eastAsia="Arial" w:hAnsi="Arial"/>
          <w:sz w:val="9"/>
          <w:szCs w:val="9"/>
          <w:color w:val="auto"/>
        </w:rPr>
      </w:pPr>
      <w:r>
        <w:rPr>
          <w:rFonts w:ascii="Arial" w:cs="Arial" w:eastAsia="Arial" w:hAnsi="Arial"/>
          <w:sz w:val="9"/>
          <w:szCs w:val="9"/>
          <w:color w:val="auto"/>
        </w:rPr>
        <w:t>Management's estimate of average asking rents for currently occupied space as of June 30, 2016. Taking rents are typically lower than asking rents and may vary from property to property.</w:t>
      </w:r>
    </w:p>
    <w:p>
      <w:pPr>
        <w:spacing w:after="0" w:line="114" w:lineRule="exact"/>
        <w:rPr>
          <w:rFonts w:ascii="Arial" w:cs="Arial" w:eastAsia="Arial" w:hAnsi="Arial"/>
          <w:sz w:val="9"/>
          <w:szCs w:val="9"/>
          <w:color w:val="auto"/>
        </w:rPr>
      </w:pPr>
    </w:p>
    <w:p>
      <w:pPr>
        <w:ind w:left="660" w:hanging="125"/>
        <w:spacing w:after="0"/>
        <w:tabs>
          <w:tab w:leader="none" w:pos="660" w:val="left"/>
        </w:tabs>
        <w:numPr>
          <w:ilvl w:val="0"/>
          <w:numId w:val="33"/>
        </w:numPr>
        <w:rPr>
          <w:rFonts w:ascii="Arial" w:cs="Arial" w:eastAsia="Arial" w:hAnsi="Arial"/>
          <w:sz w:val="9"/>
          <w:szCs w:val="9"/>
          <w:color w:val="auto"/>
        </w:rPr>
      </w:pPr>
      <w:r>
        <w:rPr>
          <w:rFonts w:ascii="Arial" w:cs="Arial" w:eastAsia="Arial" w:hAnsi="Arial"/>
          <w:sz w:val="9"/>
          <w:szCs w:val="9"/>
          <w:color w:val="auto"/>
        </w:rPr>
        <w:t>Includes square footage on leases signed but not yet commenced.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48</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20"/>
          </w:cols>
          <w:pgMar w:left="900" w:top="338" w:right="879" w:bottom="1440" w:gutter="0" w:footer="0" w:header="0"/>
        </w:sectPr>
      </w:pPr>
    </w:p>
    <w:bookmarkStart w:id="65" w:name="page66"/>
    <w:bookmarkEnd w:id="65"/>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auto"/>
        </w:rPr>
        <w:t>SUMMARY OF REAL ESTATE 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200" w:type="dxa"/>
        <w:tblCellMar>
          <w:top w:w="0" w:type="dxa"/>
          <w:left w:w="0" w:type="dxa"/>
          <w:bottom w:w="0" w:type="dxa"/>
          <w:right w:w="0" w:type="dxa"/>
        </w:tblCellMar>
      </w:tblPr>
      <w:tr>
        <w:trPr>
          <w:trHeight w:val="94"/>
        </w:trPr>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ind w:left="60"/>
              <w:spacing w:after="0"/>
              <w:rPr>
                <w:sz w:val="20"/>
                <w:szCs w:val="20"/>
                <w:color w:val="auto"/>
              </w:rPr>
            </w:pPr>
            <w:r>
              <w:rPr>
                <w:rFonts w:ascii="Arial" w:cs="Arial" w:eastAsia="Arial" w:hAnsi="Arial"/>
                <w:sz w:val="7"/>
                <w:szCs w:val="7"/>
                <w:b w:val="1"/>
                <w:bCs w:val="1"/>
                <w:color w:val="auto"/>
              </w:rPr>
              <w:t>Occupancy (%)</w:t>
            </w: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w w:val="99"/>
              </w:rPr>
              <w:t>Acquisition</w:t>
            </w:r>
          </w:p>
        </w:tc>
      </w:tr>
      <w:tr>
        <w:trPr>
          <w:trHeight w:val="111"/>
        </w:trPr>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77"/>
        </w:trPr>
        <w:tc>
          <w:tcPr>
            <w:tcW w:w="300" w:type="dxa"/>
            <w:vAlign w:val="bottom"/>
          </w:tcPr>
          <w:p>
            <w:pPr>
              <w:spacing w:after="0"/>
              <w:rPr>
                <w:sz w:val="20"/>
                <w:szCs w:val="20"/>
                <w:color w:val="auto"/>
              </w:rPr>
            </w:pPr>
            <w:r>
              <w:rPr>
                <w:rFonts w:ascii="Arial" w:cs="Arial" w:eastAsia="Arial" w:hAnsi="Arial"/>
                <w:sz w:val="7"/>
                <w:szCs w:val="7"/>
                <w:b w:val="1"/>
                <w:bCs w:val="1"/>
                <w:color w:val="auto"/>
                <w:w w:val="97"/>
              </w:rPr>
              <w:t>Property</w:t>
            </w:r>
          </w:p>
        </w:tc>
        <w:tc>
          <w:tcPr>
            <w:tcW w:w="15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7"/>
                <w:szCs w:val="7"/>
                <w:b w:val="1"/>
                <w:bCs w:val="1"/>
                <w:color w:val="auto"/>
              </w:rPr>
              <w:t>Type of Ownership</w:t>
            </w:r>
          </w:p>
        </w:tc>
        <w:tc>
          <w:tcPr>
            <w:tcW w:w="1800" w:type="dxa"/>
            <w:vAlign w:val="bottom"/>
            <w:gridSpan w:val="3"/>
          </w:tcPr>
          <w:p>
            <w:pPr>
              <w:ind w:left="380"/>
              <w:spacing w:after="0"/>
              <w:rPr>
                <w:sz w:val="20"/>
                <w:szCs w:val="20"/>
                <w:color w:val="auto"/>
              </w:rPr>
            </w:pPr>
            <w:r>
              <w:rPr>
                <w:rFonts w:ascii="Arial" w:cs="Arial" w:eastAsia="Arial" w:hAnsi="Arial"/>
                <w:sz w:val="7"/>
                <w:szCs w:val="7"/>
                <w:b w:val="1"/>
                <w:bCs w:val="1"/>
                <w:color w:val="auto"/>
              </w:rPr>
              <w:t>Submarket</w:t>
            </w:r>
          </w:p>
        </w:tc>
        <w:tc>
          <w:tcPr>
            <w:tcW w:w="960" w:type="dxa"/>
            <w:vAlign w:val="bottom"/>
            <w:gridSpan w:val="2"/>
          </w:tcPr>
          <w:p>
            <w:pPr>
              <w:spacing w:after="0"/>
              <w:rPr>
                <w:sz w:val="20"/>
                <w:szCs w:val="20"/>
                <w:color w:val="auto"/>
              </w:rPr>
            </w:pPr>
            <w:r>
              <w:rPr>
                <w:rFonts w:ascii="Arial" w:cs="Arial" w:eastAsia="Arial" w:hAnsi="Arial"/>
                <w:sz w:val="7"/>
                <w:szCs w:val="7"/>
                <w:b w:val="1"/>
                <w:bCs w:val="1"/>
                <w:color w:val="auto"/>
              </w:rPr>
              <w:t>Net Rentable SF</w:t>
            </w:r>
          </w:p>
        </w:tc>
        <w:tc>
          <w:tcPr>
            <w:tcW w:w="3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7"/>
                <w:szCs w:val="7"/>
                <w:b w:val="1"/>
                <w:bCs w:val="1"/>
                <w:color w:val="auto"/>
              </w:rPr>
              <w:t>at acquisition</w:t>
            </w:r>
          </w:p>
        </w:tc>
        <w:tc>
          <w:tcPr>
            <w:tcW w:w="5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6/30/2016</w:t>
            </w:r>
          </w:p>
        </w:tc>
        <w:tc>
          <w:tcPr>
            <w:tcW w:w="920" w:type="dxa"/>
            <w:vAlign w:val="bottom"/>
            <w:gridSpan w:val="2"/>
          </w:tcPr>
          <w:p>
            <w:pPr>
              <w:jc w:val="center"/>
              <w:ind w:left="424"/>
              <w:spacing w:after="0"/>
              <w:rPr>
                <w:sz w:val="20"/>
                <w:szCs w:val="20"/>
                <w:color w:val="auto"/>
              </w:rPr>
            </w:pPr>
            <w:r>
              <w:rPr>
                <w:rFonts w:ascii="Arial" w:cs="Arial" w:eastAsia="Arial" w:hAnsi="Arial"/>
                <w:sz w:val="7"/>
                <w:szCs w:val="7"/>
                <w:b w:val="1"/>
                <w:bCs w:val="1"/>
                <w:color w:val="auto"/>
              </w:rPr>
              <w:t xml:space="preserve">Price </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's) (1)</w:t>
            </w:r>
          </w:p>
        </w:tc>
      </w:tr>
      <w:tr>
        <w:trPr>
          <w:trHeight w:val="20"/>
        </w:trPr>
        <w:tc>
          <w:tcPr>
            <w:tcW w:w="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7"/>
          <w:szCs w:val="7"/>
          <w:b w:val="1"/>
          <w:bCs w:val="1"/>
          <w:color w:val="auto"/>
        </w:rPr>
        <w:t>1998 - 2015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79375</wp:posOffset>
            </wp:positionV>
            <wp:extent cx="638429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84290" cy="6985"/>
                    </a:xfrm>
                    <a:prstGeom prst="rect">
                      <a:avLst/>
                    </a:prstGeom>
                    <a:noFill/>
                  </pic:spPr>
                </pic:pic>
              </a:graphicData>
            </a:graphic>
          </wp:anchor>
        </w:drawing>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86"/>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Mar-98</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420</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Operating Sublease</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1,188,000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83.0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98.1</w:t>
            </w: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600" w:type="dxa"/>
            <w:vAlign w:val="bottom"/>
          </w:tcPr>
          <w:p>
            <w:pPr>
              <w:jc w:val="right"/>
              <w:spacing w:after="0"/>
              <w:rPr>
                <w:sz w:val="20"/>
                <w:szCs w:val="20"/>
                <w:color w:val="auto"/>
              </w:rPr>
            </w:pPr>
            <w:r>
              <w:rPr>
                <w:rFonts w:ascii="Arial" w:cs="Arial" w:eastAsia="Arial" w:hAnsi="Arial"/>
                <w:sz w:val="7"/>
                <w:szCs w:val="7"/>
                <w:color w:val="auto"/>
              </w:rPr>
              <w:t>78,000,000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May-98</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711</w:t>
            </w:r>
          </w:p>
        </w:tc>
        <w:tc>
          <w:tcPr>
            <w:tcW w:w="1580" w:type="dxa"/>
            <w:vAlign w:val="bottom"/>
          </w:tcPr>
          <w:p>
            <w:pPr>
              <w:ind w:left="20"/>
              <w:spacing w:after="0"/>
              <w:rPr>
                <w:sz w:val="20"/>
                <w:szCs w:val="20"/>
                <w:color w:val="auto"/>
              </w:rPr>
            </w:pPr>
            <w:r>
              <w:rPr>
                <w:rFonts w:ascii="Arial" w:cs="Arial" w:eastAsia="Arial" w:hAnsi="Arial"/>
                <w:sz w:val="7"/>
                <w:szCs w:val="7"/>
                <w:color w:val="auto"/>
              </w:rPr>
              <w:t>3rd Avenue</w:t>
            </w:r>
          </w:p>
        </w:tc>
        <w:tc>
          <w:tcPr>
            <w:tcW w:w="1420" w:type="dxa"/>
            <w:vAlign w:val="bottom"/>
          </w:tcPr>
          <w:p>
            <w:pPr>
              <w:ind w:left="180"/>
              <w:spacing w:after="0"/>
              <w:rPr>
                <w:sz w:val="20"/>
                <w:szCs w:val="20"/>
                <w:color w:val="auto"/>
              </w:rPr>
            </w:pPr>
            <w:r>
              <w:rPr>
                <w:rFonts w:ascii="Arial" w:cs="Arial" w:eastAsia="Arial" w:hAnsi="Arial"/>
                <w:sz w:val="7"/>
                <w:szCs w:val="7"/>
                <w:color w:val="auto"/>
              </w:rPr>
              <w:t>Operating Sublease</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524,000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79.0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68.3</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65,600,000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Jun-98</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440</w:t>
            </w:r>
          </w:p>
        </w:tc>
        <w:tc>
          <w:tcPr>
            <w:tcW w:w="1580" w:type="dxa"/>
            <w:vAlign w:val="bottom"/>
          </w:tcPr>
          <w:p>
            <w:pPr>
              <w:ind w:left="20"/>
              <w:spacing w:after="0"/>
              <w:rPr>
                <w:sz w:val="20"/>
                <w:szCs w:val="20"/>
                <w:color w:val="auto"/>
              </w:rPr>
            </w:pPr>
            <w:r>
              <w:rPr>
                <w:rFonts w:ascii="Arial" w:cs="Arial" w:eastAsia="Arial" w:hAnsi="Arial"/>
                <w:sz w:val="7"/>
                <w:szCs w:val="7"/>
                <w:color w:val="auto"/>
              </w:rPr>
              <w:t>9th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Penn Station</w:t>
            </w:r>
          </w:p>
        </w:tc>
        <w:tc>
          <w:tcPr>
            <w:tcW w:w="780" w:type="dxa"/>
            <w:vAlign w:val="bottom"/>
          </w:tcPr>
          <w:p>
            <w:pPr>
              <w:jc w:val="right"/>
              <w:spacing w:after="0"/>
              <w:rPr>
                <w:sz w:val="20"/>
                <w:szCs w:val="20"/>
                <w:color w:val="auto"/>
              </w:rPr>
            </w:pPr>
            <w:r>
              <w:rPr>
                <w:rFonts w:ascii="Arial" w:cs="Arial" w:eastAsia="Arial" w:hAnsi="Arial"/>
                <w:sz w:val="7"/>
                <w:szCs w:val="7"/>
                <w:color w:val="auto"/>
              </w:rPr>
              <w:t>339,000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76.0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32,000,000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Jan-99</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420</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Leasehold</w:t>
            </w:r>
          </w:p>
        </w:tc>
        <w:tc>
          <w:tcPr>
            <w:tcW w:w="1420" w:type="dxa"/>
            <w:vAlign w:val="bottom"/>
          </w:tcPr>
          <w:p>
            <w:pPr>
              <w:ind w:left="180"/>
              <w:spacing w:after="0"/>
              <w:rPr>
                <w:sz w:val="20"/>
                <w:szCs w:val="20"/>
                <w:color w:val="auto"/>
              </w:rPr>
            </w:pPr>
            <w:r>
              <w:rPr>
                <w:rFonts w:ascii="Arial" w:cs="Arial" w:eastAsia="Arial" w:hAnsi="Arial"/>
                <w:sz w:val="7"/>
                <w:szCs w:val="7"/>
                <w:color w:val="auto"/>
              </w:rPr>
              <w:t>Sub-leasehold</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27,300,000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Jan-99</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555</w:t>
            </w:r>
          </w:p>
        </w:tc>
        <w:tc>
          <w:tcPr>
            <w:tcW w:w="1580" w:type="dxa"/>
            <w:vAlign w:val="bottom"/>
          </w:tcPr>
          <w:p>
            <w:pPr>
              <w:ind w:left="20"/>
              <w:spacing w:after="0"/>
              <w:rPr>
                <w:sz w:val="20"/>
                <w:szCs w:val="20"/>
                <w:color w:val="auto"/>
              </w:rPr>
            </w:pPr>
            <w:r>
              <w:rPr>
                <w:rFonts w:ascii="Arial" w:cs="Arial" w:eastAsia="Arial" w:hAnsi="Arial"/>
                <w:sz w:val="7"/>
                <w:szCs w:val="7"/>
                <w:color w:val="auto"/>
              </w:rPr>
              <w:t>West 57th Street - 65%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 West</w:t>
            </w:r>
          </w:p>
        </w:tc>
        <w:tc>
          <w:tcPr>
            <w:tcW w:w="780" w:type="dxa"/>
            <w:vAlign w:val="bottom"/>
          </w:tcPr>
          <w:p>
            <w:pPr>
              <w:jc w:val="right"/>
              <w:spacing w:after="0"/>
              <w:rPr>
                <w:sz w:val="20"/>
                <w:szCs w:val="20"/>
                <w:color w:val="auto"/>
              </w:rPr>
            </w:pPr>
            <w:r>
              <w:rPr>
                <w:rFonts w:ascii="Arial" w:cs="Arial" w:eastAsia="Arial" w:hAnsi="Arial"/>
                <w:sz w:val="7"/>
                <w:szCs w:val="7"/>
                <w:color w:val="auto"/>
              </w:rPr>
              <w:t>941,000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99.9</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66,700,000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Aug-99</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1250 Broadway - 50%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Penn Station</w:t>
            </w:r>
          </w:p>
        </w:tc>
        <w:tc>
          <w:tcPr>
            <w:tcW w:w="780" w:type="dxa"/>
            <w:vAlign w:val="bottom"/>
          </w:tcPr>
          <w:p>
            <w:pPr>
              <w:jc w:val="right"/>
              <w:spacing w:after="0"/>
              <w:rPr>
                <w:sz w:val="20"/>
                <w:szCs w:val="20"/>
                <w:color w:val="auto"/>
              </w:rPr>
            </w:pPr>
            <w:r>
              <w:rPr>
                <w:rFonts w:ascii="Arial" w:cs="Arial" w:eastAsia="Arial" w:hAnsi="Arial"/>
                <w:sz w:val="7"/>
                <w:szCs w:val="7"/>
                <w:color w:val="auto"/>
              </w:rPr>
              <w:t>670,000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96.5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93,000,000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Nov-99</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555</w:t>
            </w:r>
          </w:p>
        </w:tc>
        <w:tc>
          <w:tcPr>
            <w:tcW w:w="1580" w:type="dxa"/>
            <w:vAlign w:val="bottom"/>
          </w:tcPr>
          <w:p>
            <w:pPr>
              <w:ind w:left="20"/>
              <w:spacing w:after="0"/>
              <w:rPr>
                <w:sz w:val="20"/>
                <w:szCs w:val="20"/>
                <w:color w:val="auto"/>
              </w:rPr>
            </w:pPr>
            <w:r>
              <w:rPr>
                <w:rFonts w:ascii="Arial" w:cs="Arial" w:eastAsia="Arial" w:hAnsi="Arial"/>
                <w:sz w:val="7"/>
                <w:szCs w:val="7"/>
                <w:color w:val="auto"/>
              </w:rPr>
              <w:t>West 57th Street - remaining 35%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 West</w:t>
            </w:r>
          </w:p>
        </w:tc>
        <w:tc>
          <w:tcPr>
            <w:tcW w:w="780" w:type="dxa"/>
            <w:vAlign w:val="bottom"/>
          </w:tcPr>
          <w:p>
            <w:pPr>
              <w:jc w:val="right"/>
              <w:spacing w:after="0"/>
              <w:rPr>
                <w:sz w:val="20"/>
                <w:szCs w:val="20"/>
                <w:color w:val="auto"/>
              </w:rPr>
            </w:pPr>
            <w:r>
              <w:rPr>
                <w:rFonts w:ascii="Arial" w:cs="Arial" w:eastAsia="Arial" w:hAnsi="Arial"/>
                <w:sz w:val="7"/>
                <w:szCs w:val="7"/>
                <w:color w:val="auto"/>
              </w:rPr>
              <w:t>—</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99.9</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34,100,000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Feb-00</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100</w:t>
            </w:r>
          </w:p>
        </w:tc>
        <w:tc>
          <w:tcPr>
            <w:tcW w:w="1580" w:type="dxa"/>
            <w:vAlign w:val="bottom"/>
          </w:tcPr>
          <w:p>
            <w:pPr>
              <w:ind w:left="20"/>
              <w:spacing w:after="0"/>
              <w:rPr>
                <w:sz w:val="20"/>
                <w:szCs w:val="20"/>
                <w:color w:val="auto"/>
              </w:rPr>
            </w:pPr>
            <w:r>
              <w:rPr>
                <w:rFonts w:ascii="Arial" w:cs="Arial" w:eastAsia="Arial" w:hAnsi="Arial"/>
                <w:sz w:val="7"/>
                <w:szCs w:val="7"/>
                <w:color w:val="auto"/>
              </w:rPr>
              <w:t>Park Avenue - 50%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834,000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96.5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97.7</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192,000,000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Jun-01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317</w:t>
            </w:r>
          </w:p>
        </w:tc>
        <w:tc>
          <w:tcPr>
            <w:tcW w:w="158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450,000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95.0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105,600,000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Sep-01</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1250 Broadway - 49.9% JV (2)</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Penn Station</w:t>
            </w:r>
          </w:p>
        </w:tc>
        <w:tc>
          <w:tcPr>
            <w:tcW w:w="780" w:type="dxa"/>
            <w:vAlign w:val="bottom"/>
          </w:tcPr>
          <w:p>
            <w:pPr>
              <w:jc w:val="right"/>
              <w:spacing w:after="0"/>
              <w:rPr>
                <w:sz w:val="20"/>
                <w:szCs w:val="20"/>
                <w:color w:val="auto"/>
              </w:rPr>
            </w:pPr>
            <w:r>
              <w:rPr>
                <w:rFonts w:ascii="Arial" w:cs="Arial" w:eastAsia="Arial" w:hAnsi="Arial"/>
                <w:sz w:val="7"/>
                <w:szCs w:val="7"/>
                <w:color w:val="auto"/>
              </w:rPr>
              <w:t>670,000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97.7</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126,500,000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May-02</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1515 Broadway - 55%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Times Square</w:t>
            </w:r>
          </w:p>
        </w:tc>
        <w:tc>
          <w:tcPr>
            <w:tcW w:w="780" w:type="dxa"/>
            <w:vAlign w:val="bottom"/>
          </w:tcPr>
          <w:p>
            <w:pPr>
              <w:jc w:val="right"/>
              <w:spacing w:after="0"/>
              <w:rPr>
                <w:sz w:val="20"/>
                <w:szCs w:val="20"/>
                <w:color w:val="auto"/>
              </w:rPr>
            </w:pPr>
            <w:r>
              <w:rPr>
                <w:rFonts w:ascii="Arial" w:cs="Arial" w:eastAsia="Arial" w:hAnsi="Arial"/>
                <w:sz w:val="7"/>
                <w:szCs w:val="7"/>
                <w:color w:val="auto"/>
              </w:rPr>
              <w:t>1,750,000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98.4</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483,500,000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Feb-03</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220</w:t>
            </w:r>
          </w:p>
        </w:tc>
        <w:tc>
          <w:tcPr>
            <w:tcW w:w="158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1,135,000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91.9</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88.1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265,000,000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Mar-03</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125</w:t>
            </w:r>
          </w:p>
        </w:tc>
        <w:tc>
          <w:tcPr>
            <w:tcW w:w="1580" w:type="dxa"/>
            <w:vAlign w:val="bottom"/>
          </w:tcPr>
          <w:p>
            <w:pPr>
              <w:ind w:left="20"/>
              <w:spacing w:after="0"/>
              <w:rPr>
                <w:sz w:val="20"/>
                <w:szCs w:val="20"/>
                <w:color w:val="auto"/>
              </w:rPr>
            </w:pPr>
            <w:r>
              <w:rPr>
                <w:rFonts w:ascii="Arial" w:cs="Arial" w:eastAsia="Arial" w:hAnsi="Arial"/>
                <w:sz w:val="7"/>
                <w:szCs w:val="7"/>
                <w:color w:val="auto"/>
              </w:rPr>
              <w:t>Broad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Downtown</w:t>
            </w:r>
          </w:p>
        </w:tc>
        <w:tc>
          <w:tcPr>
            <w:tcW w:w="780" w:type="dxa"/>
            <w:vAlign w:val="bottom"/>
          </w:tcPr>
          <w:p>
            <w:pPr>
              <w:jc w:val="right"/>
              <w:spacing w:after="0"/>
              <w:rPr>
                <w:sz w:val="20"/>
                <w:szCs w:val="20"/>
                <w:color w:val="auto"/>
              </w:rPr>
            </w:pPr>
            <w:r>
              <w:rPr>
                <w:rFonts w:ascii="Arial" w:cs="Arial" w:eastAsia="Arial" w:hAnsi="Arial"/>
                <w:sz w:val="7"/>
                <w:szCs w:val="7"/>
                <w:color w:val="auto"/>
              </w:rPr>
              <w:t>525,000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92,000,000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Oct-03</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461</w:t>
            </w:r>
          </w:p>
        </w:tc>
        <w:tc>
          <w:tcPr>
            <w:tcW w:w="158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200,000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93.9</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99.9</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60,900,000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Dec-03</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1221 Avenue of the Americas - 45%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Rockefeller Center</w:t>
            </w:r>
          </w:p>
        </w:tc>
        <w:tc>
          <w:tcPr>
            <w:tcW w:w="780" w:type="dxa"/>
            <w:vAlign w:val="bottom"/>
          </w:tcPr>
          <w:p>
            <w:pPr>
              <w:jc w:val="right"/>
              <w:spacing w:after="0"/>
              <w:rPr>
                <w:sz w:val="20"/>
                <w:szCs w:val="20"/>
                <w:color w:val="auto"/>
              </w:rPr>
            </w:pPr>
            <w:r>
              <w:rPr>
                <w:rFonts w:ascii="Arial" w:cs="Arial" w:eastAsia="Arial" w:hAnsi="Arial"/>
                <w:sz w:val="7"/>
                <w:szCs w:val="7"/>
                <w:color w:val="auto"/>
              </w:rPr>
              <w:t>2,550,000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98.8</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1,000,000,000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Mar-04</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19 West 44th Street - 35%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292,000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86.0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67,000,000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Jul-04</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750</w:t>
            </w:r>
          </w:p>
        </w:tc>
        <w:tc>
          <w:tcPr>
            <w:tcW w:w="158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779,000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97.5</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255,000,000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Jul-04</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485</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 - 30%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921,000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225,000,000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Oct-04</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625</w:t>
            </w:r>
          </w:p>
        </w:tc>
        <w:tc>
          <w:tcPr>
            <w:tcW w:w="158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Plaza District</w:t>
            </w:r>
          </w:p>
        </w:tc>
        <w:tc>
          <w:tcPr>
            <w:tcW w:w="780" w:type="dxa"/>
            <w:vAlign w:val="bottom"/>
          </w:tcPr>
          <w:p>
            <w:pPr>
              <w:jc w:val="right"/>
              <w:spacing w:after="0"/>
              <w:rPr>
                <w:sz w:val="20"/>
                <w:szCs w:val="20"/>
                <w:color w:val="auto"/>
              </w:rPr>
            </w:pPr>
            <w:r>
              <w:rPr>
                <w:rFonts w:ascii="Arial" w:cs="Arial" w:eastAsia="Arial" w:hAnsi="Arial"/>
                <w:sz w:val="7"/>
                <w:szCs w:val="7"/>
                <w:color w:val="auto"/>
              </w:rPr>
              <w:t>563,000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68.0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98.2</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231,500,000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Feb-05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28 West 44th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359,000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87.0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105,000,000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Apr-05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 Madison Avenue - 55%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 South</w:t>
            </w:r>
          </w:p>
        </w:tc>
        <w:tc>
          <w:tcPr>
            <w:tcW w:w="780" w:type="dxa"/>
            <w:vAlign w:val="bottom"/>
          </w:tcPr>
          <w:p>
            <w:pPr>
              <w:jc w:val="right"/>
              <w:spacing w:after="0"/>
              <w:rPr>
                <w:sz w:val="20"/>
                <w:szCs w:val="20"/>
                <w:color w:val="auto"/>
              </w:rPr>
            </w:pPr>
            <w:r>
              <w:rPr>
                <w:rFonts w:ascii="Arial" w:cs="Arial" w:eastAsia="Arial" w:hAnsi="Arial"/>
                <w:sz w:val="7"/>
                <w:szCs w:val="7"/>
                <w:color w:val="auto"/>
              </w:rPr>
              <w:t>1,177,000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96.0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803,000,000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Apr-05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5 Madison Avenue Clock Tower</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 South</w:t>
            </w:r>
          </w:p>
        </w:tc>
        <w:tc>
          <w:tcPr>
            <w:tcW w:w="780" w:type="dxa"/>
            <w:vAlign w:val="bottom"/>
          </w:tcPr>
          <w:p>
            <w:pPr>
              <w:jc w:val="right"/>
              <w:spacing w:after="0"/>
              <w:rPr>
                <w:sz w:val="20"/>
                <w:szCs w:val="20"/>
                <w:color w:val="auto"/>
              </w:rPr>
            </w:pPr>
            <w:r>
              <w:rPr>
                <w:rFonts w:ascii="Arial" w:cs="Arial" w:eastAsia="Arial" w:hAnsi="Arial"/>
                <w:sz w:val="7"/>
                <w:szCs w:val="7"/>
                <w:color w:val="auto"/>
              </w:rPr>
              <w:t>267,000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N/A</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115,000,000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Jun-05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19 West 44th Street - remaining 65%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91,200,000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Mar-06</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521</w:t>
            </w:r>
          </w:p>
        </w:tc>
        <w:tc>
          <w:tcPr>
            <w:tcW w:w="158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460,000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97.0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86.8</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210,000,000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Jun-06</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609</w:t>
            </w:r>
          </w:p>
        </w:tc>
        <w:tc>
          <w:tcPr>
            <w:tcW w:w="158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160,000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76.1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182,000,000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Dec-06</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485</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 - remaining 70%</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578,000,000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Dec-06</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800</w:t>
            </w:r>
          </w:p>
        </w:tc>
        <w:tc>
          <w:tcPr>
            <w:tcW w:w="1580" w:type="dxa"/>
            <w:vAlign w:val="bottom"/>
          </w:tcPr>
          <w:p>
            <w:pPr>
              <w:ind w:left="20"/>
              <w:spacing w:after="0"/>
              <w:rPr>
                <w:sz w:val="20"/>
                <w:szCs w:val="20"/>
                <w:color w:val="auto"/>
              </w:rPr>
            </w:pPr>
            <w:r>
              <w:rPr>
                <w:rFonts w:ascii="Arial" w:cs="Arial" w:eastAsia="Arial" w:hAnsi="Arial"/>
                <w:sz w:val="7"/>
                <w:szCs w:val="7"/>
                <w:color w:val="auto"/>
              </w:rPr>
              <w:t>Third Avenue - 42.95%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 North</w:t>
            </w:r>
          </w:p>
        </w:tc>
        <w:tc>
          <w:tcPr>
            <w:tcW w:w="780" w:type="dxa"/>
            <w:vAlign w:val="bottom"/>
          </w:tcPr>
          <w:p>
            <w:pPr>
              <w:jc w:val="right"/>
              <w:spacing w:after="0"/>
              <w:rPr>
                <w:sz w:val="20"/>
                <w:szCs w:val="20"/>
                <w:color w:val="auto"/>
              </w:rPr>
            </w:pPr>
            <w:r>
              <w:rPr>
                <w:rFonts w:ascii="Arial" w:cs="Arial" w:eastAsia="Arial" w:hAnsi="Arial"/>
                <w:sz w:val="7"/>
                <w:szCs w:val="7"/>
                <w:color w:val="auto"/>
              </w:rPr>
              <w:t>526,000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96.9</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96.2</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285,000,000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Jan-07</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Reckson - NYC Portfolio</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Interests / 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Various</w:t>
            </w:r>
          </w:p>
        </w:tc>
        <w:tc>
          <w:tcPr>
            <w:tcW w:w="780" w:type="dxa"/>
            <w:vAlign w:val="bottom"/>
          </w:tcPr>
          <w:p>
            <w:pPr>
              <w:jc w:val="right"/>
              <w:spacing w:after="0"/>
              <w:rPr>
                <w:sz w:val="20"/>
                <w:szCs w:val="20"/>
                <w:color w:val="auto"/>
              </w:rPr>
            </w:pPr>
            <w:r>
              <w:rPr>
                <w:rFonts w:ascii="Arial" w:cs="Arial" w:eastAsia="Arial" w:hAnsi="Arial"/>
                <w:sz w:val="7"/>
                <w:szCs w:val="7"/>
                <w:color w:val="auto"/>
              </w:rPr>
              <w:t>5,612,000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98.3</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98.4</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3,679,530,000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Apr-07</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331</w:t>
            </w:r>
          </w:p>
        </w:tc>
        <w:tc>
          <w:tcPr>
            <w:tcW w:w="158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114,900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97.6</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73,000,000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Apr-07</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1745 Broadway - 32.3%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674,000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520,000,000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Jun-07</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333</w:t>
            </w:r>
          </w:p>
        </w:tc>
        <w:tc>
          <w:tcPr>
            <w:tcW w:w="1580" w:type="dxa"/>
            <w:vAlign w:val="bottom"/>
          </w:tcPr>
          <w:p>
            <w:pPr>
              <w:ind w:left="20"/>
              <w:spacing w:after="0"/>
              <w:rPr>
                <w:sz w:val="20"/>
                <w:szCs w:val="20"/>
                <w:color w:val="auto"/>
              </w:rPr>
            </w:pPr>
            <w:r>
              <w:rPr>
                <w:rFonts w:ascii="Arial" w:cs="Arial" w:eastAsia="Arial" w:hAnsi="Arial"/>
                <w:sz w:val="7"/>
                <w:szCs w:val="7"/>
                <w:color w:val="auto"/>
              </w:rPr>
              <w:t>West 34th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Penn Station</w:t>
            </w:r>
          </w:p>
        </w:tc>
        <w:tc>
          <w:tcPr>
            <w:tcW w:w="780" w:type="dxa"/>
            <w:vAlign w:val="bottom"/>
          </w:tcPr>
          <w:p>
            <w:pPr>
              <w:jc w:val="right"/>
              <w:spacing w:after="0"/>
              <w:rPr>
                <w:sz w:val="20"/>
                <w:szCs w:val="20"/>
                <w:color w:val="auto"/>
              </w:rPr>
            </w:pPr>
            <w:r>
              <w:rPr>
                <w:rFonts w:ascii="Arial" w:cs="Arial" w:eastAsia="Arial" w:hAnsi="Arial"/>
                <w:sz w:val="7"/>
                <w:szCs w:val="7"/>
                <w:color w:val="auto"/>
              </w:rPr>
              <w:t>345,400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183,000,000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Aug-07</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 Madison Avenue - remaining 45%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 South</w:t>
            </w:r>
          </w:p>
        </w:tc>
        <w:tc>
          <w:tcPr>
            <w:tcW w:w="780" w:type="dxa"/>
            <w:vAlign w:val="bottom"/>
          </w:tcPr>
          <w:p>
            <w:pPr>
              <w:jc w:val="right"/>
              <w:spacing w:after="0"/>
              <w:rPr>
                <w:sz w:val="20"/>
                <w:szCs w:val="20"/>
                <w:color w:val="auto"/>
              </w:rPr>
            </w:pPr>
            <w:r>
              <w:rPr>
                <w:rFonts w:ascii="Arial" w:cs="Arial" w:eastAsia="Arial" w:hAnsi="Arial"/>
                <w:sz w:val="7"/>
                <w:szCs w:val="7"/>
                <w:color w:val="auto"/>
              </w:rPr>
              <w:t>1,177,000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99.8</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1,000,000,000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Dec-07</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388</w:t>
            </w:r>
          </w:p>
        </w:tc>
        <w:tc>
          <w:tcPr>
            <w:tcW w:w="1580" w:type="dxa"/>
            <w:vAlign w:val="bottom"/>
          </w:tcPr>
          <w:p>
            <w:pPr>
              <w:ind w:left="20"/>
              <w:spacing w:after="0"/>
              <w:rPr>
                <w:sz w:val="20"/>
                <w:szCs w:val="20"/>
                <w:color w:val="auto"/>
              </w:rPr>
            </w:pPr>
            <w:r>
              <w:rPr>
                <w:rFonts w:ascii="Arial" w:cs="Arial" w:eastAsia="Arial" w:hAnsi="Arial"/>
                <w:sz w:val="7"/>
                <w:szCs w:val="7"/>
                <w:color w:val="auto"/>
              </w:rPr>
              <w:t>&amp; 390 Greenwich Street - 50.6%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Downtown</w:t>
            </w:r>
          </w:p>
        </w:tc>
        <w:tc>
          <w:tcPr>
            <w:tcW w:w="780" w:type="dxa"/>
            <w:vAlign w:val="bottom"/>
          </w:tcPr>
          <w:p>
            <w:pPr>
              <w:jc w:val="right"/>
              <w:spacing w:after="0"/>
              <w:rPr>
                <w:sz w:val="20"/>
                <w:szCs w:val="20"/>
                <w:color w:val="auto"/>
              </w:rPr>
            </w:pPr>
            <w:r>
              <w:rPr>
                <w:rFonts w:ascii="Arial" w:cs="Arial" w:eastAsia="Arial" w:hAnsi="Arial"/>
                <w:sz w:val="7"/>
                <w:szCs w:val="7"/>
                <w:color w:val="auto"/>
              </w:rPr>
              <w:t>2,635,000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1,575,000,000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Jan-10</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100</w:t>
            </w:r>
          </w:p>
        </w:tc>
        <w:tc>
          <w:tcPr>
            <w:tcW w:w="1580" w:type="dxa"/>
            <w:vAlign w:val="bottom"/>
          </w:tcPr>
          <w:p>
            <w:pPr>
              <w:ind w:left="20"/>
              <w:spacing w:after="0"/>
              <w:rPr>
                <w:sz w:val="20"/>
                <w:szCs w:val="20"/>
                <w:color w:val="auto"/>
              </w:rPr>
            </w:pPr>
            <w:r>
              <w:rPr>
                <w:rFonts w:ascii="Arial" w:cs="Arial" w:eastAsia="Arial" w:hAnsi="Arial"/>
                <w:sz w:val="7"/>
                <w:szCs w:val="7"/>
                <w:color w:val="auto"/>
              </w:rPr>
              <w:t>Church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Downtown</w:t>
            </w:r>
          </w:p>
        </w:tc>
        <w:tc>
          <w:tcPr>
            <w:tcW w:w="780" w:type="dxa"/>
            <w:vAlign w:val="bottom"/>
          </w:tcPr>
          <w:p>
            <w:pPr>
              <w:jc w:val="right"/>
              <w:spacing w:after="0"/>
              <w:rPr>
                <w:sz w:val="20"/>
                <w:szCs w:val="20"/>
                <w:color w:val="auto"/>
              </w:rPr>
            </w:pPr>
            <w:r>
              <w:rPr>
                <w:rFonts w:ascii="Arial" w:cs="Arial" w:eastAsia="Arial" w:hAnsi="Arial"/>
                <w:sz w:val="7"/>
                <w:szCs w:val="7"/>
                <w:color w:val="auto"/>
              </w:rPr>
              <w:t>1,047,500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41.3</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99.5</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181,600,000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May-10</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600</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 - 55%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East Side</w:t>
            </w:r>
          </w:p>
        </w:tc>
        <w:tc>
          <w:tcPr>
            <w:tcW w:w="780" w:type="dxa"/>
            <w:vAlign w:val="bottom"/>
          </w:tcPr>
          <w:p>
            <w:pPr>
              <w:jc w:val="right"/>
              <w:spacing w:after="0"/>
              <w:rPr>
                <w:sz w:val="20"/>
                <w:szCs w:val="20"/>
                <w:color w:val="auto"/>
              </w:rPr>
            </w:pPr>
            <w:r>
              <w:rPr>
                <w:rFonts w:ascii="Arial" w:cs="Arial" w:eastAsia="Arial" w:hAnsi="Arial"/>
                <w:sz w:val="7"/>
                <w:szCs w:val="7"/>
                <w:color w:val="auto"/>
              </w:rPr>
              <w:t>303,515</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93.6</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92.5</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193,000,000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Aug-10</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125</w:t>
            </w:r>
          </w:p>
        </w:tc>
        <w:tc>
          <w:tcPr>
            <w:tcW w:w="1580" w:type="dxa"/>
            <w:vAlign w:val="bottom"/>
          </w:tcPr>
          <w:p>
            <w:pPr>
              <w:ind w:left="20"/>
              <w:spacing w:after="0"/>
              <w:rPr>
                <w:sz w:val="20"/>
                <w:szCs w:val="20"/>
                <w:color w:val="auto"/>
              </w:rPr>
            </w:pPr>
            <w:r>
              <w:rPr>
                <w:rFonts w:ascii="Arial" w:cs="Arial" w:eastAsia="Arial" w:hAnsi="Arial"/>
                <w:sz w:val="7"/>
                <w:szCs w:val="7"/>
                <w:color w:val="auto"/>
              </w:rPr>
              <w:t>Park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604,245</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99.1</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98.7</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330,000,000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Jan-11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521</w:t>
            </w:r>
          </w:p>
        </w:tc>
        <w:tc>
          <w:tcPr>
            <w:tcW w:w="1580" w:type="dxa"/>
            <w:vAlign w:val="bottom"/>
          </w:tcPr>
          <w:p>
            <w:pPr>
              <w:ind w:left="20"/>
              <w:spacing w:after="0"/>
              <w:rPr>
                <w:sz w:val="20"/>
                <w:szCs w:val="20"/>
                <w:color w:val="auto"/>
              </w:rPr>
            </w:pPr>
            <w:r>
              <w:rPr>
                <w:rFonts w:ascii="Arial" w:cs="Arial" w:eastAsia="Arial" w:hAnsi="Arial"/>
                <w:sz w:val="7"/>
                <w:szCs w:val="7"/>
                <w:color w:val="auto"/>
              </w:rPr>
              <w:t>Fifth Avenue - remaining 49.9%</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460,000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80.7</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86.8</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245,700,000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Apr-11</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1515 Broadway - remaining 45%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Times Square</w:t>
            </w:r>
          </w:p>
        </w:tc>
        <w:tc>
          <w:tcPr>
            <w:tcW w:w="780" w:type="dxa"/>
            <w:vAlign w:val="bottom"/>
          </w:tcPr>
          <w:p>
            <w:pPr>
              <w:jc w:val="right"/>
              <w:spacing w:after="0"/>
              <w:rPr>
                <w:sz w:val="20"/>
                <w:szCs w:val="20"/>
                <w:color w:val="auto"/>
              </w:rPr>
            </w:pPr>
            <w:r>
              <w:rPr>
                <w:rFonts w:ascii="Arial" w:cs="Arial" w:eastAsia="Arial" w:hAnsi="Arial"/>
                <w:sz w:val="7"/>
                <w:szCs w:val="7"/>
                <w:color w:val="auto"/>
              </w:rPr>
              <w:t>1,750,000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98.4</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1,210,000,000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May-11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110</w:t>
            </w:r>
          </w:p>
        </w:tc>
        <w:tc>
          <w:tcPr>
            <w:tcW w:w="158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205,000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72.6</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91.8</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85,570,000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May-11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280</w:t>
            </w:r>
          </w:p>
        </w:tc>
        <w:tc>
          <w:tcPr>
            <w:tcW w:w="1580" w:type="dxa"/>
            <w:vAlign w:val="bottom"/>
          </w:tcPr>
          <w:p>
            <w:pPr>
              <w:ind w:left="20"/>
              <w:spacing w:after="0"/>
              <w:rPr>
                <w:sz w:val="20"/>
                <w:szCs w:val="20"/>
                <w:color w:val="auto"/>
              </w:rPr>
            </w:pPr>
            <w:r>
              <w:rPr>
                <w:rFonts w:ascii="Arial" w:cs="Arial" w:eastAsia="Arial" w:hAnsi="Arial"/>
                <w:sz w:val="7"/>
                <w:szCs w:val="7"/>
                <w:color w:val="auto"/>
              </w:rPr>
              <w:t>Park Avenue - 49.5%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w:t>
            </w:r>
          </w:p>
        </w:tc>
        <w:tc>
          <w:tcPr>
            <w:tcW w:w="780" w:type="dxa"/>
            <w:vAlign w:val="bottom"/>
          </w:tcPr>
          <w:p>
            <w:pPr>
              <w:jc w:val="right"/>
              <w:spacing w:after="0"/>
              <w:rPr>
                <w:sz w:val="20"/>
                <w:szCs w:val="20"/>
                <w:color w:val="auto"/>
              </w:rPr>
            </w:pPr>
            <w:r>
              <w:rPr>
                <w:rFonts w:ascii="Arial" w:cs="Arial" w:eastAsia="Arial" w:hAnsi="Arial"/>
                <w:sz w:val="7"/>
                <w:szCs w:val="7"/>
                <w:color w:val="auto"/>
              </w:rPr>
              <w:t>1,219,158</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78.2</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81.7</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1,110,000,000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Nov-11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180</w:t>
            </w:r>
          </w:p>
        </w:tc>
        <w:tc>
          <w:tcPr>
            <w:tcW w:w="1580" w:type="dxa"/>
            <w:vAlign w:val="bottom"/>
          </w:tcPr>
          <w:p>
            <w:pPr>
              <w:ind w:left="20"/>
              <w:spacing w:after="0"/>
              <w:rPr>
                <w:sz w:val="20"/>
                <w:szCs w:val="20"/>
                <w:color w:val="auto"/>
              </w:rPr>
            </w:pPr>
            <w:r>
              <w:rPr>
                <w:rFonts w:ascii="Arial" w:cs="Arial" w:eastAsia="Arial" w:hAnsi="Arial"/>
                <w:sz w:val="7"/>
                <w:szCs w:val="7"/>
                <w:color w:val="auto"/>
              </w:rPr>
              <w:t>Maiden Lane - 49.9%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Financial East</w:t>
            </w:r>
          </w:p>
        </w:tc>
        <w:tc>
          <w:tcPr>
            <w:tcW w:w="780" w:type="dxa"/>
            <w:vAlign w:val="bottom"/>
          </w:tcPr>
          <w:p>
            <w:pPr>
              <w:jc w:val="right"/>
              <w:spacing w:after="0"/>
              <w:rPr>
                <w:sz w:val="20"/>
                <w:szCs w:val="20"/>
                <w:color w:val="auto"/>
              </w:rPr>
            </w:pPr>
            <w:r>
              <w:rPr>
                <w:rFonts w:ascii="Arial" w:cs="Arial" w:eastAsia="Arial" w:hAnsi="Arial"/>
                <w:sz w:val="7"/>
                <w:szCs w:val="7"/>
                <w:color w:val="auto"/>
              </w:rPr>
              <w:t>1,090,000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97.7</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425,680,000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Nov-11</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51 East 42nd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142,000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95.5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80,000,000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Feb-12</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10 East 53rd Street - 55%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Plaza District</w:t>
            </w:r>
          </w:p>
        </w:tc>
        <w:tc>
          <w:tcPr>
            <w:tcW w:w="780" w:type="dxa"/>
            <w:vAlign w:val="bottom"/>
          </w:tcPr>
          <w:p>
            <w:pPr>
              <w:jc w:val="right"/>
              <w:spacing w:after="0"/>
              <w:rPr>
                <w:sz w:val="20"/>
                <w:szCs w:val="20"/>
                <w:color w:val="auto"/>
              </w:rPr>
            </w:pPr>
            <w:r>
              <w:rPr>
                <w:rFonts w:ascii="Arial" w:cs="Arial" w:eastAsia="Arial" w:hAnsi="Arial"/>
                <w:sz w:val="7"/>
                <w:szCs w:val="7"/>
                <w:color w:val="auto"/>
              </w:rPr>
              <w:t>354,300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91.9</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46.1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252,500,000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Jun-12</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304</w:t>
            </w:r>
          </w:p>
        </w:tc>
        <w:tc>
          <w:tcPr>
            <w:tcW w:w="1580" w:type="dxa"/>
            <w:vAlign w:val="bottom"/>
          </w:tcPr>
          <w:p>
            <w:pPr>
              <w:ind w:left="20"/>
              <w:spacing w:after="0"/>
              <w:rPr>
                <w:sz w:val="20"/>
                <w:szCs w:val="20"/>
                <w:color w:val="auto"/>
              </w:rPr>
            </w:pPr>
            <w:r>
              <w:rPr>
                <w:rFonts w:ascii="Arial" w:cs="Arial" w:eastAsia="Arial" w:hAnsi="Arial"/>
                <w:sz w:val="7"/>
                <w:szCs w:val="7"/>
                <w:color w:val="auto"/>
              </w:rPr>
              <w:t>Park Avenue South</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 South</w:t>
            </w:r>
          </w:p>
        </w:tc>
        <w:tc>
          <w:tcPr>
            <w:tcW w:w="780" w:type="dxa"/>
            <w:vAlign w:val="bottom"/>
          </w:tcPr>
          <w:p>
            <w:pPr>
              <w:jc w:val="right"/>
              <w:spacing w:after="0"/>
              <w:rPr>
                <w:sz w:val="20"/>
                <w:szCs w:val="20"/>
                <w:color w:val="auto"/>
              </w:rPr>
            </w:pPr>
            <w:r>
              <w:rPr>
                <w:rFonts w:ascii="Arial" w:cs="Arial" w:eastAsia="Arial" w:hAnsi="Arial"/>
                <w:sz w:val="7"/>
                <w:szCs w:val="7"/>
                <w:color w:val="auto"/>
              </w:rPr>
              <w:t>215,000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95.8</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135,000,000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Sep-12</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641</w:t>
            </w:r>
          </w:p>
        </w:tc>
        <w:tc>
          <w:tcPr>
            <w:tcW w:w="1580" w:type="dxa"/>
            <w:vAlign w:val="bottom"/>
          </w:tcPr>
          <w:p>
            <w:pPr>
              <w:ind w:left="20"/>
              <w:spacing w:after="0"/>
              <w:rPr>
                <w:sz w:val="20"/>
                <w:szCs w:val="20"/>
                <w:color w:val="auto"/>
              </w:rPr>
            </w:pPr>
            <w:r>
              <w:rPr>
                <w:rFonts w:ascii="Arial" w:cs="Arial" w:eastAsia="Arial" w:hAnsi="Arial"/>
                <w:sz w:val="7"/>
                <w:szCs w:val="7"/>
                <w:color w:val="auto"/>
              </w:rPr>
              <w:t>Sixth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 South</w:t>
            </w:r>
          </w:p>
        </w:tc>
        <w:tc>
          <w:tcPr>
            <w:tcW w:w="780" w:type="dxa"/>
            <w:vAlign w:val="bottom"/>
          </w:tcPr>
          <w:p>
            <w:pPr>
              <w:jc w:val="right"/>
              <w:spacing w:after="0"/>
              <w:rPr>
                <w:sz w:val="20"/>
                <w:szCs w:val="20"/>
                <w:color w:val="auto"/>
              </w:rPr>
            </w:pPr>
            <w:r>
              <w:rPr>
                <w:rFonts w:ascii="Arial" w:cs="Arial" w:eastAsia="Arial" w:hAnsi="Arial"/>
                <w:sz w:val="7"/>
                <w:szCs w:val="7"/>
                <w:color w:val="auto"/>
              </w:rPr>
              <w:t>163,000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92.1</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90,000,000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Dec-12</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315</w:t>
            </w:r>
          </w:p>
        </w:tc>
        <w:tc>
          <w:tcPr>
            <w:tcW w:w="1580" w:type="dxa"/>
            <w:vAlign w:val="bottom"/>
          </w:tcPr>
          <w:p>
            <w:pPr>
              <w:ind w:left="20"/>
              <w:spacing w:after="0"/>
              <w:rPr>
                <w:sz w:val="20"/>
                <w:szCs w:val="20"/>
                <w:color w:val="auto"/>
              </w:rPr>
            </w:pPr>
            <w:r>
              <w:rPr>
                <w:rFonts w:ascii="Arial" w:cs="Arial" w:eastAsia="Arial" w:hAnsi="Arial"/>
                <w:sz w:val="7"/>
                <w:szCs w:val="7"/>
                <w:color w:val="auto"/>
              </w:rPr>
              <w:t>West 36th Street - 35.5%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Times Square South</w:t>
            </w:r>
          </w:p>
        </w:tc>
        <w:tc>
          <w:tcPr>
            <w:tcW w:w="780" w:type="dxa"/>
            <w:vAlign w:val="bottom"/>
          </w:tcPr>
          <w:p>
            <w:pPr>
              <w:jc w:val="right"/>
              <w:spacing w:after="0"/>
              <w:rPr>
                <w:sz w:val="20"/>
                <w:szCs w:val="20"/>
                <w:color w:val="auto"/>
              </w:rPr>
            </w:pPr>
            <w:r>
              <w:rPr>
                <w:rFonts w:ascii="Arial" w:cs="Arial" w:eastAsia="Arial" w:hAnsi="Arial"/>
                <w:sz w:val="7"/>
                <w:szCs w:val="7"/>
                <w:color w:val="auto"/>
              </w:rPr>
              <w:t>147,619</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99.2</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46,000,000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May-14</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388</w:t>
            </w:r>
          </w:p>
        </w:tc>
        <w:tc>
          <w:tcPr>
            <w:tcW w:w="1580" w:type="dxa"/>
            <w:vAlign w:val="bottom"/>
          </w:tcPr>
          <w:p>
            <w:pPr>
              <w:ind w:left="20"/>
              <w:spacing w:after="0"/>
              <w:rPr>
                <w:sz w:val="20"/>
                <w:szCs w:val="20"/>
                <w:color w:val="auto"/>
              </w:rPr>
            </w:pPr>
            <w:r>
              <w:rPr>
                <w:rFonts w:ascii="Arial" w:cs="Arial" w:eastAsia="Arial" w:hAnsi="Arial"/>
                <w:sz w:val="7"/>
                <w:szCs w:val="7"/>
                <w:color w:val="auto"/>
              </w:rPr>
              <w:t>&amp; 390 Greenwich Street - remaining 49.4%</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Downtown</w:t>
            </w:r>
          </w:p>
        </w:tc>
        <w:tc>
          <w:tcPr>
            <w:tcW w:w="780" w:type="dxa"/>
            <w:vAlign w:val="bottom"/>
          </w:tcPr>
          <w:p>
            <w:pPr>
              <w:jc w:val="right"/>
              <w:spacing w:after="0"/>
              <w:rPr>
                <w:sz w:val="20"/>
                <w:szCs w:val="20"/>
                <w:color w:val="auto"/>
              </w:rPr>
            </w:pPr>
            <w:r>
              <w:rPr>
                <w:rFonts w:ascii="Arial" w:cs="Arial" w:eastAsia="Arial" w:hAnsi="Arial"/>
                <w:sz w:val="7"/>
                <w:szCs w:val="7"/>
                <w:color w:val="auto"/>
              </w:rPr>
              <w:t>2,635,000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1,585,000,000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Jul-15</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110</w:t>
            </w:r>
          </w:p>
        </w:tc>
        <w:tc>
          <w:tcPr>
            <w:tcW w:w="1580" w:type="dxa"/>
            <w:vAlign w:val="bottom"/>
          </w:tcPr>
          <w:p>
            <w:pPr>
              <w:ind w:left="20"/>
              <w:spacing w:after="0"/>
              <w:rPr>
                <w:sz w:val="20"/>
                <w:szCs w:val="20"/>
                <w:color w:val="auto"/>
              </w:rPr>
            </w:pPr>
            <w:r>
              <w:rPr>
                <w:rFonts w:ascii="Arial" w:cs="Arial" w:eastAsia="Arial" w:hAnsi="Arial"/>
                <w:sz w:val="7"/>
                <w:szCs w:val="7"/>
                <w:color w:val="auto"/>
              </w:rPr>
              <w:t>Greene Street - 90%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Soho</w:t>
            </w:r>
          </w:p>
        </w:tc>
        <w:tc>
          <w:tcPr>
            <w:tcW w:w="780" w:type="dxa"/>
            <w:vAlign w:val="bottom"/>
          </w:tcPr>
          <w:p>
            <w:pPr>
              <w:jc w:val="right"/>
              <w:spacing w:after="0"/>
              <w:rPr>
                <w:sz w:val="20"/>
                <w:szCs w:val="20"/>
                <w:color w:val="auto"/>
              </w:rPr>
            </w:pPr>
            <w:r>
              <w:rPr>
                <w:rFonts w:ascii="Arial" w:cs="Arial" w:eastAsia="Arial" w:hAnsi="Arial"/>
                <w:sz w:val="7"/>
                <w:szCs w:val="7"/>
                <w:color w:val="auto"/>
              </w:rPr>
              <w:t>223,600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84.0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77.3</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255,000,000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Aug-15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30 East 40th Street - 60% JV</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 South</w:t>
            </w:r>
          </w:p>
        </w:tc>
        <w:tc>
          <w:tcPr>
            <w:tcW w:w="780" w:type="dxa"/>
            <w:vAlign w:val="bottom"/>
          </w:tcPr>
          <w:p>
            <w:pPr>
              <w:jc w:val="right"/>
              <w:spacing w:after="0"/>
              <w:rPr>
                <w:sz w:val="20"/>
                <w:szCs w:val="20"/>
                <w:color w:val="auto"/>
              </w:rPr>
            </w:pPr>
            <w:r>
              <w:rPr>
                <w:rFonts w:ascii="Arial" w:cs="Arial" w:eastAsia="Arial" w:hAnsi="Arial"/>
                <w:sz w:val="7"/>
                <w:szCs w:val="7"/>
                <w:color w:val="auto"/>
              </w:rPr>
              <w:t>69,446</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99.2</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4,650,000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Aug-15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11 Madison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 South</w:t>
            </w:r>
          </w:p>
        </w:tc>
        <w:tc>
          <w:tcPr>
            <w:tcW w:w="780" w:type="dxa"/>
            <w:vAlign w:val="bottom"/>
          </w:tcPr>
          <w:p>
            <w:pPr>
              <w:jc w:val="right"/>
              <w:spacing w:after="0"/>
              <w:rPr>
                <w:sz w:val="20"/>
                <w:szCs w:val="20"/>
                <w:color w:val="auto"/>
              </w:rPr>
            </w:pPr>
            <w:r>
              <w:rPr>
                <w:rFonts w:ascii="Arial" w:cs="Arial" w:eastAsia="Arial" w:hAnsi="Arial"/>
                <w:sz w:val="7"/>
                <w:szCs w:val="7"/>
                <w:color w:val="auto"/>
              </w:rPr>
              <w:t>2,313,916</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71.6</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98.0</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2,285,000,000</w:t>
            </w:r>
          </w:p>
        </w:tc>
      </w:tr>
      <w:tr>
        <w:trPr>
          <w:trHeight w:val="225"/>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Dec-15</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600</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 - remaining 45%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East Side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303,515</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95.5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92.5</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284,000,000</w:t>
            </w:r>
          </w:p>
        </w:tc>
      </w:tr>
      <w:tr>
        <w:trPr>
          <w:trHeight w:val="192"/>
        </w:trPr>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7"/>
                <w:szCs w:val="7"/>
                <w:b w:val="1"/>
                <w:bCs w:val="1"/>
                <w:color w:val="auto"/>
              </w:rPr>
              <w:t>41,085,114</w:t>
            </w: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21,699,130,000</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7"/>
          <w:szCs w:val="7"/>
          <w:color w:val="auto"/>
        </w:rPr>
        <w:t>(1) Acquisition price represents purchase price for consolidated acquisitions and purchase price or imputed value for joint venture properties.</w:t>
      </w:r>
    </w:p>
    <w:p>
      <w:pPr>
        <w:sectPr>
          <w:pgSz w:w="11900" w:h="16890" w:orient="portrait"/>
          <w:cols w:equalWidth="0" w:num="1">
            <w:col w:w="10080"/>
          </w:cols>
          <w:pgMar w:left="900" w:top="338" w:right="919" w:bottom="0" w:gutter="0" w:footer="0" w:header="0"/>
        </w:sectPr>
      </w:pPr>
    </w:p>
    <w:bookmarkStart w:id="66" w:name="page67"/>
    <w:bookmarkEnd w:id="66"/>
    <w:p>
      <w:pPr>
        <w:spacing w:after="0"/>
        <w:rPr>
          <w:sz w:val="20"/>
          <w:szCs w:val="20"/>
          <w:color w:val="auto"/>
        </w:rPr>
      </w:pPr>
      <w:r>
        <w:rPr>
          <w:rFonts w:ascii="Arial" w:cs="Arial" w:eastAsia="Arial" w:hAnsi="Arial"/>
          <w:sz w:val="7"/>
          <w:szCs w:val="7"/>
          <w:color w:val="auto"/>
        </w:rPr>
        <w:t>(2) Ownership interest from November 2001 - May 2008 was 55%. (From 9/1/01-10/31/01 the Company owned 99.8% of this property.)</w:t>
      </w:r>
    </w:p>
    <w:p>
      <w:pPr>
        <w:spacing w:after="0" w:line="200" w:lineRule="exact"/>
        <w:rPr>
          <w:sz w:val="20"/>
          <w:szCs w:val="20"/>
          <w:color w:val="auto"/>
        </w:rPr>
      </w:pPr>
    </w:p>
    <w:p>
      <w:pPr>
        <w:spacing w:after="0" w:line="316" w:lineRule="exact"/>
        <w:rPr>
          <w:sz w:val="20"/>
          <w:szCs w:val="20"/>
          <w:color w:val="auto"/>
        </w:rPr>
      </w:pPr>
    </w:p>
    <w:p>
      <w:pPr>
        <w:spacing w:after="0"/>
        <w:tabs>
          <w:tab w:leader="none" w:pos="4920" w:val="left"/>
          <w:tab w:leader="none" w:pos="904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49</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40"/>
          </w:cols>
          <w:pgMar w:left="940" w:top="259" w:right="919" w:bottom="1440" w:gutter="0" w:footer="0" w:header="0"/>
        </w:sectPr>
      </w:pPr>
    </w:p>
    <w:bookmarkStart w:id="67" w:name="page68"/>
    <w:bookmarkEnd w:id="6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REAL ESTATE SALES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94"/>
        </w:trPr>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7"/>
                <w:szCs w:val="7"/>
                <w:b w:val="1"/>
                <w:bCs w:val="1"/>
                <w:color w:val="auto"/>
              </w:rPr>
              <w:t>Sales</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center"/>
              <w:ind w:right="300"/>
              <w:spacing w:after="0"/>
              <w:rPr>
                <w:sz w:val="20"/>
                <w:szCs w:val="20"/>
                <w:color w:val="auto"/>
              </w:rPr>
            </w:pPr>
            <w:r>
              <w:rPr>
                <w:rFonts w:ascii="Arial" w:cs="Arial" w:eastAsia="Arial" w:hAnsi="Arial"/>
                <w:sz w:val="7"/>
                <w:szCs w:val="7"/>
                <w:b w:val="1"/>
                <w:bCs w:val="1"/>
                <w:color w:val="auto"/>
              </w:rPr>
              <w:t>Sales</w:t>
            </w:r>
          </w:p>
        </w:tc>
      </w:tr>
      <w:tr>
        <w:trPr>
          <w:trHeight w:val="209"/>
        </w:trPr>
        <w:tc>
          <w:tcPr>
            <w:tcW w:w="960" w:type="dxa"/>
            <w:vAlign w:val="bottom"/>
          </w:tcPr>
          <w:p>
            <w:pPr>
              <w:spacing w:after="0"/>
              <w:rPr>
                <w:sz w:val="18"/>
                <w:szCs w:val="18"/>
                <w:color w:val="auto"/>
              </w:rPr>
            </w:pPr>
          </w:p>
        </w:tc>
        <w:tc>
          <w:tcPr>
            <w:tcW w:w="1840" w:type="dxa"/>
            <w:vAlign w:val="bottom"/>
            <w:gridSpan w:val="4"/>
          </w:tcPr>
          <w:p>
            <w:pPr>
              <w:ind w:left="240"/>
              <w:spacing w:after="0"/>
              <w:rPr>
                <w:sz w:val="20"/>
                <w:szCs w:val="20"/>
                <w:color w:val="auto"/>
              </w:rPr>
            </w:pPr>
            <w:r>
              <w:rPr>
                <w:rFonts w:ascii="Arial" w:cs="Arial" w:eastAsia="Arial" w:hAnsi="Arial"/>
                <w:sz w:val="7"/>
                <w:szCs w:val="7"/>
                <w:b w:val="1"/>
                <w:bCs w:val="1"/>
                <w:color w:val="auto"/>
              </w:rPr>
              <w:t>Property</w:t>
            </w:r>
          </w:p>
        </w:tc>
        <w:tc>
          <w:tcPr>
            <w:tcW w:w="1680" w:type="dxa"/>
            <w:vAlign w:val="bottom"/>
            <w:gridSpan w:val="3"/>
          </w:tcPr>
          <w:p>
            <w:pPr>
              <w:ind w:left="540"/>
              <w:spacing w:after="0"/>
              <w:rPr>
                <w:sz w:val="20"/>
                <w:szCs w:val="20"/>
                <w:color w:val="auto"/>
              </w:rPr>
            </w:pPr>
            <w:r>
              <w:rPr>
                <w:rFonts w:ascii="Arial" w:cs="Arial" w:eastAsia="Arial" w:hAnsi="Arial"/>
                <w:sz w:val="7"/>
                <w:szCs w:val="7"/>
                <w:b w:val="1"/>
                <w:bCs w:val="1"/>
                <w:color w:val="auto"/>
              </w:rPr>
              <w:t>Type of Ownership</w:t>
            </w:r>
          </w:p>
        </w:tc>
        <w:tc>
          <w:tcPr>
            <w:tcW w:w="1900" w:type="dxa"/>
            <w:vAlign w:val="bottom"/>
            <w:gridSpan w:val="3"/>
          </w:tcPr>
          <w:p>
            <w:pPr>
              <w:ind w:left="480"/>
              <w:spacing w:after="0"/>
              <w:rPr>
                <w:sz w:val="20"/>
                <w:szCs w:val="20"/>
                <w:color w:val="auto"/>
              </w:rPr>
            </w:pPr>
            <w:r>
              <w:rPr>
                <w:rFonts w:ascii="Arial" w:cs="Arial" w:eastAsia="Arial" w:hAnsi="Arial"/>
                <w:sz w:val="7"/>
                <w:szCs w:val="7"/>
                <w:b w:val="1"/>
                <w:bCs w:val="1"/>
                <w:color w:val="auto"/>
              </w:rPr>
              <w:t>Submarket</w:t>
            </w:r>
          </w:p>
        </w:tc>
        <w:tc>
          <w:tcPr>
            <w:tcW w:w="1680" w:type="dxa"/>
            <w:vAlign w:val="bottom"/>
            <w:gridSpan w:val="5"/>
          </w:tcPr>
          <w:p>
            <w:pPr>
              <w:ind w:left="520"/>
              <w:spacing w:after="0"/>
              <w:rPr>
                <w:sz w:val="20"/>
                <w:szCs w:val="20"/>
                <w:color w:val="auto"/>
              </w:rPr>
            </w:pPr>
            <w:r>
              <w:rPr>
                <w:rFonts w:ascii="Arial" w:cs="Arial" w:eastAsia="Arial" w:hAnsi="Arial"/>
                <w:sz w:val="7"/>
                <w:szCs w:val="7"/>
                <w:b w:val="1"/>
                <w:bCs w:val="1"/>
                <w:color w:val="auto"/>
              </w:rPr>
              <w:t>Net Rentable SF</w:t>
            </w:r>
          </w:p>
        </w:tc>
        <w:tc>
          <w:tcPr>
            <w:tcW w:w="2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w w:val="96"/>
              </w:rPr>
              <w:t xml:space="preserve">Price </w:t>
            </w:r>
            <w:r>
              <w:rPr>
                <w:rFonts w:ascii="Arial" w:cs="Arial" w:eastAsia="Arial" w:hAnsi="Arial"/>
                <w:sz w:val="7"/>
                <w:szCs w:val="7"/>
                <w:b w:val="1"/>
                <w:bCs w:val="1"/>
                <w:u w:val="single" w:color="auto"/>
                <w:color w:val="auto"/>
                <w:w w:val="96"/>
              </w:rPr>
              <w:t>($</w:t>
            </w:r>
            <w:r>
              <w:rPr>
                <w:rFonts w:ascii="Arial" w:cs="Arial" w:eastAsia="Arial" w:hAnsi="Arial"/>
                <w:sz w:val="7"/>
                <w:szCs w:val="7"/>
                <w:b w:val="1"/>
                <w:bCs w:val="1"/>
                <w:color w:val="auto"/>
                <w:w w:val="96"/>
              </w:rPr>
              <w:t>'s)</w:t>
            </w:r>
          </w:p>
        </w:tc>
        <w:tc>
          <w:tcPr>
            <w:tcW w:w="580" w:type="dxa"/>
            <w:vAlign w:val="bottom"/>
          </w:tcPr>
          <w:p>
            <w:pPr>
              <w:spacing w:after="0"/>
              <w:rPr>
                <w:sz w:val="18"/>
                <w:szCs w:val="18"/>
                <w:color w:val="auto"/>
              </w:rPr>
            </w:pPr>
          </w:p>
        </w:tc>
        <w:tc>
          <w:tcPr>
            <w:tcW w:w="640" w:type="dxa"/>
            <w:vAlign w:val="bottom"/>
            <w:gridSpan w:val="4"/>
          </w:tcPr>
          <w:p>
            <w:pPr>
              <w:jc w:val="center"/>
              <w:ind w:right="180"/>
              <w:spacing w:after="0"/>
              <w:rPr>
                <w:sz w:val="20"/>
                <w:szCs w:val="20"/>
                <w:color w:val="auto"/>
              </w:rPr>
            </w:pPr>
            <w:r>
              <w:rPr>
                <w:rFonts w:ascii="Arial" w:cs="Arial" w:eastAsia="Arial" w:hAnsi="Arial"/>
                <w:sz w:val="7"/>
                <w:szCs w:val="7"/>
                <w:b w:val="1"/>
                <w:bCs w:val="1"/>
                <w:color w:val="auto"/>
              </w:rPr>
              <w:t xml:space="preserve">Price </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's/SF)</w:t>
            </w:r>
          </w:p>
        </w:tc>
      </w:tr>
      <w:tr>
        <w:trPr>
          <w:trHeight w:val="214"/>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2000 - 2015 Sales</w:t>
            </w:r>
          </w:p>
        </w:tc>
        <w:tc>
          <w:tcPr>
            <w:tcW w:w="24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03"/>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8"/>
              </w:rPr>
              <w:t>Feb-00</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29 West 35th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78,000</w:t>
            </w:r>
          </w:p>
        </w:tc>
        <w:tc>
          <w:tcPr>
            <w:tcW w:w="560" w:type="dxa"/>
            <w:vAlign w:val="bottom"/>
          </w:tcPr>
          <w:p>
            <w:pPr>
              <w:spacing w:after="0"/>
              <w:rPr>
                <w:sz w:val="17"/>
                <w:szCs w:val="17"/>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11,700,000</w:t>
            </w:r>
          </w:p>
        </w:tc>
        <w:tc>
          <w:tcPr>
            <w:tcW w:w="720" w:type="dxa"/>
            <w:vAlign w:val="bottom"/>
            <w:gridSpan w:val="3"/>
          </w:tcPr>
          <w:p>
            <w:pPr>
              <w:jc w:val="right"/>
              <w:spacing w:after="0"/>
              <w:rPr>
                <w:sz w:val="20"/>
                <w:szCs w:val="20"/>
                <w:color w:val="auto"/>
              </w:rPr>
            </w:pPr>
            <w:r>
              <w:rPr>
                <w:rFonts w:ascii="Arial" w:cs="Arial" w:eastAsia="Arial" w:hAnsi="Arial"/>
                <w:sz w:val="7"/>
                <w:szCs w:val="7"/>
                <w:color w:val="auto"/>
              </w:rPr>
              <w:t>$</w:t>
            </w:r>
          </w:p>
        </w:tc>
        <w:tc>
          <w:tcPr>
            <w:tcW w:w="320" w:type="dxa"/>
            <w:vAlign w:val="bottom"/>
          </w:tcPr>
          <w:p>
            <w:pPr>
              <w:jc w:val="right"/>
              <w:spacing w:after="0"/>
              <w:rPr>
                <w:sz w:val="20"/>
                <w:szCs w:val="20"/>
                <w:color w:val="auto"/>
              </w:rPr>
            </w:pPr>
            <w:r>
              <w:rPr>
                <w:rFonts w:ascii="Arial" w:cs="Arial" w:eastAsia="Arial" w:hAnsi="Arial"/>
                <w:sz w:val="7"/>
                <w:szCs w:val="7"/>
                <w:color w:val="auto"/>
              </w:rPr>
              <w:t>150</w:t>
            </w:r>
          </w:p>
        </w:tc>
        <w:tc>
          <w:tcPr>
            <w:tcW w:w="180" w:type="dxa"/>
            <w:vAlign w:val="bottom"/>
          </w:tcPr>
          <w:p>
            <w:pPr>
              <w:spacing w:after="0"/>
              <w:rPr>
                <w:sz w:val="17"/>
                <w:szCs w:val="17"/>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9"/>
              </w:rPr>
              <w:t>Mar-00</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36 West 44th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178,000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31,500,000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177</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May-00</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321</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West 44th Street - 35% JV</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203,000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28,400,000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140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Nov-00</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90 Broad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Financial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339,000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177</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Dec-00</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17 Battery South</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Financial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392,000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53,000,000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135</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Jan-01</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633</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Third Ave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North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40,623</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13,250,000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326</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May-01</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 Park Ave - 45% JV</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913,000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233,900,000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256</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Jun-01</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1412 Broadway</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389,000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90,700,000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233</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Jul-01</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110</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69,700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14,500,000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208</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Sep-01</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 xml:space="preserve">1250 Broadway </w:t>
            </w:r>
            <w:r>
              <w:rPr>
                <w:rFonts w:ascii="Arial" w:cs="Arial" w:eastAsia="Arial" w:hAnsi="Arial"/>
                <w:sz w:val="6"/>
                <w:szCs w:val="6"/>
                <w:color w:val="auto"/>
              </w:rPr>
              <w:t>(1)</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670,000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126,500,000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189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Jun-02</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469</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253,000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53,100,000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210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9"/>
              </w:rPr>
              <w:t>Mar-03</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50 West 23rd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Chelsea</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333,000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66,000,000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198</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Jul-03</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1370 Broadway</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255,000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58,500,000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229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Dec-03</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321</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West 44th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203,000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35,000,000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172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May-04</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 xml:space="preserve">1 Park Avenue </w:t>
            </w:r>
            <w:r>
              <w:rPr>
                <w:rFonts w:ascii="Arial" w:cs="Arial" w:eastAsia="Arial" w:hAnsi="Arial"/>
                <w:sz w:val="6"/>
                <w:szCs w:val="6"/>
                <w:color w:val="auto"/>
              </w:rPr>
              <w:t>(2)</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913,000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318,500,000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349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Oct-04</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17 Battery Place North</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Financial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419,000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70,000,000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167</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Nov-04</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1466 Broadway</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289,000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554</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Apr-05</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1414 Avenue of the Americas</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Plaza District</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111,000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60,500,000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545</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Aug-05</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180</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265,000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92,700,000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350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Jul-06</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286</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&amp; 290 Madison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149,000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63,000,000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423</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Aug-06</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1140 Avenue of the Americas</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Leasehold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Rockefeller Center</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191,000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97,500,000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510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Dec-06</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521</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 xml:space="preserve">Fifth Avenue </w:t>
            </w:r>
            <w:r>
              <w:rPr>
                <w:rFonts w:ascii="Arial" w:cs="Arial" w:eastAsia="Arial" w:hAnsi="Arial"/>
                <w:sz w:val="6"/>
                <w:szCs w:val="6"/>
                <w:color w:val="auto"/>
              </w:rPr>
              <w:t>(3)</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Leasehold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Midtown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460,000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240,000,000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522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9"/>
              </w:rPr>
              <w:t>Mar-07</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 Park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913,000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550,000,000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602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9"/>
              </w:rPr>
              <w:t>Mar-07</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70 West 36th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Garment</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151,000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61,500,000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407</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Jun-07</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110</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North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181,000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111,500,000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616</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Jun-07</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125</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Broad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Downtown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525,000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273,000,000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520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Jun-07</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5 Madison Clock Tower</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Park Avenue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267,000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200,000,000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749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Jul-07</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292</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187,000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140,000,000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749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Jul-07</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 xml:space="preserve">1372 Broadway </w:t>
            </w:r>
            <w:r>
              <w:rPr>
                <w:rFonts w:ascii="Arial" w:cs="Arial" w:eastAsia="Arial" w:hAnsi="Arial"/>
                <w:sz w:val="6"/>
                <w:szCs w:val="6"/>
                <w:color w:val="auto"/>
              </w:rPr>
              <w:t>(4)</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Station/Garment</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508,000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335,000,000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659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Nov-07</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470</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Park Avenue South</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Park Avenue South/Flatiron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260,000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157,000,000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604</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Jan-08</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440</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Ninth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339,000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472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Oct-08</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 xml:space="preserve">1372 Broadway </w:t>
            </w:r>
            <w:r>
              <w:rPr>
                <w:rFonts w:ascii="Arial" w:cs="Arial" w:eastAsia="Arial" w:hAnsi="Arial"/>
                <w:sz w:val="6"/>
                <w:szCs w:val="6"/>
                <w:color w:val="auto"/>
              </w:rPr>
              <w:t>(5)</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Station/Garment</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508,000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274,000,000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539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May-10</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 xml:space="preserve">1221 Avenue of the Americas </w:t>
            </w:r>
            <w:r>
              <w:rPr>
                <w:rFonts w:ascii="Arial" w:cs="Arial" w:eastAsia="Arial" w:hAnsi="Arial"/>
                <w:sz w:val="6"/>
                <w:szCs w:val="6"/>
                <w:color w:val="auto"/>
              </w:rPr>
              <w:t>(6)</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Rockefeller Center</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2,550,000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1,280,000,000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502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Sep-10</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19 West 44th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Midtown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292,000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123,150,000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422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May-11</w:t>
            </w:r>
          </w:p>
        </w:tc>
        <w:tc>
          <w:tcPr>
            <w:tcW w:w="1840" w:type="dxa"/>
            <w:vAlign w:val="bottom"/>
            <w:gridSpan w:val="4"/>
          </w:tcPr>
          <w:p>
            <w:pPr>
              <w:ind w:left="240"/>
              <w:spacing w:after="0"/>
              <w:rPr>
                <w:sz w:val="20"/>
                <w:szCs w:val="20"/>
                <w:color w:val="auto"/>
              </w:rPr>
            </w:pPr>
            <w:r>
              <w:rPr>
                <w:rFonts w:ascii="Arial" w:cs="Arial" w:eastAsia="Arial" w:hAnsi="Arial"/>
                <w:sz w:val="7"/>
                <w:szCs w:val="7"/>
                <w:color w:val="auto"/>
              </w:rPr>
              <w:t>28 West 44th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Midtown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359,000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161,000,000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448</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Aug-13</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333</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West 34th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345,400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220,250,000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638</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May-14</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673</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First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Leasehold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422,000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145,000,000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344</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Sep-15</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120</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West 45th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Midtown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440,000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365,000,000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830</w:t>
            </w:r>
          </w:p>
        </w:tc>
        <w:tc>
          <w:tcPr>
            <w:tcW w:w="180" w:type="dxa"/>
            <w:vAlign w:val="bottom"/>
          </w:tcPr>
          <w:p>
            <w:pPr>
              <w:spacing w:after="0"/>
              <w:rPr>
                <w:sz w:val="19"/>
                <w:szCs w:val="19"/>
                <w:color w:val="auto"/>
              </w:rPr>
            </w:pPr>
          </w:p>
        </w:tc>
      </w:tr>
      <w:tr>
        <w:trPr>
          <w:trHeight w:val="225"/>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Sep-15</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315</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West 36th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 South</w:t>
            </w:r>
          </w:p>
        </w:tc>
        <w:tc>
          <w:tcPr>
            <w:tcW w:w="54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148,000</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115,000,000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777</w:t>
            </w:r>
          </w:p>
        </w:tc>
        <w:tc>
          <w:tcPr>
            <w:tcW w:w="180" w:type="dxa"/>
            <w:vAlign w:val="bottom"/>
          </w:tcPr>
          <w:p>
            <w:pPr>
              <w:spacing w:after="0"/>
              <w:rPr>
                <w:sz w:val="19"/>
                <w:szCs w:val="19"/>
                <w:color w:val="auto"/>
              </w:rPr>
            </w:pPr>
          </w:p>
        </w:tc>
      </w:tr>
      <w:tr>
        <w:trPr>
          <w:trHeight w:val="192"/>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16,178,723</w:t>
            </w:r>
          </w:p>
        </w:tc>
        <w:tc>
          <w:tcPr>
            <w:tcW w:w="560" w:type="dxa"/>
            <w:vAlign w:val="bottom"/>
          </w:tcPr>
          <w:p>
            <w:pPr>
              <w:spacing w:after="0"/>
              <w:rPr>
                <w:sz w:val="16"/>
                <w:szCs w:val="16"/>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6,959,650,000</w:t>
            </w:r>
          </w:p>
        </w:tc>
        <w:tc>
          <w:tcPr>
            <w:tcW w:w="720" w:type="dxa"/>
            <w:vAlign w:val="bottom"/>
            <w:gridSpan w:val="3"/>
          </w:tcPr>
          <w:p>
            <w:pPr>
              <w:jc w:val="right"/>
              <w:spacing w:after="0"/>
              <w:rPr>
                <w:sz w:val="20"/>
                <w:szCs w:val="20"/>
                <w:color w:val="auto"/>
              </w:rPr>
            </w:pPr>
            <w:r>
              <w:rPr>
                <w:rFonts w:ascii="Arial" w:cs="Arial" w:eastAsia="Arial" w:hAnsi="Arial"/>
                <w:sz w:val="7"/>
                <w:szCs w:val="7"/>
                <w:b w:val="1"/>
                <w:bCs w:val="1"/>
                <w:color w:val="auto"/>
              </w:rPr>
              <w:t>$</w:t>
            </w:r>
          </w:p>
        </w:tc>
        <w:tc>
          <w:tcPr>
            <w:tcW w:w="320" w:type="dxa"/>
            <w:vAlign w:val="bottom"/>
          </w:tcPr>
          <w:p>
            <w:pPr>
              <w:jc w:val="right"/>
              <w:spacing w:after="0"/>
              <w:rPr>
                <w:sz w:val="20"/>
                <w:szCs w:val="20"/>
                <w:color w:val="auto"/>
              </w:rPr>
            </w:pPr>
            <w:r>
              <w:rPr>
                <w:rFonts w:ascii="Arial" w:cs="Arial" w:eastAsia="Arial" w:hAnsi="Arial"/>
                <w:sz w:val="7"/>
                <w:szCs w:val="7"/>
                <w:b w:val="1"/>
                <w:bCs w:val="1"/>
                <w:color w:val="auto"/>
              </w:rPr>
              <w:t>430</w:t>
            </w:r>
          </w:p>
        </w:tc>
        <w:tc>
          <w:tcPr>
            <w:tcW w:w="180" w:type="dxa"/>
            <w:vAlign w:val="bottom"/>
          </w:tcPr>
          <w:p>
            <w:pPr>
              <w:spacing w:after="0"/>
              <w:rPr>
                <w:sz w:val="16"/>
                <w:szCs w:val="16"/>
                <w:color w:val="auto"/>
              </w:rPr>
            </w:pPr>
          </w:p>
        </w:tc>
      </w:tr>
      <w:tr>
        <w:trPr>
          <w:trHeight w:val="323"/>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2016 Sales</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Jun-16</w:t>
            </w:r>
          </w:p>
        </w:tc>
        <w:tc>
          <w:tcPr>
            <w:tcW w:w="360" w:type="dxa"/>
            <w:vAlign w:val="bottom"/>
            <w:gridSpan w:val="2"/>
          </w:tcPr>
          <w:p>
            <w:pPr>
              <w:ind w:left="240"/>
              <w:spacing w:after="0"/>
              <w:rPr>
                <w:sz w:val="20"/>
                <w:szCs w:val="20"/>
                <w:color w:val="auto"/>
              </w:rPr>
            </w:pPr>
            <w:r>
              <w:rPr>
                <w:rFonts w:ascii="Arial" w:cs="Arial" w:eastAsia="Arial" w:hAnsi="Arial"/>
                <w:sz w:val="7"/>
                <w:szCs w:val="7"/>
                <w:color w:val="auto"/>
                <w:w w:val="85"/>
              </w:rPr>
              <w:t>388</w:t>
            </w:r>
          </w:p>
        </w:tc>
        <w:tc>
          <w:tcPr>
            <w:tcW w:w="1480" w:type="dxa"/>
            <w:vAlign w:val="bottom"/>
            <w:gridSpan w:val="2"/>
          </w:tcPr>
          <w:p>
            <w:pPr>
              <w:ind w:left="20"/>
              <w:spacing w:after="0"/>
              <w:rPr>
                <w:sz w:val="20"/>
                <w:szCs w:val="20"/>
                <w:color w:val="auto"/>
              </w:rPr>
            </w:pPr>
            <w:r>
              <w:rPr>
                <w:rFonts w:ascii="Arial" w:cs="Arial" w:eastAsia="Arial" w:hAnsi="Arial"/>
                <w:sz w:val="7"/>
                <w:szCs w:val="7"/>
                <w:color w:val="auto"/>
              </w:rPr>
              <w:t>&amp; 390 Greenwich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Downtown</w:t>
            </w:r>
          </w:p>
        </w:tc>
        <w:tc>
          <w:tcPr>
            <w:tcW w:w="540" w:type="dxa"/>
            <w:vAlign w:val="bottom"/>
            <w:gridSpan w:val="2"/>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2,635,000</w:t>
            </w:r>
          </w:p>
        </w:tc>
        <w:tc>
          <w:tcPr>
            <w:tcW w:w="560" w:type="dxa"/>
            <w:vAlign w:val="bottom"/>
          </w:tcPr>
          <w:p>
            <w:pPr>
              <w:spacing w:after="0"/>
              <w:rPr>
                <w:sz w:val="18"/>
                <w:szCs w:val="18"/>
                <w:color w:val="auto"/>
              </w:rPr>
            </w:pPr>
          </w:p>
        </w:tc>
        <w:tc>
          <w:tcPr>
            <w:tcW w:w="220" w:type="dxa"/>
            <w:vAlign w:val="bottom"/>
            <w:tcBorders>
              <w:bottom w:val="single" w:sz="8" w:color="auto"/>
            </w:tcBorders>
          </w:tcPr>
          <w:p>
            <w:pPr>
              <w:jc w:val="right"/>
              <w:ind w:right="124"/>
              <w:spacing w:after="0"/>
              <w:rPr>
                <w:sz w:val="20"/>
                <w:szCs w:val="20"/>
                <w:color w:val="auto"/>
              </w:rPr>
            </w:pPr>
            <w:r>
              <w:rPr>
                <w:rFonts w:ascii="Arial" w:cs="Arial" w:eastAsia="Arial" w:hAnsi="Arial"/>
                <w:sz w:val="7"/>
                <w:szCs w:val="7"/>
                <w:color w:val="auto"/>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2,000,000,000</w:t>
            </w:r>
          </w:p>
        </w:tc>
        <w:tc>
          <w:tcPr>
            <w:tcW w:w="64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759</w:t>
            </w:r>
          </w:p>
        </w:tc>
        <w:tc>
          <w:tcPr>
            <w:tcW w:w="180" w:type="dxa"/>
            <w:vAlign w:val="bottom"/>
          </w:tcPr>
          <w:p>
            <w:pPr>
              <w:spacing w:after="0"/>
              <w:rPr>
                <w:sz w:val="18"/>
                <w:szCs w:val="18"/>
                <w:color w:val="auto"/>
              </w:rPr>
            </w:pPr>
          </w:p>
        </w:tc>
      </w:tr>
      <w:tr>
        <w:trPr>
          <w:trHeight w:val="192"/>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2,635,000</w:t>
            </w:r>
          </w:p>
        </w:tc>
        <w:tc>
          <w:tcPr>
            <w:tcW w:w="560" w:type="dxa"/>
            <w:vAlign w:val="bottom"/>
          </w:tcPr>
          <w:p>
            <w:pPr>
              <w:spacing w:after="0"/>
              <w:rPr>
                <w:sz w:val="16"/>
                <w:szCs w:val="16"/>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2,000,000,000</w:t>
            </w:r>
          </w:p>
        </w:tc>
        <w:tc>
          <w:tcPr>
            <w:tcW w:w="720" w:type="dxa"/>
            <w:vAlign w:val="bottom"/>
            <w:gridSpan w:val="3"/>
          </w:tcPr>
          <w:p>
            <w:pPr>
              <w:jc w:val="right"/>
              <w:spacing w:after="0"/>
              <w:rPr>
                <w:sz w:val="20"/>
                <w:szCs w:val="20"/>
                <w:color w:val="auto"/>
              </w:rPr>
            </w:pPr>
            <w:r>
              <w:rPr>
                <w:rFonts w:ascii="Arial" w:cs="Arial" w:eastAsia="Arial" w:hAnsi="Arial"/>
                <w:sz w:val="7"/>
                <w:szCs w:val="7"/>
                <w:b w:val="1"/>
                <w:bCs w:val="1"/>
                <w:color w:val="auto"/>
              </w:rPr>
              <w:t>$</w:t>
            </w:r>
          </w:p>
        </w:tc>
        <w:tc>
          <w:tcPr>
            <w:tcW w:w="320" w:type="dxa"/>
            <w:vAlign w:val="bottom"/>
          </w:tcPr>
          <w:p>
            <w:pPr>
              <w:jc w:val="right"/>
              <w:spacing w:after="0"/>
              <w:rPr>
                <w:sz w:val="20"/>
                <w:szCs w:val="20"/>
                <w:color w:val="auto"/>
              </w:rPr>
            </w:pPr>
            <w:r>
              <w:rPr>
                <w:rFonts w:ascii="Arial" w:cs="Arial" w:eastAsia="Arial" w:hAnsi="Arial"/>
                <w:sz w:val="7"/>
                <w:szCs w:val="7"/>
                <w:b w:val="1"/>
                <w:bCs w:val="1"/>
                <w:color w:val="auto"/>
              </w:rPr>
              <w:t>759</w:t>
            </w:r>
          </w:p>
        </w:tc>
        <w:tc>
          <w:tcPr>
            <w:tcW w:w="180" w:type="dxa"/>
            <w:vAlign w:val="bottom"/>
          </w:tcPr>
          <w:p>
            <w:pPr>
              <w:spacing w:after="0"/>
              <w:rPr>
                <w:sz w:val="16"/>
                <w:szCs w:val="16"/>
                <w:color w:val="auto"/>
              </w:rPr>
            </w:pPr>
          </w:p>
        </w:tc>
      </w:tr>
    </w:tbl>
    <w:p>
      <w:pPr>
        <w:spacing w:after="0" w:line="242" w:lineRule="exact"/>
        <w:rPr>
          <w:sz w:val="20"/>
          <w:szCs w:val="20"/>
          <w:color w:val="auto"/>
        </w:rPr>
      </w:pPr>
    </w:p>
    <w:p>
      <w:pPr>
        <w:ind w:left="160" w:hanging="111"/>
        <w:spacing w:after="0"/>
        <w:tabs>
          <w:tab w:leader="none" w:pos="160" w:val="left"/>
        </w:tabs>
        <w:numPr>
          <w:ilvl w:val="0"/>
          <w:numId w:val="34"/>
        </w:numPr>
        <w:rPr>
          <w:rFonts w:ascii="Arial" w:cs="Arial" w:eastAsia="Arial" w:hAnsi="Arial"/>
          <w:sz w:val="7"/>
          <w:szCs w:val="7"/>
          <w:color w:val="auto"/>
        </w:rPr>
      </w:pPr>
      <w:r>
        <w:rPr>
          <w:rFonts w:ascii="Arial" w:cs="Arial" w:eastAsia="Arial" w:hAnsi="Arial"/>
          <w:sz w:val="7"/>
          <w:szCs w:val="7"/>
          <w:color w:val="auto"/>
        </w:rPr>
        <w:t>Company sold a 45% JV interest in the property at an implied $126.5 million sales price.</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4"/>
        </w:numPr>
        <w:rPr>
          <w:rFonts w:ascii="Arial" w:cs="Arial" w:eastAsia="Arial" w:hAnsi="Arial"/>
          <w:sz w:val="7"/>
          <w:szCs w:val="7"/>
          <w:color w:val="auto"/>
        </w:rPr>
      </w:pPr>
      <w:r>
        <w:rPr>
          <w:rFonts w:ascii="Arial" w:cs="Arial" w:eastAsia="Arial" w:hAnsi="Arial"/>
          <w:sz w:val="7"/>
          <w:szCs w:val="7"/>
          <w:color w:val="auto"/>
        </w:rPr>
        <w:t>Company sold a 75% JV interest in the property at an implied $318.5 million sales price.</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4"/>
        </w:numPr>
        <w:rPr>
          <w:rFonts w:ascii="Arial" w:cs="Arial" w:eastAsia="Arial" w:hAnsi="Arial"/>
          <w:sz w:val="7"/>
          <w:szCs w:val="7"/>
          <w:color w:val="auto"/>
        </w:rPr>
      </w:pPr>
      <w:r>
        <w:rPr>
          <w:rFonts w:ascii="Arial" w:cs="Arial" w:eastAsia="Arial" w:hAnsi="Arial"/>
          <w:sz w:val="7"/>
          <w:szCs w:val="7"/>
          <w:color w:val="auto"/>
        </w:rPr>
        <w:t>Company sold a 50% JV interest in the property at an implied $240.0 million sales price</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4"/>
        </w:numPr>
        <w:rPr>
          <w:rFonts w:ascii="Arial" w:cs="Arial" w:eastAsia="Arial" w:hAnsi="Arial"/>
          <w:sz w:val="7"/>
          <w:szCs w:val="7"/>
          <w:color w:val="auto"/>
        </w:rPr>
      </w:pPr>
      <w:r>
        <w:rPr>
          <w:rFonts w:ascii="Arial" w:cs="Arial" w:eastAsia="Arial" w:hAnsi="Arial"/>
          <w:sz w:val="7"/>
          <w:szCs w:val="7"/>
          <w:color w:val="auto"/>
        </w:rPr>
        <w:t>Company sold a 85% JV interest in the property at an implied $335.0 million sales price.</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4"/>
        </w:numPr>
        <w:rPr>
          <w:rFonts w:ascii="Arial" w:cs="Arial" w:eastAsia="Arial" w:hAnsi="Arial"/>
          <w:sz w:val="7"/>
          <w:szCs w:val="7"/>
          <w:color w:val="auto"/>
        </w:rPr>
      </w:pPr>
      <w:r>
        <w:rPr>
          <w:rFonts w:ascii="Arial" w:cs="Arial" w:eastAsia="Arial" w:hAnsi="Arial"/>
          <w:sz w:val="7"/>
          <w:szCs w:val="7"/>
          <w:color w:val="auto"/>
        </w:rPr>
        <w:t>Company sold a 15% JV interest in the property at an implied $274.0 million sales price.</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4"/>
        </w:numPr>
        <w:rPr>
          <w:rFonts w:ascii="Arial" w:cs="Arial" w:eastAsia="Arial" w:hAnsi="Arial"/>
          <w:sz w:val="7"/>
          <w:szCs w:val="7"/>
          <w:color w:val="auto"/>
        </w:rPr>
      </w:pPr>
      <w:r>
        <w:rPr>
          <w:rFonts w:ascii="Arial" w:cs="Arial" w:eastAsia="Arial" w:hAnsi="Arial"/>
          <w:sz w:val="7"/>
          <w:szCs w:val="7"/>
          <w:color w:val="auto"/>
        </w:rPr>
        <w:t>Company sold a 45% JV interest in the property at an implied $1.28 billion sales price.</w:t>
      </w:r>
    </w:p>
    <w:p>
      <w:pPr>
        <w:sectPr>
          <w:pgSz w:w="11900" w:h="16838" w:orient="portrait"/>
          <w:cols w:equalWidth="0" w:num="1">
            <w:col w:w="10080"/>
          </w:cols>
          <w:pgMar w:left="900" w:top="338" w:right="91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50</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080"/>
          </w:cols>
          <w:pgMar w:left="900" w:top="338" w:right="91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REAL ESTATE 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5988050</wp:posOffset>
            </wp:positionH>
            <wp:positionV relativeFrom="paragraph">
              <wp:posOffset>-48895</wp:posOffset>
            </wp:positionV>
            <wp:extent cx="1263015" cy="3606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Suburban</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106045</wp:posOffset>
            </wp:positionV>
            <wp:extent cx="64122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24"/>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9"/>
                <w:szCs w:val="9"/>
                <w:b w:val="1"/>
                <w:bCs w:val="1"/>
                <w:color w:val="auto"/>
              </w:rPr>
              <w:t>Occupancy (%)</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Acquisition</w:t>
            </w:r>
          </w:p>
        </w:tc>
      </w:tr>
      <w:tr>
        <w:trPr>
          <w:trHeight w:val="175"/>
        </w:trPr>
        <w:tc>
          <w:tcPr>
            <w:tcW w:w="130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9"/>
                <w:szCs w:val="9"/>
                <w:b w:val="1"/>
                <w:bCs w:val="1"/>
                <w:color w:val="auto"/>
              </w:rPr>
              <w:t>Property</w:t>
            </w:r>
          </w:p>
        </w:tc>
        <w:tc>
          <w:tcPr>
            <w:tcW w:w="1460" w:type="dxa"/>
            <w:vAlign w:val="bottom"/>
            <w:gridSpan w:val="3"/>
          </w:tcPr>
          <w:p>
            <w:pPr>
              <w:ind w:left="60"/>
              <w:spacing w:after="0"/>
              <w:rPr>
                <w:sz w:val="20"/>
                <w:szCs w:val="20"/>
                <w:color w:val="auto"/>
              </w:rPr>
            </w:pPr>
            <w:r>
              <w:rPr>
                <w:rFonts w:ascii="Arial" w:cs="Arial" w:eastAsia="Arial" w:hAnsi="Arial"/>
                <w:sz w:val="9"/>
                <w:szCs w:val="9"/>
                <w:b w:val="1"/>
                <w:bCs w:val="1"/>
                <w:color w:val="auto"/>
              </w:rPr>
              <w:t>Type of Ownership</w:t>
            </w:r>
          </w:p>
        </w:tc>
        <w:tc>
          <w:tcPr>
            <w:tcW w:w="1640" w:type="dxa"/>
            <w:vAlign w:val="bottom"/>
            <w:gridSpan w:val="3"/>
          </w:tcPr>
          <w:p>
            <w:pPr>
              <w:ind w:left="100"/>
              <w:spacing w:after="0"/>
              <w:rPr>
                <w:sz w:val="20"/>
                <w:szCs w:val="20"/>
                <w:color w:val="auto"/>
              </w:rPr>
            </w:pPr>
            <w:r>
              <w:rPr>
                <w:rFonts w:ascii="Arial" w:cs="Arial" w:eastAsia="Arial" w:hAnsi="Arial"/>
                <w:sz w:val="9"/>
                <w:szCs w:val="9"/>
                <w:b w:val="1"/>
                <w:bCs w:val="1"/>
                <w:color w:val="auto"/>
              </w:rPr>
              <w:t>Submarket</w:t>
            </w:r>
          </w:p>
        </w:tc>
        <w:tc>
          <w:tcPr>
            <w:tcW w:w="680" w:type="dxa"/>
            <w:vAlign w:val="bottom"/>
            <w:gridSpan w:val="2"/>
          </w:tcPr>
          <w:p>
            <w:pPr>
              <w:jc w:val="right"/>
              <w:spacing w:after="0"/>
              <w:rPr>
                <w:sz w:val="20"/>
                <w:szCs w:val="20"/>
                <w:color w:val="auto"/>
              </w:rPr>
            </w:pPr>
            <w:r>
              <w:rPr>
                <w:rFonts w:ascii="Arial" w:cs="Arial" w:eastAsia="Arial" w:hAnsi="Arial"/>
                <w:sz w:val="9"/>
                <w:szCs w:val="9"/>
                <w:b w:val="1"/>
                <w:bCs w:val="1"/>
                <w:color w:val="auto"/>
                <w:w w:val="95"/>
              </w:rPr>
              <w:t>Net Rentable SF</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9"/>
                <w:szCs w:val="9"/>
                <w:b w:val="1"/>
                <w:bCs w:val="1"/>
                <w:color w:val="auto"/>
                <w:w w:val="92"/>
              </w:rPr>
              <w:t>at acquisition</w:t>
            </w:r>
          </w:p>
        </w:tc>
        <w:tc>
          <w:tcPr>
            <w:tcW w:w="52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6/30/2016</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2"/>
              </w:rPr>
              <w:t xml:space="preserve">Price </w:t>
            </w:r>
            <w:r>
              <w:rPr>
                <w:rFonts w:ascii="Arial" w:cs="Arial" w:eastAsia="Arial" w:hAnsi="Arial"/>
                <w:sz w:val="9"/>
                <w:szCs w:val="9"/>
                <w:b w:val="1"/>
                <w:bCs w:val="1"/>
                <w:u w:val="single" w:color="auto"/>
                <w:color w:val="auto"/>
                <w:w w:val="92"/>
              </w:rPr>
              <w:t>($</w:t>
            </w:r>
            <w:r>
              <w:rPr>
                <w:rFonts w:ascii="Arial" w:cs="Arial" w:eastAsia="Arial" w:hAnsi="Arial"/>
                <w:sz w:val="9"/>
                <w:szCs w:val="9"/>
                <w:b w:val="1"/>
                <w:bCs w:val="1"/>
                <w:color w:val="auto"/>
                <w:w w:val="92"/>
              </w:rPr>
              <w:t>'s) (1)</w:t>
            </w:r>
          </w:p>
        </w:tc>
      </w:tr>
      <w:tr>
        <w:trPr>
          <w:trHeight w:val="22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2007 - 2015 Acquisitions</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201"/>
        </w:trPr>
        <w:tc>
          <w:tcPr>
            <w:tcW w:w="1300" w:type="dxa"/>
            <w:vAlign w:val="bottom"/>
          </w:tcPr>
          <w:p>
            <w:pPr>
              <w:jc w:val="center"/>
              <w:spacing w:after="0"/>
              <w:rPr>
                <w:sz w:val="20"/>
                <w:szCs w:val="20"/>
                <w:color w:val="auto"/>
              </w:rPr>
            </w:pPr>
            <w:r>
              <w:rPr>
                <w:rFonts w:ascii="Arial" w:cs="Arial" w:eastAsia="Arial" w:hAnsi="Arial"/>
                <w:sz w:val="9"/>
                <w:szCs w:val="9"/>
                <w:color w:val="auto"/>
                <w:w w:val="94"/>
              </w:rPr>
              <w:t>Jan-07</w:t>
            </w:r>
          </w:p>
        </w:tc>
        <w:tc>
          <w:tcPr>
            <w:tcW w:w="160" w:type="dxa"/>
            <w:vAlign w:val="bottom"/>
          </w:tcPr>
          <w:p>
            <w:pPr>
              <w:spacing w:after="0"/>
              <w:rPr>
                <w:sz w:val="20"/>
                <w:szCs w:val="20"/>
                <w:color w:val="auto"/>
              </w:rPr>
            </w:pPr>
            <w:r>
              <w:rPr>
                <w:rFonts w:ascii="Arial" w:cs="Arial" w:eastAsia="Arial" w:hAnsi="Arial"/>
                <w:sz w:val="9"/>
                <w:szCs w:val="9"/>
                <w:color w:val="auto"/>
                <w:w w:val="92"/>
              </w:rPr>
              <w:t>300</w:t>
            </w:r>
          </w:p>
        </w:tc>
        <w:tc>
          <w:tcPr>
            <w:tcW w:w="1380" w:type="dxa"/>
            <w:vAlign w:val="bottom"/>
            <w:gridSpan w:val="2"/>
          </w:tcPr>
          <w:p>
            <w:pPr>
              <w:spacing w:after="0"/>
              <w:rPr>
                <w:sz w:val="20"/>
                <w:szCs w:val="20"/>
                <w:color w:val="auto"/>
              </w:rPr>
            </w:pPr>
            <w:r>
              <w:rPr>
                <w:rFonts w:ascii="Arial" w:cs="Arial" w:eastAsia="Arial" w:hAnsi="Arial"/>
                <w:sz w:val="9"/>
                <w:szCs w:val="9"/>
                <w:color w:val="auto"/>
              </w:rPr>
              <w:t>Main Street</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Stamford, Connecticut</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130,000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92.5</w:t>
            </w:r>
          </w:p>
        </w:tc>
        <w:tc>
          <w:tcPr>
            <w:tcW w:w="120" w:type="dxa"/>
            <w:vAlign w:val="bottom"/>
          </w:tcPr>
          <w:p>
            <w:pPr>
              <w:spacing w:after="0"/>
              <w:rPr>
                <w:sz w:val="17"/>
                <w:szCs w:val="17"/>
                <w:color w:val="auto"/>
              </w:rPr>
            </w:pP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15,000,000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4"/>
              </w:rPr>
              <w:t>Jan-07</w:t>
            </w:r>
          </w:p>
        </w:tc>
        <w:tc>
          <w:tcPr>
            <w:tcW w:w="160" w:type="dxa"/>
            <w:vAlign w:val="bottom"/>
          </w:tcPr>
          <w:p>
            <w:pPr>
              <w:spacing w:after="0"/>
              <w:rPr>
                <w:sz w:val="20"/>
                <w:szCs w:val="20"/>
                <w:color w:val="auto"/>
              </w:rPr>
            </w:pPr>
            <w:r>
              <w:rPr>
                <w:rFonts w:ascii="Arial" w:cs="Arial" w:eastAsia="Arial" w:hAnsi="Arial"/>
                <w:sz w:val="9"/>
                <w:szCs w:val="9"/>
                <w:color w:val="auto"/>
                <w:w w:val="92"/>
              </w:rPr>
              <w:t>399</w:t>
            </w:r>
          </w:p>
        </w:tc>
        <w:tc>
          <w:tcPr>
            <w:tcW w:w="1380" w:type="dxa"/>
            <w:vAlign w:val="bottom"/>
            <w:gridSpan w:val="2"/>
          </w:tcPr>
          <w:p>
            <w:pPr>
              <w:spacing w:after="0"/>
              <w:rPr>
                <w:sz w:val="20"/>
                <w:szCs w:val="20"/>
                <w:color w:val="auto"/>
              </w:rPr>
            </w:pPr>
            <w:r>
              <w:rPr>
                <w:rFonts w:ascii="Arial" w:cs="Arial" w:eastAsia="Arial" w:hAnsi="Arial"/>
                <w:sz w:val="9"/>
                <w:szCs w:val="9"/>
                <w:color w:val="auto"/>
              </w:rPr>
              <w:t>Knollwood Road</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White Plains, New York</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145,000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96.6</w:t>
            </w:r>
          </w:p>
        </w:tc>
        <w:tc>
          <w:tcPr>
            <w:tcW w:w="120" w:type="dxa"/>
            <w:vAlign w:val="bottom"/>
          </w:tcPr>
          <w:p>
            <w:pPr>
              <w:spacing w:after="0"/>
              <w:rPr>
                <w:sz w:val="19"/>
                <w:szCs w:val="19"/>
                <w:color w:val="auto"/>
              </w:rPr>
            </w:pP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31,600,000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4"/>
              </w:rPr>
              <w:t>Jan-07</w:t>
            </w:r>
          </w:p>
        </w:tc>
        <w:tc>
          <w:tcPr>
            <w:tcW w:w="1540" w:type="dxa"/>
            <w:vAlign w:val="bottom"/>
            <w:gridSpan w:val="3"/>
          </w:tcPr>
          <w:p>
            <w:pPr>
              <w:spacing w:after="0"/>
              <w:rPr>
                <w:sz w:val="20"/>
                <w:szCs w:val="20"/>
                <w:color w:val="auto"/>
              </w:rPr>
            </w:pPr>
            <w:r>
              <w:rPr>
                <w:rFonts w:ascii="Arial" w:cs="Arial" w:eastAsia="Arial" w:hAnsi="Arial"/>
                <w:sz w:val="9"/>
                <w:szCs w:val="9"/>
                <w:color w:val="auto"/>
              </w:rPr>
              <w:t>Reckson - Connecticut Portfolio</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Interests / Leasehold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Stamford, Connecticut</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1,369,800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88.9</w:t>
            </w:r>
          </w:p>
        </w:tc>
        <w:tc>
          <w:tcPr>
            <w:tcW w:w="520" w:type="dxa"/>
            <w:vAlign w:val="bottom"/>
            <w:gridSpan w:val="3"/>
          </w:tcPr>
          <w:p>
            <w:pPr>
              <w:jc w:val="right"/>
              <w:ind w:right="20"/>
              <w:spacing w:after="0"/>
              <w:rPr>
                <w:sz w:val="20"/>
                <w:szCs w:val="20"/>
                <w:color w:val="auto"/>
              </w:rPr>
            </w:pPr>
            <w:r>
              <w:rPr>
                <w:rFonts w:ascii="Arial" w:cs="Arial" w:eastAsia="Arial" w:hAnsi="Arial"/>
                <w:sz w:val="9"/>
                <w:szCs w:val="9"/>
                <w:color w:val="auto"/>
              </w:rPr>
              <w:t>88.4</w:t>
            </w:r>
          </w:p>
        </w:tc>
        <w:tc>
          <w:tcPr>
            <w:tcW w:w="3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490,750,000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4"/>
              </w:rPr>
              <w:t>Jan-07</w:t>
            </w:r>
          </w:p>
        </w:tc>
        <w:tc>
          <w:tcPr>
            <w:tcW w:w="1540" w:type="dxa"/>
            <w:vAlign w:val="bottom"/>
            <w:gridSpan w:val="3"/>
          </w:tcPr>
          <w:p>
            <w:pPr>
              <w:spacing w:after="0"/>
              <w:rPr>
                <w:sz w:val="20"/>
                <w:szCs w:val="20"/>
                <w:color w:val="auto"/>
              </w:rPr>
            </w:pPr>
            <w:r>
              <w:rPr>
                <w:rFonts w:ascii="Arial" w:cs="Arial" w:eastAsia="Arial" w:hAnsi="Arial"/>
                <w:sz w:val="9"/>
                <w:szCs w:val="9"/>
                <w:color w:val="auto"/>
              </w:rPr>
              <w:t>Reckson - Westchester Portfolio</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Interests / Leasehold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Westchester</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2,346,100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90.6</w:t>
            </w:r>
          </w:p>
        </w:tc>
        <w:tc>
          <w:tcPr>
            <w:tcW w:w="520" w:type="dxa"/>
            <w:vAlign w:val="bottom"/>
            <w:gridSpan w:val="3"/>
          </w:tcPr>
          <w:p>
            <w:pPr>
              <w:jc w:val="right"/>
              <w:ind w:right="20"/>
              <w:spacing w:after="0"/>
              <w:rPr>
                <w:sz w:val="20"/>
                <w:szCs w:val="20"/>
                <w:color w:val="auto"/>
              </w:rPr>
            </w:pPr>
            <w:r>
              <w:rPr>
                <w:rFonts w:ascii="Arial" w:cs="Arial" w:eastAsia="Arial" w:hAnsi="Arial"/>
                <w:sz w:val="9"/>
                <w:szCs w:val="9"/>
                <w:color w:val="auto"/>
              </w:rPr>
              <w:t>79.5</w:t>
            </w:r>
          </w:p>
        </w:tc>
        <w:tc>
          <w:tcPr>
            <w:tcW w:w="3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570,190,000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6"/>
              </w:rPr>
              <w:t>Apr-07</w:t>
            </w:r>
          </w:p>
        </w:tc>
        <w:tc>
          <w:tcPr>
            <w:tcW w:w="1540" w:type="dxa"/>
            <w:vAlign w:val="bottom"/>
            <w:gridSpan w:val="3"/>
          </w:tcPr>
          <w:p>
            <w:pPr>
              <w:spacing w:after="0"/>
              <w:rPr>
                <w:sz w:val="20"/>
                <w:szCs w:val="20"/>
                <w:color w:val="auto"/>
              </w:rPr>
            </w:pPr>
            <w:r>
              <w:rPr>
                <w:rFonts w:ascii="Arial" w:cs="Arial" w:eastAsia="Arial" w:hAnsi="Arial"/>
                <w:sz w:val="9"/>
                <w:szCs w:val="9"/>
                <w:color w:val="auto"/>
              </w:rPr>
              <w:t>Jericho Plazas - 20.26% JV</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Jericho, New York</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640,000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98.4</w:t>
            </w:r>
          </w:p>
        </w:tc>
        <w:tc>
          <w:tcPr>
            <w:tcW w:w="520" w:type="dxa"/>
            <w:vAlign w:val="bottom"/>
            <w:gridSpan w:val="3"/>
          </w:tcPr>
          <w:p>
            <w:pPr>
              <w:jc w:val="right"/>
              <w:ind w:right="20"/>
              <w:spacing w:after="0"/>
              <w:rPr>
                <w:sz w:val="20"/>
                <w:szCs w:val="20"/>
                <w:color w:val="auto"/>
              </w:rPr>
            </w:pPr>
            <w:r>
              <w:rPr>
                <w:rFonts w:ascii="Arial" w:cs="Arial" w:eastAsia="Arial" w:hAnsi="Arial"/>
                <w:sz w:val="9"/>
                <w:szCs w:val="9"/>
                <w:color w:val="auto"/>
              </w:rPr>
              <w:t>71.0</w:t>
            </w:r>
          </w:p>
        </w:tc>
        <w:tc>
          <w:tcPr>
            <w:tcW w:w="3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210,000,000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4"/>
              </w:rPr>
              <w:t>Jun-07</w:t>
            </w:r>
          </w:p>
        </w:tc>
        <w:tc>
          <w:tcPr>
            <w:tcW w:w="1540" w:type="dxa"/>
            <w:vAlign w:val="bottom"/>
            <w:gridSpan w:val="3"/>
          </w:tcPr>
          <w:p>
            <w:pPr>
              <w:spacing w:after="0"/>
              <w:rPr>
                <w:sz w:val="20"/>
                <w:szCs w:val="20"/>
                <w:color w:val="auto"/>
              </w:rPr>
            </w:pPr>
            <w:r>
              <w:rPr>
                <w:rFonts w:ascii="Arial" w:cs="Arial" w:eastAsia="Arial" w:hAnsi="Arial"/>
                <w:sz w:val="9"/>
                <w:szCs w:val="9"/>
                <w:color w:val="auto"/>
              </w:rPr>
              <w:t>1010 Washington Boulevard</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Stamford, Connecticut</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143,400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95.6</w:t>
            </w:r>
          </w:p>
        </w:tc>
        <w:tc>
          <w:tcPr>
            <w:tcW w:w="520" w:type="dxa"/>
            <w:vAlign w:val="bottom"/>
            <w:gridSpan w:val="3"/>
          </w:tcPr>
          <w:p>
            <w:pPr>
              <w:jc w:val="right"/>
              <w:ind w:right="20"/>
              <w:spacing w:after="0"/>
              <w:rPr>
                <w:sz w:val="20"/>
                <w:szCs w:val="20"/>
                <w:color w:val="auto"/>
              </w:rPr>
            </w:pPr>
            <w:r>
              <w:rPr>
                <w:rFonts w:ascii="Arial" w:cs="Arial" w:eastAsia="Arial" w:hAnsi="Arial"/>
                <w:sz w:val="9"/>
                <w:szCs w:val="9"/>
                <w:color w:val="auto"/>
              </w:rPr>
              <w:t>79.3</w:t>
            </w:r>
          </w:p>
        </w:tc>
        <w:tc>
          <w:tcPr>
            <w:tcW w:w="3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38,000,000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4"/>
              </w:rPr>
              <w:t>Jun-07</w:t>
            </w:r>
          </w:p>
        </w:tc>
        <w:tc>
          <w:tcPr>
            <w:tcW w:w="160" w:type="dxa"/>
            <w:vAlign w:val="bottom"/>
          </w:tcPr>
          <w:p>
            <w:pPr>
              <w:spacing w:after="0"/>
              <w:rPr>
                <w:sz w:val="20"/>
                <w:szCs w:val="20"/>
                <w:color w:val="auto"/>
              </w:rPr>
            </w:pPr>
            <w:r>
              <w:rPr>
                <w:rFonts w:ascii="Arial" w:cs="Arial" w:eastAsia="Arial" w:hAnsi="Arial"/>
                <w:sz w:val="9"/>
                <w:szCs w:val="9"/>
                <w:color w:val="auto"/>
                <w:w w:val="92"/>
              </w:rPr>
              <w:t>500</w:t>
            </w:r>
          </w:p>
        </w:tc>
        <w:tc>
          <w:tcPr>
            <w:tcW w:w="1380" w:type="dxa"/>
            <w:vAlign w:val="bottom"/>
            <w:gridSpan w:val="2"/>
          </w:tcPr>
          <w:p>
            <w:pPr>
              <w:spacing w:after="0"/>
              <w:rPr>
                <w:sz w:val="20"/>
                <w:szCs w:val="20"/>
                <w:color w:val="auto"/>
              </w:rPr>
            </w:pPr>
            <w:r>
              <w:rPr>
                <w:rFonts w:ascii="Arial" w:cs="Arial" w:eastAsia="Arial" w:hAnsi="Arial"/>
                <w:sz w:val="9"/>
                <w:szCs w:val="9"/>
                <w:color w:val="auto"/>
              </w:rPr>
              <w:t>West Putnam Avenue</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Greenwich, Connecticut</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121,500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94.4</w:t>
            </w:r>
          </w:p>
        </w:tc>
        <w:tc>
          <w:tcPr>
            <w:tcW w:w="520" w:type="dxa"/>
            <w:vAlign w:val="bottom"/>
            <w:gridSpan w:val="3"/>
          </w:tcPr>
          <w:p>
            <w:pPr>
              <w:jc w:val="right"/>
              <w:ind w:right="20"/>
              <w:spacing w:after="0"/>
              <w:rPr>
                <w:sz w:val="20"/>
                <w:szCs w:val="20"/>
                <w:color w:val="auto"/>
              </w:rPr>
            </w:pPr>
            <w:r>
              <w:rPr>
                <w:rFonts w:ascii="Arial" w:cs="Arial" w:eastAsia="Arial" w:hAnsi="Arial"/>
                <w:sz w:val="9"/>
                <w:szCs w:val="9"/>
                <w:color w:val="auto"/>
              </w:rPr>
              <w:t>53.8</w:t>
            </w:r>
          </w:p>
        </w:tc>
        <w:tc>
          <w:tcPr>
            <w:tcW w:w="3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56,000,000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7"/>
              </w:rPr>
              <w:t>Jul-07</w:t>
            </w:r>
          </w:p>
        </w:tc>
        <w:tc>
          <w:tcPr>
            <w:tcW w:w="1540" w:type="dxa"/>
            <w:vAlign w:val="bottom"/>
            <w:gridSpan w:val="3"/>
          </w:tcPr>
          <w:p>
            <w:pPr>
              <w:spacing w:after="0"/>
              <w:rPr>
                <w:sz w:val="20"/>
                <w:szCs w:val="20"/>
                <w:color w:val="auto"/>
              </w:rPr>
            </w:pPr>
            <w:r>
              <w:rPr>
                <w:rFonts w:ascii="Arial" w:cs="Arial" w:eastAsia="Arial" w:hAnsi="Arial"/>
                <w:sz w:val="9"/>
                <w:szCs w:val="9"/>
                <w:color w:val="auto"/>
              </w:rPr>
              <w:t>16 Court Street - 35% JV</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Brooklyn, New York</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317,600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80.6</w:t>
            </w:r>
          </w:p>
        </w:tc>
        <w:tc>
          <w:tcPr>
            <w:tcW w:w="520" w:type="dxa"/>
            <w:vAlign w:val="bottom"/>
            <w:gridSpan w:val="3"/>
          </w:tcPr>
          <w:p>
            <w:pPr>
              <w:jc w:val="right"/>
              <w:ind w:right="20"/>
              <w:spacing w:after="0"/>
              <w:rPr>
                <w:sz w:val="20"/>
                <w:szCs w:val="20"/>
                <w:color w:val="auto"/>
              </w:rPr>
            </w:pPr>
            <w:r>
              <w:rPr>
                <w:rFonts w:ascii="Arial" w:cs="Arial" w:eastAsia="Arial" w:hAnsi="Arial"/>
                <w:sz w:val="9"/>
                <w:szCs w:val="9"/>
                <w:color w:val="auto"/>
              </w:rPr>
              <w:t>97.3</w:t>
            </w:r>
          </w:p>
        </w:tc>
        <w:tc>
          <w:tcPr>
            <w:tcW w:w="3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107,500,000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6"/>
              </w:rPr>
              <w:t>Aug-07</w:t>
            </w:r>
          </w:p>
        </w:tc>
        <w:tc>
          <w:tcPr>
            <w:tcW w:w="160" w:type="dxa"/>
            <w:vAlign w:val="bottom"/>
          </w:tcPr>
          <w:p>
            <w:pPr>
              <w:spacing w:after="0"/>
              <w:rPr>
                <w:sz w:val="20"/>
                <w:szCs w:val="20"/>
                <w:color w:val="auto"/>
              </w:rPr>
            </w:pPr>
            <w:r>
              <w:rPr>
                <w:rFonts w:ascii="Arial" w:cs="Arial" w:eastAsia="Arial" w:hAnsi="Arial"/>
                <w:sz w:val="9"/>
                <w:szCs w:val="9"/>
                <w:color w:val="auto"/>
                <w:w w:val="92"/>
              </w:rPr>
              <w:t>150</w:t>
            </w:r>
          </w:p>
        </w:tc>
        <w:tc>
          <w:tcPr>
            <w:tcW w:w="1380" w:type="dxa"/>
            <w:vAlign w:val="bottom"/>
            <w:gridSpan w:val="2"/>
          </w:tcPr>
          <w:p>
            <w:pPr>
              <w:spacing w:after="0"/>
              <w:rPr>
                <w:sz w:val="20"/>
                <w:szCs w:val="20"/>
                <w:color w:val="auto"/>
              </w:rPr>
            </w:pPr>
            <w:r>
              <w:rPr>
                <w:rFonts w:ascii="Arial" w:cs="Arial" w:eastAsia="Arial" w:hAnsi="Arial"/>
                <w:sz w:val="9"/>
                <w:szCs w:val="9"/>
                <w:color w:val="auto"/>
              </w:rPr>
              <w:t>Grand Street</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White Plains, New York</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85,000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52.9</w:t>
            </w:r>
          </w:p>
        </w:tc>
        <w:tc>
          <w:tcPr>
            <w:tcW w:w="120" w:type="dxa"/>
            <w:vAlign w:val="bottom"/>
          </w:tcPr>
          <w:p>
            <w:pPr>
              <w:spacing w:after="0"/>
              <w:rPr>
                <w:sz w:val="19"/>
                <w:szCs w:val="19"/>
                <w:color w:val="auto"/>
              </w:rPr>
            </w:pP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6,700,000</w:t>
            </w:r>
          </w:p>
        </w:tc>
      </w:tr>
      <w:tr>
        <w:trPr>
          <w:trHeight w:val="219"/>
        </w:trPr>
        <w:tc>
          <w:tcPr>
            <w:tcW w:w="1300" w:type="dxa"/>
            <w:vAlign w:val="bottom"/>
          </w:tcPr>
          <w:p>
            <w:pPr>
              <w:jc w:val="center"/>
              <w:spacing w:after="0"/>
              <w:rPr>
                <w:sz w:val="20"/>
                <w:szCs w:val="20"/>
                <w:color w:val="auto"/>
              </w:rPr>
            </w:pPr>
            <w:r>
              <w:rPr>
                <w:rFonts w:ascii="Arial" w:cs="Arial" w:eastAsia="Arial" w:hAnsi="Arial"/>
                <w:sz w:val="9"/>
                <w:szCs w:val="9"/>
                <w:color w:val="auto"/>
                <w:w w:val="96"/>
              </w:rPr>
              <w:t>Sep-07</w:t>
            </w:r>
          </w:p>
        </w:tc>
        <w:tc>
          <w:tcPr>
            <w:tcW w:w="1540" w:type="dxa"/>
            <w:vAlign w:val="bottom"/>
            <w:gridSpan w:val="3"/>
          </w:tcPr>
          <w:p>
            <w:pPr>
              <w:spacing w:after="0"/>
              <w:rPr>
                <w:sz w:val="20"/>
                <w:szCs w:val="20"/>
                <w:color w:val="auto"/>
              </w:rPr>
            </w:pPr>
            <w:r>
              <w:rPr>
                <w:rFonts w:ascii="Arial" w:cs="Arial" w:eastAsia="Arial" w:hAnsi="Arial"/>
                <w:sz w:val="9"/>
                <w:szCs w:val="9"/>
                <w:color w:val="auto"/>
              </w:rPr>
              <w:t>The Meadows - 25% JV</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Rutherford, New Jersey</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582,100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81.3</w:t>
            </w:r>
          </w:p>
        </w:tc>
        <w:tc>
          <w:tcPr>
            <w:tcW w:w="120" w:type="dxa"/>
            <w:vAlign w:val="bottom"/>
          </w:tcPr>
          <w:p>
            <w:pPr>
              <w:spacing w:after="0"/>
              <w:rPr>
                <w:sz w:val="19"/>
                <w:szCs w:val="19"/>
                <w:color w:val="auto"/>
              </w:rPr>
            </w:pP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840" w:type="dxa"/>
            <w:vAlign w:val="bottom"/>
            <w:gridSpan w:val="3"/>
          </w:tcPr>
          <w:p>
            <w:pPr>
              <w:jc w:val="right"/>
              <w:ind w:right="40"/>
              <w:spacing w:after="0"/>
              <w:rPr>
                <w:sz w:val="20"/>
                <w:szCs w:val="20"/>
                <w:color w:val="auto"/>
              </w:rPr>
            </w:pPr>
            <w:r>
              <w:rPr>
                <w:rFonts w:ascii="Arial" w:cs="Arial" w:eastAsia="Arial" w:hAnsi="Arial"/>
                <w:sz w:val="9"/>
                <w:szCs w:val="9"/>
                <w:color w:val="auto"/>
              </w:rPr>
              <w:t>111,500,000</w:t>
            </w:r>
          </w:p>
        </w:tc>
      </w:tr>
      <w:tr>
        <w:trPr>
          <w:trHeight w:val="227"/>
        </w:trPr>
        <w:tc>
          <w:tcPr>
            <w:tcW w:w="1300" w:type="dxa"/>
            <w:vAlign w:val="bottom"/>
          </w:tcPr>
          <w:p>
            <w:pPr>
              <w:jc w:val="center"/>
              <w:spacing w:after="0"/>
              <w:rPr>
                <w:sz w:val="20"/>
                <w:szCs w:val="20"/>
                <w:color w:val="auto"/>
              </w:rPr>
            </w:pPr>
            <w:r>
              <w:rPr>
                <w:rFonts w:ascii="Arial" w:cs="Arial" w:eastAsia="Arial" w:hAnsi="Arial"/>
                <w:sz w:val="9"/>
                <w:szCs w:val="9"/>
                <w:color w:val="auto"/>
                <w:w w:val="96"/>
              </w:rPr>
              <w:t>Apr-13</w:t>
            </w:r>
          </w:p>
        </w:tc>
        <w:tc>
          <w:tcPr>
            <w:tcW w:w="1540" w:type="dxa"/>
            <w:vAlign w:val="bottom"/>
            <w:gridSpan w:val="3"/>
          </w:tcPr>
          <w:p>
            <w:pPr>
              <w:spacing w:after="0"/>
              <w:rPr>
                <w:sz w:val="20"/>
                <w:szCs w:val="20"/>
                <w:color w:val="auto"/>
              </w:rPr>
            </w:pPr>
            <w:r>
              <w:rPr>
                <w:rFonts w:ascii="Arial" w:cs="Arial" w:eastAsia="Arial" w:hAnsi="Arial"/>
                <w:sz w:val="9"/>
                <w:szCs w:val="9"/>
                <w:color w:val="auto"/>
                <w:w w:val="99"/>
              </w:rPr>
              <w:t>16 Court Street - additional JV interest</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640" w:type="dxa"/>
            <w:vAlign w:val="bottom"/>
            <w:gridSpan w:val="3"/>
          </w:tcPr>
          <w:p>
            <w:pPr>
              <w:ind w:left="100"/>
              <w:spacing w:after="0"/>
              <w:rPr>
                <w:sz w:val="20"/>
                <w:szCs w:val="20"/>
                <w:color w:val="auto"/>
              </w:rPr>
            </w:pPr>
            <w:r>
              <w:rPr>
                <w:rFonts w:ascii="Arial" w:cs="Arial" w:eastAsia="Arial" w:hAnsi="Arial"/>
                <w:sz w:val="9"/>
                <w:szCs w:val="9"/>
                <w:color w:val="auto"/>
              </w:rPr>
              <w:t>Brooklyn, New York</w:t>
            </w:r>
          </w:p>
        </w:tc>
        <w:tc>
          <w:tcPr>
            <w:tcW w:w="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317,600</w:t>
            </w:r>
          </w:p>
        </w:tc>
        <w:tc>
          <w:tcPr>
            <w:tcW w:w="1800" w:type="dxa"/>
            <w:vAlign w:val="bottom"/>
            <w:gridSpan w:val="4"/>
          </w:tcPr>
          <w:p>
            <w:pPr>
              <w:jc w:val="right"/>
              <w:ind w:right="460"/>
              <w:spacing w:after="0"/>
              <w:rPr>
                <w:sz w:val="20"/>
                <w:szCs w:val="20"/>
                <w:color w:val="auto"/>
              </w:rPr>
            </w:pPr>
            <w:r>
              <w:rPr>
                <w:rFonts w:ascii="Arial" w:cs="Arial" w:eastAsia="Arial" w:hAnsi="Arial"/>
                <w:sz w:val="9"/>
                <w:szCs w:val="9"/>
                <w:color w:val="auto"/>
              </w:rPr>
              <w:t>84.9</w:t>
            </w:r>
          </w:p>
        </w:tc>
        <w:tc>
          <w:tcPr>
            <w:tcW w:w="520" w:type="dxa"/>
            <w:vAlign w:val="bottom"/>
            <w:gridSpan w:val="3"/>
          </w:tcPr>
          <w:p>
            <w:pPr>
              <w:jc w:val="right"/>
              <w:ind w:right="20"/>
              <w:spacing w:after="0"/>
              <w:rPr>
                <w:sz w:val="20"/>
                <w:szCs w:val="20"/>
                <w:color w:val="auto"/>
              </w:rPr>
            </w:pPr>
            <w:r>
              <w:rPr>
                <w:rFonts w:ascii="Arial" w:cs="Arial" w:eastAsia="Arial" w:hAnsi="Arial"/>
                <w:sz w:val="9"/>
                <w:szCs w:val="9"/>
                <w:color w:val="auto"/>
              </w:rPr>
              <w:t>97.3</w:t>
            </w:r>
          </w:p>
        </w:tc>
        <w:tc>
          <w:tcPr>
            <w:tcW w:w="340" w:type="dxa"/>
            <w:vAlign w:val="bottom"/>
          </w:tcPr>
          <w:p>
            <w:pPr>
              <w:spacing w:after="0"/>
              <w:rPr>
                <w:sz w:val="19"/>
                <w:szCs w:val="19"/>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9"/>
                <w:szCs w:val="9"/>
                <w:color w:val="auto"/>
              </w:rPr>
              <w:t>96,200,000</w:t>
            </w:r>
          </w:p>
        </w:tc>
      </w:tr>
      <w:tr>
        <w:trPr>
          <w:trHeight w:val="190"/>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9"/>
                <w:szCs w:val="9"/>
                <w:b w:val="1"/>
                <w:bCs w:val="1"/>
                <w:color w:val="auto"/>
              </w:rPr>
              <w:t>$6,198,100</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$1,733,440,000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288925</wp:posOffset>
            </wp:positionV>
            <wp:extent cx="634301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43015" cy="279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SUMMARY OF REAL ESTATE SALES ACTIVITY</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Suburban</w:t>
      </w:r>
    </w:p>
    <w:p>
      <w:pPr>
        <w:ind w:left="70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99060</wp:posOffset>
            </wp:positionV>
            <wp:extent cx="634301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43015" cy="4191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1580" w:type="dxa"/>
            <w:vAlign w:val="bottom"/>
            <w:gridSpan w:val="3"/>
          </w:tcPr>
          <w:p>
            <w:pPr>
              <w:spacing w:after="0"/>
              <w:rPr>
                <w:sz w:val="20"/>
                <w:szCs w:val="20"/>
                <w:color w:val="auto"/>
              </w:rPr>
            </w:pPr>
            <w:r>
              <w:rPr>
                <w:rFonts w:ascii="Arial" w:cs="Arial" w:eastAsia="Arial" w:hAnsi="Arial"/>
                <w:sz w:val="9"/>
                <w:szCs w:val="9"/>
                <w:b w:val="1"/>
                <w:bCs w:val="1"/>
                <w:color w:val="auto"/>
              </w:rPr>
              <w:t>Property</w:t>
            </w:r>
          </w:p>
        </w:tc>
        <w:tc>
          <w:tcPr>
            <w:tcW w:w="1500" w:type="dxa"/>
            <w:vAlign w:val="bottom"/>
            <w:gridSpan w:val="2"/>
          </w:tcPr>
          <w:p>
            <w:pPr>
              <w:spacing w:after="0"/>
              <w:rPr>
                <w:sz w:val="20"/>
                <w:szCs w:val="20"/>
                <w:color w:val="auto"/>
              </w:rPr>
            </w:pPr>
            <w:r>
              <w:rPr>
                <w:rFonts w:ascii="Arial" w:cs="Arial" w:eastAsia="Arial" w:hAnsi="Arial"/>
                <w:sz w:val="9"/>
                <w:szCs w:val="9"/>
                <w:b w:val="1"/>
                <w:bCs w:val="1"/>
                <w:color w:val="auto"/>
              </w:rPr>
              <w:t>Type of Ownership</w:t>
            </w:r>
          </w:p>
        </w:tc>
        <w:tc>
          <w:tcPr>
            <w:tcW w:w="1480" w:type="dxa"/>
            <w:vAlign w:val="bottom"/>
            <w:gridSpan w:val="2"/>
          </w:tcPr>
          <w:p>
            <w:pPr>
              <w:spacing w:after="0"/>
              <w:rPr>
                <w:sz w:val="20"/>
                <w:szCs w:val="20"/>
                <w:color w:val="auto"/>
              </w:rPr>
            </w:pPr>
            <w:r>
              <w:rPr>
                <w:rFonts w:ascii="Arial" w:cs="Arial" w:eastAsia="Arial" w:hAnsi="Arial"/>
                <w:sz w:val="9"/>
                <w:szCs w:val="9"/>
                <w:b w:val="1"/>
                <w:bCs w:val="1"/>
                <w:color w:val="auto"/>
              </w:rPr>
              <w:t>Submarket</w:t>
            </w:r>
          </w:p>
        </w:tc>
        <w:tc>
          <w:tcPr>
            <w:tcW w:w="1560" w:type="dxa"/>
            <w:vAlign w:val="bottom"/>
            <w:gridSpan w:val="3"/>
          </w:tcPr>
          <w:p>
            <w:pPr>
              <w:spacing w:after="0"/>
              <w:rPr>
                <w:sz w:val="20"/>
                <w:szCs w:val="20"/>
                <w:color w:val="auto"/>
              </w:rPr>
            </w:pPr>
            <w:r>
              <w:rPr>
                <w:rFonts w:ascii="Arial" w:cs="Arial" w:eastAsia="Arial" w:hAnsi="Arial"/>
                <w:sz w:val="9"/>
                <w:szCs w:val="9"/>
                <w:b w:val="1"/>
                <w:bCs w:val="1"/>
                <w:color w:val="auto"/>
              </w:rPr>
              <w:t>Net Rentable SF</w:t>
            </w:r>
          </w:p>
        </w:tc>
        <w:tc>
          <w:tcPr>
            <w:tcW w:w="120" w:type="dxa"/>
            <w:vAlign w:val="bottom"/>
          </w:tcPr>
          <w:p>
            <w:pPr>
              <w:spacing w:after="0"/>
              <w:rPr>
                <w:sz w:val="8"/>
                <w:szCs w:val="8"/>
                <w:color w:val="auto"/>
              </w:rPr>
            </w:pPr>
          </w:p>
        </w:tc>
        <w:tc>
          <w:tcPr>
            <w:tcW w:w="1460" w:type="dxa"/>
            <w:vAlign w:val="bottom"/>
            <w:gridSpan w:val="4"/>
          </w:tcPr>
          <w:p>
            <w:pPr>
              <w:ind w:left="60"/>
              <w:spacing w:after="0"/>
              <w:rPr>
                <w:sz w:val="20"/>
                <w:szCs w:val="20"/>
                <w:color w:val="auto"/>
              </w:rPr>
            </w:pPr>
            <w:r>
              <w:rPr>
                <w:rFonts w:ascii="Arial" w:cs="Arial" w:eastAsia="Arial" w:hAnsi="Arial"/>
                <w:sz w:val="9"/>
                <w:szCs w:val="9"/>
                <w:b w:val="1"/>
                <w:bCs w:val="1"/>
                <w:color w:val="auto"/>
              </w:rPr>
              <w:t xml:space="preserve">Price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's)</w:t>
            </w:r>
          </w:p>
        </w:tc>
        <w:tc>
          <w:tcPr>
            <w:tcW w:w="40" w:type="dxa"/>
            <w:vAlign w:val="bottom"/>
          </w:tcPr>
          <w:p>
            <w:pPr>
              <w:spacing w:after="0"/>
              <w:rPr>
                <w:sz w:val="8"/>
                <w:szCs w:val="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95"/>
              </w:rPr>
              <w:t xml:space="preserve">Price </w:t>
            </w:r>
            <w:r>
              <w:rPr>
                <w:rFonts w:ascii="Arial" w:cs="Arial" w:eastAsia="Arial" w:hAnsi="Arial"/>
                <w:sz w:val="9"/>
                <w:szCs w:val="9"/>
                <w:b w:val="1"/>
                <w:bCs w:val="1"/>
                <w:u w:val="single" w:color="auto"/>
                <w:color w:val="auto"/>
                <w:w w:val="95"/>
              </w:rPr>
              <w:t>($</w:t>
            </w:r>
            <w:r>
              <w:rPr>
                <w:rFonts w:ascii="Arial" w:cs="Arial" w:eastAsia="Arial" w:hAnsi="Arial"/>
                <w:sz w:val="9"/>
                <w:szCs w:val="9"/>
                <w:b w:val="1"/>
                <w:bCs w:val="1"/>
                <w:color w:val="auto"/>
                <w:w w:val="95"/>
              </w:rPr>
              <w:t>'s/SF)</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2008 - 2015 Sales</w:t>
            </w: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1300" w:type="dxa"/>
            <w:vAlign w:val="bottom"/>
            <w:vMerge w:val="restart"/>
          </w:tcPr>
          <w:p>
            <w:pPr>
              <w:ind w:left="500"/>
              <w:spacing w:after="0"/>
              <w:rPr>
                <w:sz w:val="20"/>
                <w:szCs w:val="20"/>
                <w:color w:val="auto"/>
              </w:rPr>
            </w:pPr>
            <w:r>
              <w:rPr>
                <w:rFonts w:ascii="Arial" w:cs="Arial" w:eastAsia="Arial" w:hAnsi="Arial"/>
                <w:sz w:val="9"/>
                <w:szCs w:val="9"/>
                <w:color w:val="auto"/>
              </w:rPr>
              <w:t>Oct-08</w:t>
            </w:r>
          </w:p>
        </w:tc>
        <w:tc>
          <w:tcPr>
            <w:tcW w:w="140" w:type="dxa"/>
            <w:vAlign w:val="bottom"/>
            <w:vMerge w:val="restart"/>
          </w:tcPr>
          <w:p>
            <w:pPr>
              <w:spacing w:after="0"/>
              <w:rPr>
                <w:sz w:val="20"/>
                <w:szCs w:val="20"/>
                <w:color w:val="auto"/>
              </w:rPr>
            </w:pPr>
            <w:r>
              <w:rPr>
                <w:rFonts w:ascii="Arial" w:cs="Arial" w:eastAsia="Arial" w:hAnsi="Arial"/>
                <w:sz w:val="9"/>
                <w:szCs w:val="9"/>
                <w:color w:val="auto"/>
                <w:w w:val="79"/>
              </w:rPr>
              <w:t>100</w:t>
            </w:r>
          </w:p>
        </w:tc>
        <w:tc>
          <w:tcPr>
            <w:tcW w:w="1440" w:type="dxa"/>
            <w:vAlign w:val="bottom"/>
            <w:gridSpan w:val="2"/>
            <w:vMerge w:val="restart"/>
          </w:tcPr>
          <w:p>
            <w:pPr>
              <w:ind w:left="20"/>
              <w:spacing w:after="0"/>
              <w:rPr>
                <w:sz w:val="20"/>
                <w:szCs w:val="20"/>
                <w:color w:val="auto"/>
              </w:rPr>
            </w:pPr>
            <w:r>
              <w:rPr>
                <w:rFonts w:ascii="Arial" w:cs="Arial" w:eastAsia="Arial" w:hAnsi="Arial"/>
                <w:sz w:val="9"/>
                <w:szCs w:val="9"/>
                <w:color w:val="auto"/>
              </w:rPr>
              <w:t>&amp; 120 White Plains Road</w:t>
            </w:r>
          </w:p>
        </w:tc>
        <w:tc>
          <w:tcPr>
            <w:tcW w:w="1500" w:type="dxa"/>
            <w:vAlign w:val="bottom"/>
            <w:gridSpan w:val="2"/>
            <w:vMerge w:val="restart"/>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vMerge w:val="restart"/>
          </w:tcPr>
          <w:p>
            <w:pPr>
              <w:spacing w:after="0"/>
              <w:rPr>
                <w:sz w:val="20"/>
                <w:szCs w:val="20"/>
                <w:color w:val="auto"/>
              </w:rPr>
            </w:pPr>
            <w:r>
              <w:rPr>
                <w:rFonts w:ascii="Arial" w:cs="Arial" w:eastAsia="Arial" w:hAnsi="Arial"/>
                <w:sz w:val="9"/>
                <w:szCs w:val="9"/>
                <w:color w:val="auto"/>
              </w:rPr>
              <w:t>Tarrytown, New York</w:t>
            </w:r>
          </w:p>
        </w:tc>
        <w:tc>
          <w:tcPr>
            <w:tcW w:w="640" w:type="dxa"/>
            <w:vAlign w:val="bottom"/>
          </w:tcPr>
          <w:p>
            <w:pPr>
              <w:jc w:val="right"/>
              <w:spacing w:after="0"/>
              <w:rPr>
                <w:sz w:val="20"/>
                <w:szCs w:val="20"/>
                <w:color w:val="auto"/>
              </w:rPr>
            </w:pPr>
            <w:r>
              <w:rPr>
                <w:rFonts w:ascii="Arial" w:cs="Arial" w:eastAsia="Arial" w:hAnsi="Arial"/>
                <w:sz w:val="9"/>
                <w:szCs w:val="9"/>
                <w:color w:val="auto"/>
              </w:rPr>
              <w:t>211,000</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48,000,000</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227</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300" w:type="dxa"/>
            <w:vAlign w:val="bottom"/>
          </w:tcPr>
          <w:p>
            <w:pPr>
              <w:ind w:left="500"/>
              <w:spacing w:after="0"/>
              <w:rPr>
                <w:sz w:val="20"/>
                <w:szCs w:val="20"/>
                <w:color w:val="auto"/>
              </w:rPr>
            </w:pPr>
            <w:r>
              <w:rPr>
                <w:rFonts w:ascii="Arial" w:cs="Arial" w:eastAsia="Arial" w:hAnsi="Arial"/>
                <w:sz w:val="9"/>
                <w:szCs w:val="9"/>
                <w:color w:val="auto"/>
              </w:rPr>
              <w:t>Jan-09</w:t>
            </w:r>
          </w:p>
        </w:tc>
        <w:tc>
          <w:tcPr>
            <w:tcW w:w="1580" w:type="dxa"/>
            <w:vAlign w:val="bottom"/>
            <w:gridSpan w:val="3"/>
          </w:tcPr>
          <w:p>
            <w:pPr>
              <w:spacing w:after="0"/>
              <w:rPr>
                <w:sz w:val="20"/>
                <w:szCs w:val="20"/>
                <w:color w:val="auto"/>
              </w:rPr>
            </w:pPr>
            <w:r>
              <w:rPr>
                <w:rFonts w:ascii="Arial" w:cs="Arial" w:eastAsia="Arial" w:hAnsi="Arial"/>
                <w:sz w:val="9"/>
                <w:szCs w:val="9"/>
                <w:color w:val="auto"/>
              </w:rPr>
              <w:t>55 Corporate Drive</w:t>
            </w:r>
          </w:p>
        </w:tc>
        <w:tc>
          <w:tcPr>
            <w:tcW w:w="1500" w:type="dxa"/>
            <w:vAlign w:val="bottom"/>
            <w:gridSpan w:val="2"/>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tcPr>
          <w:p>
            <w:pPr>
              <w:spacing w:after="0"/>
              <w:rPr>
                <w:sz w:val="20"/>
                <w:szCs w:val="20"/>
                <w:color w:val="auto"/>
              </w:rPr>
            </w:pPr>
            <w:r>
              <w:rPr>
                <w:rFonts w:ascii="Arial" w:cs="Arial" w:eastAsia="Arial" w:hAnsi="Arial"/>
                <w:sz w:val="9"/>
                <w:szCs w:val="9"/>
                <w:color w:val="auto"/>
              </w:rPr>
              <w:t>Bridgewater, New Jersey</w:t>
            </w:r>
          </w:p>
        </w:tc>
        <w:tc>
          <w:tcPr>
            <w:tcW w:w="640" w:type="dxa"/>
            <w:vAlign w:val="bottom"/>
          </w:tcPr>
          <w:p>
            <w:pPr>
              <w:jc w:val="right"/>
              <w:spacing w:after="0"/>
              <w:rPr>
                <w:sz w:val="20"/>
                <w:szCs w:val="20"/>
                <w:color w:val="auto"/>
              </w:rPr>
            </w:pPr>
            <w:r>
              <w:rPr>
                <w:rFonts w:ascii="Arial" w:cs="Arial" w:eastAsia="Arial" w:hAnsi="Arial"/>
                <w:sz w:val="9"/>
                <w:szCs w:val="9"/>
                <w:color w:val="auto"/>
              </w:rPr>
              <w:t>670,000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230,000,000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343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300" w:type="dxa"/>
            <w:vAlign w:val="bottom"/>
            <w:vMerge w:val="restart"/>
          </w:tcPr>
          <w:p>
            <w:pPr>
              <w:ind w:left="500"/>
              <w:spacing w:after="0"/>
              <w:rPr>
                <w:sz w:val="20"/>
                <w:szCs w:val="20"/>
                <w:color w:val="auto"/>
              </w:rPr>
            </w:pPr>
            <w:r>
              <w:rPr>
                <w:rFonts w:ascii="Arial" w:cs="Arial" w:eastAsia="Arial" w:hAnsi="Arial"/>
                <w:sz w:val="9"/>
                <w:szCs w:val="9"/>
                <w:color w:val="auto"/>
              </w:rPr>
              <w:t>Aug-09</w:t>
            </w:r>
          </w:p>
        </w:tc>
        <w:tc>
          <w:tcPr>
            <w:tcW w:w="140" w:type="dxa"/>
            <w:vAlign w:val="bottom"/>
            <w:vMerge w:val="restart"/>
          </w:tcPr>
          <w:p>
            <w:pPr>
              <w:spacing w:after="0"/>
              <w:rPr>
                <w:sz w:val="20"/>
                <w:szCs w:val="20"/>
                <w:color w:val="auto"/>
              </w:rPr>
            </w:pPr>
            <w:r>
              <w:rPr>
                <w:rFonts w:ascii="Arial" w:cs="Arial" w:eastAsia="Arial" w:hAnsi="Arial"/>
                <w:sz w:val="9"/>
                <w:szCs w:val="9"/>
                <w:color w:val="auto"/>
                <w:w w:val="79"/>
              </w:rPr>
              <w:t>399</w:t>
            </w:r>
          </w:p>
        </w:tc>
        <w:tc>
          <w:tcPr>
            <w:tcW w:w="1440" w:type="dxa"/>
            <w:vAlign w:val="bottom"/>
            <w:gridSpan w:val="2"/>
            <w:vMerge w:val="restart"/>
          </w:tcPr>
          <w:p>
            <w:pPr>
              <w:ind w:left="20"/>
              <w:spacing w:after="0"/>
              <w:rPr>
                <w:sz w:val="20"/>
                <w:szCs w:val="20"/>
                <w:color w:val="auto"/>
              </w:rPr>
            </w:pPr>
            <w:r>
              <w:rPr>
                <w:rFonts w:ascii="Arial" w:cs="Arial" w:eastAsia="Arial" w:hAnsi="Arial"/>
                <w:sz w:val="9"/>
                <w:szCs w:val="9"/>
                <w:color w:val="auto"/>
              </w:rPr>
              <w:t>Knollwood Road</w:t>
            </w:r>
          </w:p>
        </w:tc>
        <w:tc>
          <w:tcPr>
            <w:tcW w:w="1500" w:type="dxa"/>
            <w:vAlign w:val="bottom"/>
            <w:gridSpan w:val="2"/>
            <w:vMerge w:val="restart"/>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vMerge w:val="restart"/>
          </w:tcPr>
          <w:p>
            <w:pPr>
              <w:spacing w:after="0"/>
              <w:rPr>
                <w:sz w:val="20"/>
                <w:szCs w:val="20"/>
                <w:color w:val="auto"/>
              </w:rPr>
            </w:pPr>
            <w:r>
              <w:rPr>
                <w:rFonts w:ascii="Arial" w:cs="Arial" w:eastAsia="Arial" w:hAnsi="Arial"/>
                <w:sz w:val="9"/>
                <w:szCs w:val="9"/>
                <w:color w:val="auto"/>
              </w:rPr>
              <w:t>White Plains, New York</w:t>
            </w:r>
          </w:p>
        </w:tc>
        <w:tc>
          <w:tcPr>
            <w:tcW w:w="640" w:type="dxa"/>
            <w:vAlign w:val="bottom"/>
          </w:tcPr>
          <w:p>
            <w:pPr>
              <w:jc w:val="right"/>
              <w:spacing w:after="0"/>
              <w:rPr>
                <w:sz w:val="20"/>
                <w:szCs w:val="20"/>
                <w:color w:val="auto"/>
              </w:rPr>
            </w:pPr>
            <w:r>
              <w:rPr>
                <w:rFonts w:ascii="Arial" w:cs="Arial" w:eastAsia="Arial" w:hAnsi="Arial"/>
                <w:sz w:val="9"/>
                <w:szCs w:val="9"/>
                <w:color w:val="auto"/>
              </w:rPr>
              <w:t>145,000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20,767,307</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143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3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00" w:type="dxa"/>
            <w:vAlign w:val="bottom"/>
            <w:vMerge w:val="restart"/>
          </w:tcPr>
          <w:p>
            <w:pPr>
              <w:ind w:left="520"/>
              <w:spacing w:after="0"/>
              <w:rPr>
                <w:sz w:val="20"/>
                <w:szCs w:val="20"/>
                <w:color w:val="auto"/>
              </w:rPr>
            </w:pPr>
            <w:r>
              <w:rPr>
                <w:rFonts w:ascii="Arial" w:cs="Arial" w:eastAsia="Arial" w:hAnsi="Arial"/>
                <w:sz w:val="9"/>
                <w:szCs w:val="9"/>
                <w:color w:val="auto"/>
              </w:rPr>
              <w:t>Jul-12</w:t>
            </w:r>
          </w:p>
        </w:tc>
        <w:tc>
          <w:tcPr>
            <w:tcW w:w="1580" w:type="dxa"/>
            <w:vAlign w:val="bottom"/>
            <w:gridSpan w:val="3"/>
            <w:vMerge w:val="restart"/>
          </w:tcPr>
          <w:p>
            <w:pPr>
              <w:spacing w:after="0"/>
              <w:rPr>
                <w:sz w:val="20"/>
                <w:szCs w:val="20"/>
                <w:color w:val="auto"/>
              </w:rPr>
            </w:pPr>
            <w:r>
              <w:rPr>
                <w:rFonts w:ascii="Arial" w:cs="Arial" w:eastAsia="Arial" w:hAnsi="Arial"/>
                <w:sz w:val="9"/>
                <w:szCs w:val="9"/>
                <w:color w:val="auto"/>
              </w:rPr>
              <w:t>One Court Square</w:t>
            </w:r>
          </w:p>
        </w:tc>
        <w:tc>
          <w:tcPr>
            <w:tcW w:w="1500" w:type="dxa"/>
            <w:vAlign w:val="bottom"/>
            <w:gridSpan w:val="2"/>
            <w:vMerge w:val="restart"/>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vMerge w:val="restart"/>
          </w:tcPr>
          <w:p>
            <w:pPr>
              <w:spacing w:after="0"/>
              <w:rPr>
                <w:sz w:val="20"/>
                <w:szCs w:val="20"/>
                <w:color w:val="auto"/>
              </w:rPr>
            </w:pPr>
            <w:r>
              <w:rPr>
                <w:rFonts w:ascii="Arial" w:cs="Arial" w:eastAsia="Arial" w:hAnsi="Arial"/>
                <w:sz w:val="9"/>
                <w:szCs w:val="9"/>
                <w:color w:val="auto"/>
              </w:rPr>
              <w:t>Long Island City, New York</w:t>
            </w:r>
          </w:p>
        </w:tc>
        <w:tc>
          <w:tcPr>
            <w:tcW w:w="640" w:type="dxa"/>
            <w:vAlign w:val="bottom"/>
          </w:tcPr>
          <w:p>
            <w:pPr>
              <w:jc w:val="right"/>
              <w:spacing w:after="0"/>
              <w:rPr>
                <w:sz w:val="20"/>
                <w:szCs w:val="20"/>
                <w:color w:val="auto"/>
              </w:rPr>
            </w:pPr>
            <w:r>
              <w:rPr>
                <w:rFonts w:ascii="Arial" w:cs="Arial" w:eastAsia="Arial" w:hAnsi="Arial"/>
                <w:sz w:val="9"/>
                <w:szCs w:val="9"/>
                <w:color w:val="auto"/>
              </w:rPr>
              <w:t>1,402,000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481,100,000</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343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00" w:type="dxa"/>
            <w:vAlign w:val="bottom"/>
            <w:vMerge w:val="restart"/>
          </w:tcPr>
          <w:p>
            <w:pPr>
              <w:ind w:left="500"/>
              <w:spacing w:after="0"/>
              <w:rPr>
                <w:sz w:val="20"/>
                <w:szCs w:val="20"/>
                <w:color w:val="auto"/>
              </w:rPr>
            </w:pPr>
            <w:r>
              <w:rPr>
                <w:rFonts w:ascii="Arial" w:cs="Arial" w:eastAsia="Arial" w:hAnsi="Arial"/>
                <w:sz w:val="9"/>
                <w:szCs w:val="9"/>
                <w:color w:val="auto"/>
              </w:rPr>
              <w:t>Sep-13</w:t>
            </w:r>
          </w:p>
        </w:tc>
        <w:tc>
          <w:tcPr>
            <w:tcW w:w="140" w:type="dxa"/>
            <w:vAlign w:val="bottom"/>
            <w:vMerge w:val="restart"/>
          </w:tcPr>
          <w:p>
            <w:pPr>
              <w:spacing w:after="0"/>
              <w:rPr>
                <w:sz w:val="20"/>
                <w:szCs w:val="20"/>
                <w:color w:val="auto"/>
              </w:rPr>
            </w:pPr>
            <w:r>
              <w:rPr>
                <w:rFonts w:ascii="Arial" w:cs="Arial" w:eastAsia="Arial" w:hAnsi="Arial"/>
                <w:sz w:val="9"/>
                <w:szCs w:val="9"/>
                <w:color w:val="auto"/>
                <w:w w:val="79"/>
              </w:rPr>
              <w:t>300</w:t>
            </w:r>
          </w:p>
        </w:tc>
        <w:tc>
          <w:tcPr>
            <w:tcW w:w="1440" w:type="dxa"/>
            <w:vAlign w:val="bottom"/>
            <w:gridSpan w:val="2"/>
            <w:vMerge w:val="restart"/>
          </w:tcPr>
          <w:p>
            <w:pPr>
              <w:ind w:left="20"/>
              <w:spacing w:after="0"/>
              <w:rPr>
                <w:sz w:val="20"/>
                <w:szCs w:val="20"/>
                <w:color w:val="auto"/>
              </w:rPr>
            </w:pPr>
            <w:r>
              <w:rPr>
                <w:rFonts w:ascii="Arial" w:cs="Arial" w:eastAsia="Arial" w:hAnsi="Arial"/>
                <w:sz w:val="9"/>
                <w:szCs w:val="9"/>
                <w:color w:val="auto"/>
              </w:rPr>
              <w:t>Main Street</w:t>
            </w:r>
          </w:p>
        </w:tc>
        <w:tc>
          <w:tcPr>
            <w:tcW w:w="1500" w:type="dxa"/>
            <w:vAlign w:val="bottom"/>
            <w:gridSpan w:val="2"/>
            <w:vMerge w:val="restart"/>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vMerge w:val="restart"/>
          </w:tcPr>
          <w:p>
            <w:pPr>
              <w:spacing w:after="0"/>
              <w:rPr>
                <w:sz w:val="20"/>
                <w:szCs w:val="20"/>
                <w:color w:val="auto"/>
              </w:rPr>
            </w:pPr>
            <w:r>
              <w:rPr>
                <w:rFonts w:ascii="Arial" w:cs="Arial" w:eastAsia="Arial" w:hAnsi="Arial"/>
                <w:sz w:val="9"/>
                <w:szCs w:val="9"/>
                <w:color w:val="auto"/>
              </w:rPr>
              <w:t>Stamford, Connecticut</w:t>
            </w:r>
          </w:p>
        </w:tc>
        <w:tc>
          <w:tcPr>
            <w:tcW w:w="640" w:type="dxa"/>
            <w:vAlign w:val="bottom"/>
          </w:tcPr>
          <w:p>
            <w:pPr>
              <w:jc w:val="right"/>
              <w:spacing w:after="0"/>
              <w:rPr>
                <w:sz w:val="20"/>
                <w:szCs w:val="20"/>
                <w:color w:val="auto"/>
              </w:rPr>
            </w:pPr>
            <w:r>
              <w:rPr>
                <w:rFonts w:ascii="Arial" w:cs="Arial" w:eastAsia="Arial" w:hAnsi="Arial"/>
                <w:sz w:val="9"/>
                <w:szCs w:val="9"/>
                <w:color w:val="auto"/>
              </w:rPr>
              <w:t>130,000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13,500,000</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104</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3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300" w:type="dxa"/>
            <w:vAlign w:val="bottom"/>
          </w:tcPr>
          <w:p>
            <w:pPr>
              <w:ind w:left="500"/>
              <w:spacing w:after="0"/>
              <w:rPr>
                <w:sz w:val="20"/>
                <w:szCs w:val="20"/>
                <w:color w:val="auto"/>
              </w:rPr>
            </w:pPr>
            <w:r>
              <w:rPr>
                <w:rFonts w:ascii="Arial" w:cs="Arial" w:eastAsia="Arial" w:hAnsi="Arial"/>
                <w:sz w:val="9"/>
                <w:szCs w:val="9"/>
                <w:color w:val="auto"/>
              </w:rPr>
              <w:t>Aug-15</w:t>
            </w:r>
          </w:p>
        </w:tc>
        <w:tc>
          <w:tcPr>
            <w:tcW w:w="1580" w:type="dxa"/>
            <w:vAlign w:val="bottom"/>
            <w:gridSpan w:val="3"/>
          </w:tcPr>
          <w:p>
            <w:pPr>
              <w:spacing w:after="0"/>
              <w:rPr>
                <w:sz w:val="20"/>
                <w:szCs w:val="20"/>
                <w:color w:val="auto"/>
              </w:rPr>
            </w:pPr>
            <w:r>
              <w:rPr>
                <w:rFonts w:ascii="Arial" w:cs="Arial" w:eastAsia="Arial" w:hAnsi="Arial"/>
                <w:sz w:val="9"/>
                <w:szCs w:val="9"/>
                <w:color w:val="auto"/>
              </w:rPr>
              <w:t>The Meadows</w:t>
            </w:r>
          </w:p>
        </w:tc>
        <w:tc>
          <w:tcPr>
            <w:tcW w:w="1500" w:type="dxa"/>
            <w:vAlign w:val="bottom"/>
            <w:gridSpan w:val="2"/>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tcPr>
          <w:p>
            <w:pPr>
              <w:spacing w:after="0"/>
              <w:rPr>
                <w:sz w:val="20"/>
                <w:szCs w:val="20"/>
                <w:color w:val="auto"/>
              </w:rPr>
            </w:pPr>
            <w:r>
              <w:rPr>
                <w:rFonts w:ascii="Arial" w:cs="Arial" w:eastAsia="Arial" w:hAnsi="Arial"/>
                <w:sz w:val="9"/>
                <w:szCs w:val="9"/>
                <w:color w:val="auto"/>
              </w:rPr>
              <w:t>Rutherford, New Jersey</w:t>
            </w:r>
          </w:p>
        </w:tc>
        <w:tc>
          <w:tcPr>
            <w:tcW w:w="640" w:type="dxa"/>
            <w:vAlign w:val="bottom"/>
          </w:tcPr>
          <w:p>
            <w:pPr>
              <w:jc w:val="right"/>
              <w:spacing w:after="0"/>
              <w:rPr>
                <w:sz w:val="20"/>
                <w:szCs w:val="20"/>
                <w:color w:val="auto"/>
              </w:rPr>
            </w:pPr>
            <w:r>
              <w:rPr>
                <w:rFonts w:ascii="Arial" w:cs="Arial" w:eastAsia="Arial" w:hAnsi="Arial"/>
                <w:sz w:val="9"/>
                <w:szCs w:val="9"/>
                <w:color w:val="auto"/>
              </w:rPr>
              <w:t>582,100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121,100,000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208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00" w:type="dxa"/>
            <w:vAlign w:val="bottom"/>
          </w:tcPr>
          <w:p>
            <w:pPr>
              <w:ind w:left="500"/>
              <w:spacing w:after="0"/>
              <w:rPr>
                <w:sz w:val="20"/>
                <w:szCs w:val="20"/>
                <w:color w:val="auto"/>
              </w:rPr>
            </w:pPr>
            <w:r>
              <w:rPr>
                <w:rFonts w:ascii="Arial" w:cs="Arial" w:eastAsia="Arial" w:hAnsi="Arial"/>
                <w:sz w:val="9"/>
                <w:szCs w:val="9"/>
                <w:color w:val="auto"/>
              </w:rPr>
              <w:t>Dec-15</w:t>
            </w:r>
          </w:p>
        </w:tc>
        <w:tc>
          <w:tcPr>
            <w:tcW w:w="140" w:type="dxa"/>
            <w:vAlign w:val="bottom"/>
          </w:tcPr>
          <w:p>
            <w:pPr>
              <w:spacing w:after="0"/>
              <w:rPr>
                <w:sz w:val="20"/>
                <w:szCs w:val="20"/>
                <w:color w:val="auto"/>
              </w:rPr>
            </w:pPr>
            <w:r>
              <w:rPr>
                <w:rFonts w:ascii="Arial" w:cs="Arial" w:eastAsia="Arial" w:hAnsi="Arial"/>
                <w:sz w:val="9"/>
                <w:szCs w:val="9"/>
                <w:color w:val="auto"/>
                <w:w w:val="79"/>
              </w:rPr>
              <w:t>140</w:t>
            </w:r>
          </w:p>
        </w:tc>
        <w:tc>
          <w:tcPr>
            <w:tcW w:w="1440" w:type="dxa"/>
            <w:vAlign w:val="bottom"/>
            <w:gridSpan w:val="2"/>
          </w:tcPr>
          <w:p>
            <w:pPr>
              <w:ind w:left="20"/>
              <w:spacing w:after="0"/>
              <w:rPr>
                <w:sz w:val="20"/>
                <w:szCs w:val="20"/>
                <w:color w:val="auto"/>
              </w:rPr>
            </w:pPr>
            <w:r>
              <w:rPr>
                <w:rFonts w:ascii="Arial" w:cs="Arial" w:eastAsia="Arial" w:hAnsi="Arial"/>
                <w:sz w:val="9"/>
                <w:szCs w:val="9"/>
                <w:color w:val="auto"/>
              </w:rPr>
              <w:t>Grand Street</w:t>
            </w:r>
          </w:p>
        </w:tc>
        <w:tc>
          <w:tcPr>
            <w:tcW w:w="1500" w:type="dxa"/>
            <w:vAlign w:val="bottom"/>
            <w:gridSpan w:val="2"/>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tcPr>
          <w:p>
            <w:pPr>
              <w:spacing w:after="0"/>
              <w:rPr>
                <w:sz w:val="20"/>
                <w:szCs w:val="20"/>
                <w:color w:val="auto"/>
              </w:rPr>
            </w:pPr>
            <w:r>
              <w:rPr>
                <w:rFonts w:ascii="Arial" w:cs="Arial" w:eastAsia="Arial" w:hAnsi="Arial"/>
                <w:sz w:val="9"/>
                <w:szCs w:val="9"/>
                <w:color w:val="auto"/>
              </w:rPr>
              <w:t>White Plains, New York</w:t>
            </w:r>
          </w:p>
        </w:tc>
        <w:tc>
          <w:tcPr>
            <w:tcW w:w="640" w:type="dxa"/>
            <w:vAlign w:val="bottom"/>
          </w:tcPr>
          <w:p>
            <w:pPr>
              <w:jc w:val="right"/>
              <w:spacing w:after="0"/>
              <w:rPr>
                <w:sz w:val="20"/>
                <w:szCs w:val="20"/>
                <w:color w:val="auto"/>
              </w:rPr>
            </w:pPr>
            <w:r>
              <w:rPr>
                <w:rFonts w:ascii="Arial" w:cs="Arial" w:eastAsia="Arial" w:hAnsi="Arial"/>
                <w:sz w:val="9"/>
                <w:szCs w:val="9"/>
                <w:color w:val="auto"/>
              </w:rPr>
              <w:t>130,100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22,400,000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172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300" w:type="dxa"/>
            <w:vAlign w:val="bottom"/>
            <w:vMerge w:val="restart"/>
          </w:tcPr>
          <w:p>
            <w:pPr>
              <w:ind w:left="500"/>
              <w:spacing w:after="0"/>
              <w:rPr>
                <w:sz w:val="20"/>
                <w:szCs w:val="20"/>
                <w:color w:val="auto"/>
              </w:rPr>
            </w:pPr>
            <w:r>
              <w:rPr>
                <w:rFonts w:ascii="Arial" w:cs="Arial" w:eastAsia="Arial" w:hAnsi="Arial"/>
                <w:sz w:val="9"/>
                <w:szCs w:val="9"/>
                <w:color w:val="auto"/>
              </w:rPr>
              <w:t>Dec-15</w:t>
            </w:r>
          </w:p>
        </w:tc>
        <w:tc>
          <w:tcPr>
            <w:tcW w:w="140" w:type="dxa"/>
            <w:vAlign w:val="bottom"/>
            <w:vMerge w:val="restart"/>
          </w:tcPr>
          <w:p>
            <w:pPr>
              <w:spacing w:after="0"/>
              <w:rPr>
                <w:sz w:val="20"/>
                <w:szCs w:val="20"/>
                <w:color w:val="auto"/>
              </w:rPr>
            </w:pPr>
            <w:r>
              <w:rPr>
                <w:rFonts w:ascii="Arial" w:cs="Arial" w:eastAsia="Arial" w:hAnsi="Arial"/>
                <w:sz w:val="9"/>
                <w:szCs w:val="9"/>
                <w:color w:val="auto"/>
                <w:w w:val="79"/>
              </w:rPr>
              <w:t>150</w:t>
            </w:r>
          </w:p>
        </w:tc>
        <w:tc>
          <w:tcPr>
            <w:tcW w:w="1440" w:type="dxa"/>
            <w:vAlign w:val="bottom"/>
            <w:gridSpan w:val="2"/>
            <w:vMerge w:val="restart"/>
          </w:tcPr>
          <w:p>
            <w:pPr>
              <w:ind w:left="20"/>
              <w:spacing w:after="0"/>
              <w:rPr>
                <w:sz w:val="20"/>
                <w:szCs w:val="20"/>
                <w:color w:val="auto"/>
              </w:rPr>
            </w:pPr>
            <w:r>
              <w:rPr>
                <w:rFonts w:ascii="Arial" w:cs="Arial" w:eastAsia="Arial" w:hAnsi="Arial"/>
                <w:sz w:val="9"/>
                <w:szCs w:val="9"/>
                <w:color w:val="auto"/>
              </w:rPr>
              <w:t>Grand Street</w:t>
            </w:r>
          </w:p>
        </w:tc>
        <w:tc>
          <w:tcPr>
            <w:tcW w:w="1500" w:type="dxa"/>
            <w:vAlign w:val="bottom"/>
            <w:gridSpan w:val="2"/>
            <w:vMerge w:val="restart"/>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vMerge w:val="restart"/>
          </w:tcPr>
          <w:p>
            <w:pPr>
              <w:spacing w:after="0"/>
              <w:rPr>
                <w:sz w:val="20"/>
                <w:szCs w:val="20"/>
                <w:color w:val="auto"/>
              </w:rPr>
            </w:pPr>
            <w:r>
              <w:rPr>
                <w:rFonts w:ascii="Arial" w:cs="Arial" w:eastAsia="Arial" w:hAnsi="Arial"/>
                <w:sz w:val="9"/>
                <w:szCs w:val="9"/>
                <w:color w:val="auto"/>
              </w:rPr>
              <w:t>White Plains, New York</w:t>
            </w:r>
          </w:p>
        </w:tc>
        <w:tc>
          <w:tcPr>
            <w:tcW w:w="640" w:type="dxa"/>
            <w:vAlign w:val="bottom"/>
          </w:tcPr>
          <w:p>
            <w:pPr>
              <w:jc w:val="right"/>
              <w:spacing w:after="0"/>
              <w:rPr>
                <w:sz w:val="20"/>
                <w:szCs w:val="20"/>
                <w:color w:val="auto"/>
              </w:rPr>
            </w:pPr>
            <w:r>
              <w:rPr>
                <w:rFonts w:ascii="Arial" w:cs="Arial" w:eastAsia="Arial" w:hAnsi="Arial"/>
                <w:sz w:val="9"/>
                <w:szCs w:val="9"/>
                <w:color w:val="auto"/>
              </w:rPr>
              <w:t>85,000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9,600,000</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113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30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rPr>
              <w:t>3,355,200</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b w:val="1"/>
                <w:bCs w:val="1"/>
                <w:color w:val="auto"/>
              </w:rPr>
              <w:t>$946,467,307</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$282</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2016 Sales</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300" w:type="dxa"/>
            <w:vAlign w:val="bottom"/>
            <w:vMerge w:val="restart"/>
          </w:tcPr>
          <w:p>
            <w:pPr>
              <w:ind w:left="500"/>
              <w:spacing w:after="0"/>
              <w:rPr>
                <w:sz w:val="20"/>
                <w:szCs w:val="20"/>
                <w:color w:val="auto"/>
              </w:rPr>
            </w:pPr>
            <w:r>
              <w:rPr>
                <w:rFonts w:ascii="Arial" w:cs="Arial" w:eastAsia="Arial" w:hAnsi="Arial"/>
                <w:sz w:val="9"/>
                <w:szCs w:val="9"/>
                <w:color w:val="auto"/>
              </w:rPr>
              <w:t>Mar-16</w:t>
            </w:r>
          </w:p>
        </w:tc>
        <w:tc>
          <w:tcPr>
            <w:tcW w:w="1580" w:type="dxa"/>
            <w:vAlign w:val="bottom"/>
            <w:gridSpan w:val="3"/>
            <w:vMerge w:val="restart"/>
          </w:tcPr>
          <w:p>
            <w:pPr>
              <w:spacing w:after="0"/>
              <w:rPr>
                <w:sz w:val="20"/>
                <w:szCs w:val="20"/>
                <w:color w:val="auto"/>
              </w:rPr>
            </w:pPr>
            <w:r>
              <w:rPr>
                <w:rFonts w:ascii="Arial" w:cs="Arial" w:eastAsia="Arial" w:hAnsi="Arial"/>
                <w:sz w:val="9"/>
                <w:szCs w:val="9"/>
                <w:color w:val="auto"/>
              </w:rPr>
              <w:t>7 Renaissance Square</w:t>
            </w:r>
          </w:p>
        </w:tc>
        <w:tc>
          <w:tcPr>
            <w:tcW w:w="1500" w:type="dxa"/>
            <w:vAlign w:val="bottom"/>
            <w:gridSpan w:val="2"/>
            <w:vMerge w:val="restart"/>
          </w:tcPr>
          <w:p>
            <w:pPr>
              <w:spacing w:after="0"/>
              <w:rPr>
                <w:sz w:val="20"/>
                <w:szCs w:val="20"/>
                <w:color w:val="auto"/>
              </w:rPr>
            </w:pPr>
            <w:r>
              <w:rPr>
                <w:rFonts w:ascii="Arial" w:cs="Arial" w:eastAsia="Arial" w:hAnsi="Arial"/>
                <w:sz w:val="9"/>
                <w:szCs w:val="9"/>
                <w:color w:val="auto"/>
              </w:rPr>
              <w:t>Fee Interest</w:t>
            </w:r>
          </w:p>
        </w:tc>
        <w:tc>
          <w:tcPr>
            <w:tcW w:w="1480" w:type="dxa"/>
            <w:vAlign w:val="bottom"/>
            <w:gridSpan w:val="2"/>
            <w:vMerge w:val="restart"/>
          </w:tcPr>
          <w:p>
            <w:pPr>
              <w:spacing w:after="0"/>
              <w:rPr>
                <w:sz w:val="20"/>
                <w:szCs w:val="20"/>
                <w:color w:val="auto"/>
              </w:rPr>
            </w:pPr>
            <w:r>
              <w:rPr>
                <w:rFonts w:ascii="Arial" w:cs="Arial" w:eastAsia="Arial" w:hAnsi="Arial"/>
                <w:sz w:val="9"/>
                <w:szCs w:val="9"/>
                <w:color w:val="auto"/>
              </w:rPr>
              <w:t>White Plains, New York</w:t>
            </w:r>
          </w:p>
        </w:tc>
        <w:tc>
          <w:tcPr>
            <w:tcW w:w="640" w:type="dxa"/>
            <w:vAlign w:val="bottom"/>
          </w:tcPr>
          <w:p>
            <w:pPr>
              <w:jc w:val="right"/>
              <w:spacing w:after="0"/>
              <w:rPr>
                <w:sz w:val="20"/>
                <w:szCs w:val="20"/>
                <w:color w:val="auto"/>
              </w:rPr>
            </w:pPr>
            <w:r>
              <w:rPr>
                <w:rFonts w:ascii="Arial" w:cs="Arial" w:eastAsia="Arial" w:hAnsi="Arial"/>
                <w:sz w:val="9"/>
                <w:szCs w:val="9"/>
                <w:color w:val="auto"/>
              </w:rPr>
              <w:t>65,641</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9"/>
                <w:szCs w:val="9"/>
                <w:color w:val="auto"/>
              </w:rPr>
              <w:t>21,000,000</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320</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300" w:type="dxa"/>
            <w:vAlign w:val="bottom"/>
            <w:vMerge w:val="continue"/>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rPr>
              <w:t>65,641</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9"/>
                <w:szCs w:val="9"/>
                <w:b w:val="1"/>
                <w:bCs w:val="1"/>
                <w:color w:val="auto"/>
              </w:rPr>
              <w:t>21,000,000</w:t>
            </w:r>
          </w:p>
        </w:tc>
        <w:tc>
          <w:tcPr>
            <w:tcW w:w="660" w:type="dxa"/>
            <w:vAlign w:val="bottom"/>
          </w:tcPr>
          <w:p>
            <w:pPr>
              <w:spacing w:after="0"/>
              <w:rPr>
                <w:sz w:val="10"/>
                <w:szCs w:val="10"/>
                <w:color w:val="auto"/>
              </w:rPr>
            </w:pPr>
          </w:p>
        </w:tc>
        <w:tc>
          <w:tcPr>
            <w:tcW w:w="260" w:type="dxa"/>
            <w:vAlign w:val="bottom"/>
            <w:gridSpan w:val="2"/>
          </w:tcPr>
          <w:p>
            <w:pPr>
              <w:jc w:val="right"/>
              <w:ind w:right="156"/>
              <w:spacing w:after="0"/>
              <w:rPr>
                <w:sz w:val="20"/>
                <w:szCs w:val="20"/>
                <w:color w:val="auto"/>
              </w:rPr>
            </w:pPr>
            <w:r>
              <w:rPr>
                <w:rFonts w:ascii="Arial" w:cs="Arial" w:eastAsia="Arial" w:hAnsi="Arial"/>
                <w:sz w:val="9"/>
                <w:szCs w:val="9"/>
                <w:b w:val="1"/>
                <w:bCs w:val="1"/>
                <w:color w:val="auto"/>
                <w:w w:val="78"/>
              </w:rPr>
              <w:t>$</w:t>
            </w:r>
          </w:p>
        </w:tc>
        <w:tc>
          <w:tcPr>
            <w:tcW w:w="40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320</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Arial" w:cs="Arial" w:eastAsia="Arial" w:hAnsi="Arial"/>
          <w:sz w:val="9"/>
          <w:szCs w:val="9"/>
          <w:color w:val="auto"/>
        </w:rPr>
        <w:t>(1) Acquisition price represents purchase price for consolidated acquisitions and purchase price or imputed value for joint venture properties.</w:t>
      </w:r>
    </w:p>
    <w:p>
      <w:pPr>
        <w:spacing w:after="0" w:line="342" w:lineRule="exact"/>
        <w:rPr>
          <w:sz w:val="20"/>
          <w:szCs w:val="20"/>
          <w:color w:val="auto"/>
        </w:rPr>
      </w:pPr>
    </w:p>
    <w:p>
      <w:pPr>
        <w:ind w:left="700"/>
        <w:spacing w:after="0"/>
        <w:tabs>
          <w:tab w:leader="none" w:pos="5620" w:val="left"/>
          <w:tab w:leader="none" w:pos="974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51</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780"/>
          </w:cols>
          <w:pgMar w:left="240" w:top="338" w:right="879" w:bottom="1440" w:gutter="0" w:footer="0" w:header="0"/>
        </w:sectPr>
      </w:pPr>
    </w:p>
    <w:bookmarkStart w:id="69" w:name="page70"/>
    <w:bookmarkEnd w:id="6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REAL ESTATE SALES ACTIVITY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-95885</wp:posOffset>
            </wp:positionV>
            <wp:extent cx="1263015" cy="3606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64122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960" w:type="dxa"/>
        <w:tblCellMar>
          <w:top w:w="0" w:type="dxa"/>
          <w:left w:w="0" w:type="dxa"/>
          <w:bottom w:w="0" w:type="dxa"/>
          <w:right w:w="0" w:type="dxa"/>
        </w:tblCellMar>
      </w:tblPr>
      <w:tr>
        <w:trPr>
          <w:trHeight w:val="94"/>
        </w:trPr>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tcPr>
          <w:p>
            <w:pPr>
              <w:ind w:left="460"/>
              <w:spacing w:after="0"/>
              <w:rPr>
                <w:sz w:val="20"/>
                <w:szCs w:val="20"/>
                <w:color w:val="auto"/>
              </w:rPr>
            </w:pPr>
            <w:r>
              <w:rPr>
                <w:rFonts w:ascii="Arial" w:cs="Arial" w:eastAsia="Arial" w:hAnsi="Arial"/>
                <w:sz w:val="7"/>
                <w:szCs w:val="7"/>
                <w:b w:val="1"/>
                <w:bCs w:val="1"/>
                <w:color w:val="auto"/>
              </w:rPr>
              <w:t>Occupancy (%)</w:t>
            </w: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Arial" w:cs="Arial" w:eastAsia="Arial" w:hAnsi="Arial"/>
                <w:sz w:val="7"/>
                <w:szCs w:val="7"/>
                <w:b w:val="1"/>
                <w:bCs w:val="1"/>
                <w:color w:val="auto"/>
              </w:rPr>
              <w:t>Acquisition</w:t>
            </w:r>
          </w:p>
        </w:tc>
        <w:tc>
          <w:tcPr>
            <w:tcW w:w="0" w:type="dxa"/>
            <w:vAlign w:val="bottom"/>
          </w:tcPr>
          <w:p>
            <w:pPr>
              <w:spacing w:after="0"/>
              <w:rPr>
                <w:sz w:val="1"/>
                <w:szCs w:val="1"/>
                <w:color w:val="auto"/>
              </w:rPr>
            </w:pPr>
          </w:p>
        </w:tc>
      </w:tr>
      <w:tr>
        <w:trPr>
          <w:trHeight w:val="111"/>
        </w:trPr>
        <w:tc>
          <w:tcPr>
            <w:tcW w:w="300" w:type="dxa"/>
            <w:vAlign w:val="bottom"/>
            <w:vMerge w:val="restart"/>
          </w:tcPr>
          <w:p>
            <w:pPr>
              <w:spacing w:after="0"/>
              <w:rPr>
                <w:sz w:val="20"/>
                <w:szCs w:val="20"/>
                <w:color w:val="auto"/>
              </w:rPr>
            </w:pPr>
            <w:r>
              <w:rPr>
                <w:rFonts w:ascii="Arial" w:cs="Arial" w:eastAsia="Arial" w:hAnsi="Arial"/>
                <w:sz w:val="7"/>
                <w:szCs w:val="7"/>
                <w:b w:val="1"/>
                <w:bCs w:val="1"/>
                <w:color w:val="auto"/>
                <w:w w:val="97"/>
              </w:rPr>
              <w:t>Property</w:t>
            </w:r>
          </w:p>
        </w:tc>
        <w:tc>
          <w:tcPr>
            <w:tcW w:w="1420" w:type="dxa"/>
            <w:vAlign w:val="bottom"/>
          </w:tcPr>
          <w:p>
            <w:pPr>
              <w:spacing w:after="0"/>
              <w:rPr>
                <w:sz w:val="9"/>
                <w:szCs w:val="9"/>
                <w:color w:val="auto"/>
              </w:rPr>
            </w:pPr>
          </w:p>
        </w:tc>
        <w:tc>
          <w:tcPr>
            <w:tcW w:w="170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Type of Ownership</w:t>
            </w:r>
          </w:p>
        </w:tc>
        <w:tc>
          <w:tcPr>
            <w:tcW w:w="158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Submarket</w:t>
            </w:r>
          </w:p>
        </w:tc>
        <w:tc>
          <w:tcPr>
            <w:tcW w:w="106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Net Rentable SF</w:t>
            </w: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gridSpan w:val="2"/>
            <w:vMerge w:val="restart"/>
          </w:tcPr>
          <w:p>
            <w:pPr>
              <w:jc w:val="center"/>
              <w:ind w:left="524"/>
              <w:spacing w:after="0"/>
              <w:rPr>
                <w:sz w:val="20"/>
                <w:szCs w:val="20"/>
                <w:color w:val="auto"/>
              </w:rPr>
            </w:pPr>
            <w:r>
              <w:rPr>
                <w:rFonts w:ascii="Arial" w:cs="Arial" w:eastAsia="Arial" w:hAnsi="Arial"/>
                <w:sz w:val="7"/>
                <w:szCs w:val="7"/>
                <w:b w:val="1"/>
                <w:bCs w:val="1"/>
                <w:color w:val="auto"/>
              </w:rPr>
              <w:t xml:space="preserve">Price </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's) (1)</w:t>
            </w:r>
          </w:p>
        </w:tc>
        <w:tc>
          <w:tcPr>
            <w:tcW w:w="0" w:type="dxa"/>
            <w:vAlign w:val="bottom"/>
          </w:tcPr>
          <w:p>
            <w:pPr>
              <w:spacing w:after="0"/>
              <w:rPr>
                <w:sz w:val="1"/>
                <w:szCs w:val="1"/>
                <w:color w:val="auto"/>
              </w:rPr>
            </w:pPr>
          </w:p>
        </w:tc>
      </w:tr>
      <w:tr>
        <w:trPr>
          <w:trHeight w:val="78"/>
        </w:trPr>
        <w:tc>
          <w:tcPr>
            <w:tcW w:w="30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20" w:type="dxa"/>
            <w:vAlign w:val="bottom"/>
            <w:gridSpan w:val="3"/>
          </w:tcPr>
          <w:p>
            <w:pPr>
              <w:ind w:left="220"/>
              <w:spacing w:after="0" w:line="68" w:lineRule="exact"/>
              <w:rPr>
                <w:sz w:val="20"/>
                <w:szCs w:val="20"/>
                <w:color w:val="auto"/>
              </w:rPr>
            </w:pPr>
            <w:r>
              <w:rPr>
                <w:rFonts w:ascii="Arial" w:cs="Arial" w:eastAsia="Arial" w:hAnsi="Arial"/>
                <w:sz w:val="7"/>
                <w:szCs w:val="7"/>
                <w:b w:val="1"/>
                <w:bCs w:val="1"/>
                <w:color w:val="auto"/>
              </w:rPr>
              <w:t>at acquisition</w:t>
            </w:r>
          </w:p>
        </w:tc>
        <w:tc>
          <w:tcPr>
            <w:tcW w:w="340" w:type="dxa"/>
            <w:vAlign w:val="bottom"/>
            <w:gridSpan w:val="2"/>
          </w:tcPr>
          <w:p>
            <w:pPr>
              <w:jc w:val="right"/>
              <w:spacing w:after="0" w:line="68" w:lineRule="exact"/>
              <w:rPr>
                <w:sz w:val="20"/>
                <w:szCs w:val="20"/>
                <w:color w:val="auto"/>
              </w:rPr>
            </w:pPr>
            <w:r>
              <w:rPr>
                <w:rFonts w:ascii="Arial" w:cs="Arial" w:eastAsia="Arial" w:hAnsi="Arial"/>
                <w:sz w:val="7"/>
                <w:szCs w:val="7"/>
                <w:b w:val="1"/>
                <w:bCs w:val="1"/>
                <w:color w:val="auto"/>
              </w:rPr>
              <w:t>6/30/2016</w:t>
            </w:r>
          </w:p>
        </w:tc>
        <w:tc>
          <w:tcPr>
            <w:tcW w:w="3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3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0"/>
        <w:spacing w:after="0"/>
        <w:rPr>
          <w:sz w:val="20"/>
          <w:szCs w:val="20"/>
          <w:color w:val="auto"/>
        </w:rPr>
      </w:pPr>
      <w:r>
        <w:rPr>
          <w:rFonts w:ascii="Arial" w:cs="Arial" w:eastAsia="Arial" w:hAnsi="Arial"/>
          <w:sz w:val="7"/>
          <w:szCs w:val="7"/>
          <w:b w:val="1"/>
          <w:bCs w:val="1"/>
          <w:color w:val="auto"/>
        </w:rPr>
        <w:t>2005 - 2015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641223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12230" cy="698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Jul-05</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1551-1555 Broadway - 10%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Times Square</w:t>
            </w:r>
          </w:p>
        </w:tc>
        <w:tc>
          <w:tcPr>
            <w:tcW w:w="640" w:type="dxa"/>
            <w:vAlign w:val="bottom"/>
          </w:tcPr>
          <w:p>
            <w:pPr>
              <w:jc w:val="right"/>
              <w:spacing w:after="0"/>
              <w:rPr>
                <w:sz w:val="20"/>
                <w:szCs w:val="20"/>
                <w:color w:val="auto"/>
              </w:rPr>
            </w:pPr>
            <w:r>
              <w:rPr>
                <w:rFonts w:ascii="Arial" w:cs="Arial" w:eastAsia="Arial" w:hAnsi="Arial"/>
                <w:sz w:val="7"/>
                <w:szCs w:val="7"/>
                <w:color w:val="auto"/>
              </w:rPr>
              <w:t>25,600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jc w:val="right"/>
              <w:ind w:right="12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85,000,000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Jul-05</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21 West 34th Street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w:t>
            </w:r>
          </w:p>
        </w:tc>
        <w:tc>
          <w:tcPr>
            <w:tcW w:w="640" w:type="dxa"/>
            <w:vAlign w:val="bottom"/>
          </w:tcPr>
          <w:p>
            <w:pPr>
              <w:jc w:val="right"/>
              <w:spacing w:after="0"/>
              <w:rPr>
                <w:sz w:val="20"/>
                <w:szCs w:val="20"/>
                <w:color w:val="auto"/>
              </w:rPr>
            </w:pPr>
            <w:r>
              <w:rPr>
                <w:rFonts w:ascii="Arial" w:cs="Arial" w:eastAsia="Arial" w:hAnsi="Arial"/>
                <w:sz w:val="7"/>
                <w:szCs w:val="7"/>
                <w:color w:val="auto"/>
              </w:rPr>
              <w:t>30,100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17,500,000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Sep-05</w:t>
            </w:r>
          </w:p>
        </w:tc>
        <w:tc>
          <w:tcPr>
            <w:tcW w:w="320" w:type="dxa"/>
            <w:vAlign w:val="bottom"/>
          </w:tcPr>
          <w:p>
            <w:pPr>
              <w:ind w:left="180"/>
              <w:spacing w:after="0"/>
              <w:rPr>
                <w:sz w:val="20"/>
                <w:szCs w:val="20"/>
                <w:color w:val="auto"/>
              </w:rPr>
            </w:pPr>
            <w:r>
              <w:rPr>
                <w:rFonts w:ascii="Arial" w:cs="Arial" w:eastAsia="Arial" w:hAnsi="Arial"/>
                <w:sz w:val="7"/>
                <w:szCs w:val="7"/>
                <w:color w:val="auto"/>
              </w:rPr>
              <w:t>141</w:t>
            </w:r>
          </w:p>
        </w:tc>
        <w:tc>
          <w:tcPr>
            <w:tcW w:w="1400" w:type="dxa"/>
            <w:vAlign w:val="bottom"/>
          </w:tcPr>
          <w:p>
            <w:pPr>
              <w:spacing w:after="0"/>
              <w:rPr>
                <w:sz w:val="20"/>
                <w:szCs w:val="20"/>
                <w:color w:val="auto"/>
              </w:rPr>
            </w:pPr>
            <w:r>
              <w:rPr>
                <w:rFonts w:ascii="Arial" w:cs="Arial" w:eastAsia="Arial" w:hAnsi="Arial"/>
                <w:sz w:val="7"/>
                <w:szCs w:val="7"/>
                <w:color w:val="auto"/>
              </w:rPr>
              <w:t>Fifth Avenue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Flatiron</w:t>
            </w:r>
          </w:p>
        </w:tc>
        <w:tc>
          <w:tcPr>
            <w:tcW w:w="640" w:type="dxa"/>
            <w:vAlign w:val="bottom"/>
          </w:tcPr>
          <w:p>
            <w:pPr>
              <w:jc w:val="right"/>
              <w:spacing w:after="0"/>
              <w:rPr>
                <w:sz w:val="20"/>
                <w:szCs w:val="20"/>
                <w:color w:val="auto"/>
              </w:rPr>
            </w:pPr>
            <w:r>
              <w:rPr>
                <w:rFonts w:ascii="Arial" w:cs="Arial" w:eastAsia="Arial" w:hAnsi="Arial"/>
                <w:sz w:val="7"/>
                <w:szCs w:val="7"/>
                <w:color w:val="auto"/>
              </w:rPr>
              <w:t>21,500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13,250,000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Nov-05</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1604 Broadway - 63% JV</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Times Square</w:t>
            </w:r>
          </w:p>
        </w:tc>
        <w:tc>
          <w:tcPr>
            <w:tcW w:w="640" w:type="dxa"/>
            <w:vAlign w:val="bottom"/>
          </w:tcPr>
          <w:p>
            <w:pPr>
              <w:jc w:val="right"/>
              <w:spacing w:after="0"/>
              <w:rPr>
                <w:sz w:val="20"/>
                <w:szCs w:val="20"/>
                <w:color w:val="auto"/>
              </w:rPr>
            </w:pPr>
            <w:r>
              <w:rPr>
                <w:rFonts w:ascii="Arial" w:cs="Arial" w:eastAsia="Arial" w:hAnsi="Arial"/>
                <w:sz w:val="7"/>
                <w:szCs w:val="7"/>
                <w:color w:val="auto"/>
              </w:rPr>
              <w:t>29,876</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17.2</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4,400,000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Dec-05</w:t>
            </w:r>
          </w:p>
        </w:tc>
        <w:tc>
          <w:tcPr>
            <w:tcW w:w="320" w:type="dxa"/>
            <w:vAlign w:val="bottom"/>
          </w:tcPr>
          <w:p>
            <w:pPr>
              <w:ind w:left="180"/>
              <w:spacing w:after="0"/>
              <w:rPr>
                <w:sz w:val="20"/>
                <w:szCs w:val="20"/>
                <w:color w:val="auto"/>
              </w:rPr>
            </w:pPr>
            <w:r>
              <w:rPr>
                <w:rFonts w:ascii="Arial" w:cs="Arial" w:eastAsia="Arial" w:hAnsi="Arial"/>
                <w:sz w:val="7"/>
                <w:szCs w:val="7"/>
                <w:color w:val="auto"/>
              </w:rPr>
              <w:t>379</w:t>
            </w:r>
          </w:p>
        </w:tc>
        <w:tc>
          <w:tcPr>
            <w:tcW w:w="1400" w:type="dxa"/>
            <w:vAlign w:val="bottom"/>
          </w:tcPr>
          <w:p>
            <w:pPr>
              <w:spacing w:after="0"/>
              <w:rPr>
                <w:sz w:val="20"/>
                <w:szCs w:val="20"/>
                <w:color w:val="auto"/>
              </w:rPr>
            </w:pPr>
            <w:r>
              <w:rPr>
                <w:rFonts w:ascii="Arial" w:cs="Arial" w:eastAsia="Arial" w:hAnsi="Arial"/>
                <w:sz w:val="7"/>
                <w:szCs w:val="7"/>
                <w:color w:val="auto"/>
              </w:rPr>
              <w:t>West Broadway - 45% JV</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Manhattan</w:t>
            </w:r>
          </w:p>
        </w:tc>
        <w:tc>
          <w:tcPr>
            <w:tcW w:w="640" w:type="dxa"/>
            <w:vAlign w:val="bottom"/>
          </w:tcPr>
          <w:p>
            <w:pPr>
              <w:jc w:val="right"/>
              <w:spacing w:after="0"/>
              <w:rPr>
                <w:sz w:val="20"/>
                <w:szCs w:val="20"/>
                <w:color w:val="auto"/>
              </w:rPr>
            </w:pPr>
            <w:r>
              <w:rPr>
                <w:rFonts w:ascii="Arial" w:cs="Arial" w:eastAsia="Arial" w:hAnsi="Arial"/>
                <w:sz w:val="7"/>
                <w:szCs w:val="7"/>
                <w:color w:val="auto"/>
              </w:rPr>
              <w:t>62,006</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19,750,000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Jan-06</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25-29 West 34th Street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Square/Penn Station</w:t>
            </w:r>
          </w:p>
        </w:tc>
        <w:tc>
          <w:tcPr>
            <w:tcW w:w="640" w:type="dxa"/>
            <w:vAlign w:val="bottom"/>
          </w:tcPr>
          <w:p>
            <w:pPr>
              <w:jc w:val="right"/>
              <w:spacing w:after="0"/>
              <w:rPr>
                <w:sz w:val="20"/>
                <w:szCs w:val="20"/>
                <w:color w:val="auto"/>
              </w:rPr>
            </w:pPr>
            <w:r>
              <w:rPr>
                <w:rFonts w:ascii="Arial" w:cs="Arial" w:eastAsia="Arial" w:hAnsi="Arial"/>
                <w:sz w:val="7"/>
                <w:szCs w:val="7"/>
                <w:color w:val="auto"/>
              </w:rPr>
              <w:t>41,000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55.8</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30,000,000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Sep-06</w:t>
            </w:r>
          </w:p>
        </w:tc>
        <w:tc>
          <w:tcPr>
            <w:tcW w:w="320" w:type="dxa"/>
            <w:vAlign w:val="bottom"/>
          </w:tcPr>
          <w:p>
            <w:pPr>
              <w:ind w:left="180"/>
              <w:spacing w:after="0"/>
              <w:rPr>
                <w:sz w:val="20"/>
                <w:szCs w:val="20"/>
                <w:color w:val="auto"/>
              </w:rPr>
            </w:pPr>
            <w:r>
              <w:rPr>
                <w:rFonts w:ascii="Arial" w:cs="Arial" w:eastAsia="Arial" w:hAnsi="Arial"/>
                <w:sz w:val="7"/>
                <w:szCs w:val="7"/>
                <w:color w:val="auto"/>
              </w:rPr>
              <w:t>717</w:t>
            </w:r>
          </w:p>
        </w:tc>
        <w:tc>
          <w:tcPr>
            <w:tcW w:w="1400" w:type="dxa"/>
            <w:vAlign w:val="bottom"/>
          </w:tcPr>
          <w:p>
            <w:pPr>
              <w:spacing w:after="0"/>
              <w:rPr>
                <w:sz w:val="20"/>
                <w:szCs w:val="20"/>
                <w:color w:val="auto"/>
              </w:rPr>
            </w:pPr>
            <w:r>
              <w:rPr>
                <w:rFonts w:ascii="Arial" w:cs="Arial" w:eastAsia="Arial" w:hAnsi="Arial"/>
                <w:sz w:val="7"/>
                <w:szCs w:val="7"/>
                <w:color w:val="auto"/>
              </w:rPr>
              <w:t>Fifth Avenue - 32.75%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119,550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63.1</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81.1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251,900,000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Aug-07</w:t>
            </w:r>
          </w:p>
        </w:tc>
        <w:tc>
          <w:tcPr>
            <w:tcW w:w="320" w:type="dxa"/>
            <w:vAlign w:val="bottom"/>
          </w:tcPr>
          <w:p>
            <w:pPr>
              <w:ind w:left="180"/>
              <w:spacing w:after="0"/>
              <w:rPr>
                <w:sz w:val="20"/>
                <w:szCs w:val="20"/>
                <w:color w:val="auto"/>
              </w:rPr>
            </w:pPr>
            <w:r>
              <w:rPr>
                <w:rFonts w:ascii="Arial" w:cs="Arial" w:eastAsia="Arial" w:hAnsi="Arial"/>
                <w:sz w:val="7"/>
                <w:szCs w:val="7"/>
                <w:color w:val="auto"/>
              </w:rPr>
              <w:t>180</w:t>
            </w:r>
          </w:p>
        </w:tc>
        <w:tc>
          <w:tcPr>
            <w:tcW w:w="1400" w:type="dxa"/>
            <w:vAlign w:val="bottom"/>
          </w:tcPr>
          <w:p>
            <w:pPr>
              <w:spacing w:after="0"/>
              <w:rPr>
                <w:sz w:val="20"/>
                <w:szCs w:val="20"/>
                <w:color w:val="auto"/>
              </w:rPr>
            </w:pPr>
            <w:r>
              <w:rPr>
                <w:rFonts w:ascii="Arial" w:cs="Arial" w:eastAsia="Arial" w:hAnsi="Arial"/>
                <w:sz w:val="7"/>
                <w:szCs w:val="7"/>
                <w:color w:val="auto"/>
              </w:rPr>
              <w:t>Broadway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Manahattan</w:t>
            </w:r>
          </w:p>
        </w:tc>
        <w:tc>
          <w:tcPr>
            <w:tcW w:w="640" w:type="dxa"/>
            <w:vAlign w:val="bottom"/>
          </w:tcPr>
          <w:p>
            <w:pPr>
              <w:jc w:val="right"/>
              <w:spacing w:after="0"/>
              <w:rPr>
                <w:sz w:val="20"/>
                <w:szCs w:val="20"/>
                <w:color w:val="auto"/>
              </w:rPr>
            </w:pPr>
            <w:r>
              <w:rPr>
                <w:rFonts w:ascii="Arial" w:cs="Arial" w:eastAsia="Arial" w:hAnsi="Arial"/>
                <w:sz w:val="7"/>
                <w:szCs w:val="7"/>
                <w:color w:val="auto"/>
              </w:rPr>
              <w:t>24,300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85.2</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13,600,000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Apr-07</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Two Herald Square - 55%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w:t>
            </w:r>
          </w:p>
        </w:tc>
        <w:tc>
          <w:tcPr>
            <w:tcW w:w="640" w:type="dxa"/>
            <w:vAlign w:val="bottom"/>
          </w:tcPr>
          <w:p>
            <w:pPr>
              <w:jc w:val="right"/>
              <w:spacing w:after="0"/>
              <w:rPr>
                <w:sz w:val="20"/>
                <w:szCs w:val="20"/>
                <w:color w:val="auto"/>
              </w:rPr>
            </w:pPr>
            <w:r>
              <w:rPr>
                <w:rFonts w:ascii="Arial" w:cs="Arial" w:eastAsia="Arial" w:hAnsi="Arial"/>
                <w:sz w:val="7"/>
                <w:szCs w:val="7"/>
                <w:color w:val="auto"/>
              </w:rPr>
              <w:t>N/A</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225,000,000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Jul-07</w:t>
            </w:r>
          </w:p>
        </w:tc>
        <w:tc>
          <w:tcPr>
            <w:tcW w:w="320" w:type="dxa"/>
            <w:vAlign w:val="bottom"/>
          </w:tcPr>
          <w:p>
            <w:pPr>
              <w:ind w:left="180"/>
              <w:spacing w:after="0"/>
              <w:rPr>
                <w:sz w:val="20"/>
                <w:szCs w:val="20"/>
                <w:color w:val="auto"/>
              </w:rPr>
            </w:pPr>
            <w:r>
              <w:rPr>
                <w:rFonts w:ascii="Arial" w:cs="Arial" w:eastAsia="Arial" w:hAnsi="Arial"/>
                <w:sz w:val="7"/>
                <w:szCs w:val="7"/>
                <w:color w:val="auto"/>
              </w:rPr>
              <w:t>885</w:t>
            </w:r>
          </w:p>
        </w:tc>
        <w:tc>
          <w:tcPr>
            <w:tcW w:w="1400" w:type="dxa"/>
            <w:vAlign w:val="bottom"/>
          </w:tcPr>
          <w:p>
            <w:pPr>
              <w:spacing w:after="0"/>
              <w:rPr>
                <w:sz w:val="20"/>
                <w:szCs w:val="20"/>
                <w:color w:val="auto"/>
              </w:rPr>
            </w:pPr>
            <w:r>
              <w:rPr>
                <w:rFonts w:ascii="Arial" w:cs="Arial" w:eastAsia="Arial" w:hAnsi="Arial"/>
                <w:sz w:val="7"/>
                <w:szCs w:val="7"/>
                <w:color w:val="auto"/>
              </w:rPr>
              <w:t>Third Avenue - 55%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 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N/A</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317,000,000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Jan-08</w:t>
            </w:r>
          </w:p>
        </w:tc>
        <w:tc>
          <w:tcPr>
            <w:tcW w:w="320" w:type="dxa"/>
            <w:vAlign w:val="bottom"/>
          </w:tcPr>
          <w:p>
            <w:pPr>
              <w:ind w:left="180"/>
              <w:spacing w:after="0"/>
              <w:rPr>
                <w:sz w:val="20"/>
                <w:szCs w:val="20"/>
                <w:color w:val="auto"/>
              </w:rPr>
            </w:pPr>
            <w:r>
              <w:rPr>
                <w:rFonts w:ascii="Arial" w:cs="Arial" w:eastAsia="Arial" w:hAnsi="Arial"/>
                <w:sz w:val="7"/>
                <w:szCs w:val="7"/>
                <w:color w:val="auto"/>
              </w:rPr>
              <w:t>125</w:t>
            </w:r>
          </w:p>
        </w:tc>
        <w:tc>
          <w:tcPr>
            <w:tcW w:w="1400" w:type="dxa"/>
            <w:vAlign w:val="bottom"/>
          </w:tcPr>
          <w:p>
            <w:pPr>
              <w:spacing w:after="0"/>
              <w:rPr>
                <w:sz w:val="20"/>
                <w:szCs w:val="20"/>
                <w:color w:val="auto"/>
              </w:rPr>
            </w:pPr>
            <w:r>
              <w:rPr>
                <w:rFonts w:ascii="Arial" w:cs="Arial" w:eastAsia="Arial" w:hAnsi="Arial"/>
                <w:sz w:val="7"/>
                <w:szCs w:val="7"/>
                <w:color w:val="auto"/>
              </w:rPr>
              <w:t>Chubb Way</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Lyndhurst, New Jersey</w:t>
            </w:r>
          </w:p>
        </w:tc>
        <w:tc>
          <w:tcPr>
            <w:tcW w:w="640" w:type="dxa"/>
            <w:vAlign w:val="bottom"/>
          </w:tcPr>
          <w:p>
            <w:pPr>
              <w:jc w:val="right"/>
              <w:spacing w:after="0"/>
              <w:rPr>
                <w:sz w:val="20"/>
                <w:szCs w:val="20"/>
                <w:color w:val="auto"/>
              </w:rPr>
            </w:pPr>
            <w:r>
              <w:rPr>
                <w:rFonts w:ascii="Arial" w:cs="Arial" w:eastAsia="Arial" w:hAnsi="Arial"/>
                <w:sz w:val="7"/>
                <w:szCs w:val="7"/>
                <w:color w:val="auto"/>
              </w:rPr>
              <w:t>278,000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66.2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29,364,000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Feb-08</w:t>
            </w:r>
          </w:p>
        </w:tc>
        <w:tc>
          <w:tcPr>
            <w:tcW w:w="320" w:type="dxa"/>
            <w:vAlign w:val="bottom"/>
          </w:tcPr>
          <w:p>
            <w:pPr>
              <w:ind w:left="180"/>
              <w:spacing w:after="0"/>
              <w:rPr>
                <w:sz w:val="20"/>
                <w:szCs w:val="20"/>
                <w:color w:val="auto"/>
              </w:rPr>
            </w:pPr>
            <w:r>
              <w:rPr>
                <w:rFonts w:ascii="Arial" w:cs="Arial" w:eastAsia="Arial" w:hAnsi="Arial"/>
                <w:sz w:val="7"/>
                <w:szCs w:val="7"/>
                <w:color w:val="auto"/>
              </w:rPr>
              <w:t>182</w:t>
            </w:r>
          </w:p>
        </w:tc>
        <w:tc>
          <w:tcPr>
            <w:tcW w:w="1400" w:type="dxa"/>
            <w:vAlign w:val="bottom"/>
          </w:tcPr>
          <w:p>
            <w:pPr>
              <w:spacing w:after="0"/>
              <w:rPr>
                <w:sz w:val="20"/>
                <w:szCs w:val="20"/>
                <w:color w:val="auto"/>
              </w:rPr>
            </w:pPr>
            <w:r>
              <w:rPr>
                <w:rFonts w:ascii="Arial" w:cs="Arial" w:eastAsia="Arial" w:hAnsi="Arial"/>
                <w:sz w:val="7"/>
                <w:szCs w:val="7"/>
                <w:color w:val="auto"/>
              </w:rPr>
              <w:t>Broadway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Manhattan</w:t>
            </w:r>
          </w:p>
        </w:tc>
        <w:tc>
          <w:tcPr>
            <w:tcW w:w="640" w:type="dxa"/>
            <w:vAlign w:val="bottom"/>
          </w:tcPr>
          <w:p>
            <w:pPr>
              <w:jc w:val="right"/>
              <w:spacing w:after="0"/>
              <w:rPr>
                <w:sz w:val="20"/>
                <w:szCs w:val="20"/>
                <w:color w:val="auto"/>
              </w:rPr>
            </w:pPr>
            <w:r>
              <w:rPr>
                <w:rFonts w:ascii="Arial" w:cs="Arial" w:eastAsia="Arial" w:hAnsi="Arial"/>
                <w:sz w:val="7"/>
                <w:szCs w:val="7"/>
                <w:color w:val="auto"/>
              </w:rPr>
              <w:t>46,280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83.8</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30,000,000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Nov-10</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Williamsburg Terrace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Brooklyn,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52,000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18,000,000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Dec-10</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11 West 34th Street - 30%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Square/Penn Station</w:t>
            </w:r>
          </w:p>
        </w:tc>
        <w:tc>
          <w:tcPr>
            <w:tcW w:w="640" w:type="dxa"/>
            <w:vAlign w:val="bottom"/>
          </w:tcPr>
          <w:p>
            <w:pPr>
              <w:jc w:val="right"/>
              <w:spacing w:after="0"/>
              <w:rPr>
                <w:sz w:val="20"/>
                <w:szCs w:val="20"/>
                <w:color w:val="auto"/>
              </w:rPr>
            </w:pPr>
            <w:r>
              <w:rPr>
                <w:rFonts w:ascii="Arial" w:cs="Arial" w:eastAsia="Arial" w:hAnsi="Arial"/>
                <w:sz w:val="7"/>
                <w:szCs w:val="7"/>
                <w:color w:val="auto"/>
              </w:rPr>
              <w:t>17,150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10,800,000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Dec-10</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7 Renaissance Square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White Plains,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65,641</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4,000,000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Dec-10</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 xml:space="preserve">Two Herald Square - 45% </w:t>
            </w:r>
            <w:r>
              <w:rPr>
                <w:rFonts w:ascii="Arial" w:cs="Arial" w:eastAsia="Arial" w:hAnsi="Arial"/>
                <w:sz w:val="6"/>
                <w:szCs w:val="6"/>
                <w:color w:val="auto"/>
              </w:rPr>
              <w:t>(2)</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w:t>
            </w:r>
          </w:p>
        </w:tc>
        <w:tc>
          <w:tcPr>
            <w:tcW w:w="640" w:type="dxa"/>
            <w:vAlign w:val="bottom"/>
          </w:tcPr>
          <w:p>
            <w:pPr>
              <w:jc w:val="right"/>
              <w:spacing w:after="0"/>
              <w:rPr>
                <w:sz w:val="20"/>
                <w:szCs w:val="20"/>
                <w:color w:val="auto"/>
              </w:rPr>
            </w:pPr>
            <w:r>
              <w:rPr>
                <w:rFonts w:ascii="Arial" w:cs="Arial" w:eastAsia="Arial" w:hAnsi="Arial"/>
                <w:sz w:val="7"/>
                <w:szCs w:val="7"/>
                <w:color w:val="auto"/>
              </w:rPr>
              <w:t>354,400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247,500,000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Dec-10</w:t>
            </w:r>
          </w:p>
        </w:tc>
        <w:tc>
          <w:tcPr>
            <w:tcW w:w="320" w:type="dxa"/>
            <w:vAlign w:val="bottom"/>
          </w:tcPr>
          <w:p>
            <w:pPr>
              <w:ind w:left="180"/>
              <w:spacing w:after="0"/>
              <w:rPr>
                <w:sz w:val="20"/>
                <w:szCs w:val="20"/>
                <w:color w:val="auto"/>
              </w:rPr>
            </w:pPr>
            <w:r>
              <w:rPr>
                <w:rFonts w:ascii="Arial" w:cs="Arial" w:eastAsia="Arial" w:hAnsi="Arial"/>
                <w:sz w:val="7"/>
                <w:szCs w:val="7"/>
                <w:color w:val="auto"/>
              </w:rPr>
              <w:t>885</w:t>
            </w:r>
          </w:p>
        </w:tc>
        <w:tc>
          <w:tcPr>
            <w:tcW w:w="1400" w:type="dxa"/>
            <w:vAlign w:val="bottom"/>
          </w:tcPr>
          <w:p>
            <w:pPr>
              <w:spacing w:after="0"/>
              <w:rPr>
                <w:sz w:val="20"/>
                <w:szCs w:val="20"/>
                <w:color w:val="auto"/>
              </w:rPr>
            </w:pPr>
            <w:r>
              <w:rPr>
                <w:rFonts w:ascii="Arial" w:cs="Arial" w:eastAsia="Arial" w:hAnsi="Arial"/>
                <w:sz w:val="7"/>
                <w:szCs w:val="7"/>
                <w:color w:val="auto"/>
              </w:rPr>
              <w:t xml:space="preserve">Third Avenue - 45% </w:t>
            </w:r>
            <w:r>
              <w:rPr>
                <w:rFonts w:ascii="Arial" w:cs="Arial" w:eastAsia="Arial" w:hAnsi="Arial"/>
                <w:sz w:val="6"/>
                <w:szCs w:val="6"/>
                <w:color w:val="auto"/>
              </w:rPr>
              <w:t>(2)</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 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607,000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352,000,000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Dec-10</w:t>
            </w:r>
          </w:p>
        </w:tc>
        <w:tc>
          <w:tcPr>
            <w:tcW w:w="320" w:type="dxa"/>
            <w:vAlign w:val="bottom"/>
          </w:tcPr>
          <w:p>
            <w:pPr>
              <w:ind w:left="180"/>
              <w:spacing w:after="0"/>
              <w:rPr>
                <w:sz w:val="20"/>
                <w:szCs w:val="20"/>
                <w:color w:val="auto"/>
              </w:rPr>
            </w:pPr>
            <w:r>
              <w:rPr>
                <w:rFonts w:ascii="Arial" w:cs="Arial" w:eastAsia="Arial" w:hAnsi="Arial"/>
                <w:sz w:val="7"/>
                <w:szCs w:val="7"/>
                <w:color w:val="auto"/>
              </w:rPr>
              <w:t>292</w:t>
            </w:r>
          </w:p>
        </w:tc>
        <w:tc>
          <w:tcPr>
            <w:tcW w:w="1400" w:type="dxa"/>
            <w:vAlign w:val="bottom"/>
          </w:tcPr>
          <w:p>
            <w:pPr>
              <w:spacing w:after="0"/>
              <w:rPr>
                <w:sz w:val="20"/>
                <w:szCs w:val="20"/>
                <w:color w:val="auto"/>
              </w:rPr>
            </w:pPr>
            <w:r>
              <w:rPr>
                <w:rFonts w:ascii="Arial" w:cs="Arial" w:eastAsia="Arial" w:hAnsi="Arial"/>
                <w:sz w:val="7"/>
                <w:szCs w:val="7"/>
                <w:color w:val="auto"/>
              </w:rPr>
              <w:t>Madison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Grand Central South</w:t>
            </w:r>
          </w:p>
        </w:tc>
        <w:tc>
          <w:tcPr>
            <w:tcW w:w="640" w:type="dxa"/>
            <w:vAlign w:val="bottom"/>
          </w:tcPr>
          <w:p>
            <w:pPr>
              <w:jc w:val="right"/>
              <w:spacing w:after="0"/>
              <w:rPr>
                <w:sz w:val="20"/>
                <w:szCs w:val="20"/>
                <w:color w:val="auto"/>
              </w:rPr>
            </w:pPr>
            <w:r>
              <w:rPr>
                <w:rFonts w:ascii="Arial" w:cs="Arial" w:eastAsia="Arial" w:hAnsi="Arial"/>
                <w:sz w:val="7"/>
                <w:szCs w:val="7"/>
                <w:color w:val="auto"/>
              </w:rPr>
              <w:t>203,800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78,300,000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Jan-11</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3 Columbus Circle - 48.9%</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Columbus Circle</w:t>
            </w:r>
          </w:p>
        </w:tc>
        <w:tc>
          <w:tcPr>
            <w:tcW w:w="640" w:type="dxa"/>
            <w:vAlign w:val="bottom"/>
          </w:tcPr>
          <w:p>
            <w:pPr>
              <w:jc w:val="right"/>
              <w:spacing w:after="0"/>
              <w:rPr>
                <w:sz w:val="20"/>
                <w:szCs w:val="20"/>
                <w:color w:val="auto"/>
              </w:rPr>
            </w:pPr>
            <w:r>
              <w:rPr>
                <w:rFonts w:ascii="Arial" w:cs="Arial" w:eastAsia="Arial" w:hAnsi="Arial"/>
                <w:sz w:val="7"/>
                <w:szCs w:val="7"/>
                <w:color w:val="auto"/>
              </w:rPr>
              <w:t>741,500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20.1</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96.4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500,000,000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Aug-11</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1552-1560 Broadway - 50%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Times Square</w:t>
            </w:r>
          </w:p>
        </w:tc>
        <w:tc>
          <w:tcPr>
            <w:tcW w:w="640" w:type="dxa"/>
            <w:vAlign w:val="bottom"/>
          </w:tcPr>
          <w:p>
            <w:pPr>
              <w:jc w:val="right"/>
              <w:spacing w:after="0"/>
              <w:rPr>
                <w:sz w:val="20"/>
                <w:szCs w:val="20"/>
                <w:color w:val="auto"/>
              </w:rPr>
            </w:pPr>
            <w:r>
              <w:rPr>
                <w:rFonts w:ascii="Arial" w:cs="Arial" w:eastAsia="Arial" w:hAnsi="Arial"/>
                <w:sz w:val="7"/>
                <w:szCs w:val="7"/>
                <w:color w:val="auto"/>
              </w:rPr>
              <w:t>35,897</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59.7</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67.5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136,550,000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Sep-11</w:t>
            </w:r>
          </w:p>
        </w:tc>
        <w:tc>
          <w:tcPr>
            <w:tcW w:w="320" w:type="dxa"/>
            <w:vAlign w:val="bottom"/>
          </w:tcPr>
          <w:p>
            <w:pPr>
              <w:ind w:left="180"/>
              <w:spacing w:after="0"/>
              <w:rPr>
                <w:sz w:val="20"/>
                <w:szCs w:val="20"/>
                <w:color w:val="auto"/>
              </w:rPr>
            </w:pPr>
            <w:r>
              <w:rPr>
                <w:rFonts w:ascii="Arial" w:cs="Arial" w:eastAsia="Arial" w:hAnsi="Arial"/>
                <w:sz w:val="7"/>
                <w:szCs w:val="7"/>
                <w:color w:val="auto"/>
              </w:rPr>
              <w:t>747</w:t>
            </w:r>
          </w:p>
        </w:tc>
        <w:tc>
          <w:tcPr>
            <w:tcW w:w="1400" w:type="dxa"/>
            <w:vAlign w:val="bottom"/>
          </w:tcPr>
          <w:p>
            <w:pPr>
              <w:spacing w:after="0"/>
              <w:rPr>
                <w:sz w:val="20"/>
                <w:szCs w:val="20"/>
                <w:color w:val="auto"/>
              </w:rPr>
            </w:pPr>
            <w:r>
              <w:rPr>
                <w:rFonts w:ascii="Arial" w:cs="Arial" w:eastAsia="Arial" w:hAnsi="Arial"/>
                <w:sz w:val="7"/>
                <w:szCs w:val="7"/>
                <w:color w:val="auto"/>
              </w:rPr>
              <w:t>Madison Avenue - 33.33%</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10,000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66,250,000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Jan-12</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DFR Residential and Retail Portfolio - 80%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Interests / 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 Upper East Side</w:t>
            </w:r>
          </w:p>
        </w:tc>
        <w:tc>
          <w:tcPr>
            <w:tcW w:w="640" w:type="dxa"/>
            <w:vAlign w:val="bottom"/>
          </w:tcPr>
          <w:p>
            <w:pPr>
              <w:jc w:val="right"/>
              <w:spacing w:after="0"/>
              <w:rPr>
                <w:sz w:val="20"/>
                <w:szCs w:val="20"/>
                <w:color w:val="auto"/>
              </w:rPr>
            </w:pPr>
            <w:r>
              <w:rPr>
                <w:rFonts w:ascii="Arial" w:cs="Arial" w:eastAsia="Arial" w:hAnsi="Arial"/>
                <w:sz w:val="7"/>
                <w:szCs w:val="7"/>
                <w:color w:val="auto"/>
              </w:rPr>
              <w:t>489,882</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95.1</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92.9</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193,000,000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Jan-12</w:t>
            </w:r>
          </w:p>
        </w:tc>
        <w:tc>
          <w:tcPr>
            <w:tcW w:w="320" w:type="dxa"/>
            <w:vAlign w:val="bottom"/>
          </w:tcPr>
          <w:p>
            <w:pPr>
              <w:ind w:left="180"/>
              <w:spacing w:after="0"/>
              <w:rPr>
                <w:sz w:val="20"/>
                <w:szCs w:val="20"/>
                <w:color w:val="auto"/>
              </w:rPr>
            </w:pPr>
            <w:r>
              <w:rPr>
                <w:rFonts w:ascii="Arial" w:cs="Arial" w:eastAsia="Arial" w:hAnsi="Arial"/>
                <w:sz w:val="7"/>
                <w:szCs w:val="7"/>
                <w:color w:val="auto"/>
              </w:rPr>
              <w:t>724</w:t>
            </w:r>
          </w:p>
        </w:tc>
        <w:tc>
          <w:tcPr>
            <w:tcW w:w="1400" w:type="dxa"/>
            <w:vAlign w:val="bottom"/>
          </w:tcPr>
          <w:p>
            <w:pPr>
              <w:spacing w:after="0"/>
              <w:rPr>
                <w:sz w:val="20"/>
                <w:szCs w:val="20"/>
                <w:color w:val="auto"/>
              </w:rPr>
            </w:pPr>
            <w:r>
              <w:rPr>
                <w:rFonts w:ascii="Arial" w:cs="Arial" w:eastAsia="Arial" w:hAnsi="Arial"/>
                <w:sz w:val="7"/>
                <w:szCs w:val="7"/>
                <w:color w:val="auto"/>
              </w:rPr>
              <w:t>Fifth Avenue - 50%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65,010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92.9</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90.1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223,000,000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Jul-12</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West Coast Office Portfolio - 27.63%</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4,473,603</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76.3</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880,103,924</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Aug-12</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33 Beekman Street - 45.9%</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Downtown</w:t>
            </w:r>
          </w:p>
        </w:tc>
        <w:tc>
          <w:tcPr>
            <w:tcW w:w="640" w:type="dxa"/>
            <w:vAlign w:val="bottom"/>
          </w:tcPr>
          <w:p>
            <w:pPr>
              <w:jc w:val="right"/>
              <w:spacing w:after="0"/>
              <w:rPr>
                <w:sz w:val="20"/>
                <w:szCs w:val="20"/>
                <w:color w:val="auto"/>
              </w:rPr>
            </w:pPr>
            <w:r>
              <w:rPr>
                <w:rFonts w:ascii="Arial" w:cs="Arial" w:eastAsia="Arial" w:hAnsi="Arial"/>
                <w:sz w:val="7"/>
                <w:szCs w:val="7"/>
                <w:color w:val="auto"/>
              </w:rPr>
              <w:t>—</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31,160,000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Sep-12</w:t>
            </w:r>
          </w:p>
        </w:tc>
        <w:tc>
          <w:tcPr>
            <w:tcW w:w="320" w:type="dxa"/>
            <w:vAlign w:val="bottom"/>
          </w:tcPr>
          <w:p>
            <w:pPr>
              <w:ind w:left="180"/>
              <w:spacing w:after="0"/>
              <w:rPr>
                <w:sz w:val="20"/>
                <w:szCs w:val="20"/>
                <w:color w:val="auto"/>
              </w:rPr>
            </w:pPr>
            <w:r>
              <w:rPr>
                <w:rFonts w:ascii="Arial" w:cs="Arial" w:eastAsia="Arial" w:hAnsi="Arial"/>
                <w:sz w:val="7"/>
                <w:szCs w:val="7"/>
                <w:color w:val="auto"/>
              </w:rPr>
              <w:t>635</w:t>
            </w:r>
          </w:p>
        </w:tc>
        <w:tc>
          <w:tcPr>
            <w:tcW w:w="1400" w:type="dxa"/>
            <w:vAlign w:val="bottom"/>
          </w:tcPr>
          <w:p>
            <w:pPr>
              <w:spacing w:after="0"/>
              <w:rPr>
                <w:sz w:val="20"/>
                <w:szCs w:val="20"/>
                <w:color w:val="auto"/>
              </w:rPr>
            </w:pPr>
            <w:r>
              <w:rPr>
                <w:rFonts w:ascii="Arial" w:cs="Arial" w:eastAsia="Arial" w:hAnsi="Arial"/>
                <w:sz w:val="7"/>
                <w:szCs w:val="7"/>
                <w:color w:val="auto"/>
              </w:rPr>
              <w:t>Sixth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South</w:t>
            </w:r>
          </w:p>
        </w:tc>
        <w:tc>
          <w:tcPr>
            <w:tcW w:w="640" w:type="dxa"/>
            <w:vAlign w:val="bottom"/>
          </w:tcPr>
          <w:p>
            <w:pPr>
              <w:jc w:val="right"/>
              <w:spacing w:after="0"/>
              <w:rPr>
                <w:sz w:val="20"/>
                <w:szCs w:val="20"/>
                <w:color w:val="auto"/>
              </w:rPr>
            </w:pPr>
            <w:r>
              <w:rPr>
                <w:rFonts w:ascii="Arial" w:cs="Arial" w:eastAsia="Arial" w:hAnsi="Arial"/>
                <w:sz w:val="7"/>
                <w:szCs w:val="7"/>
                <w:color w:val="auto"/>
              </w:rPr>
              <w:t>104,000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83,000,000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Oct-12</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1080 Amsterdam - 87.5%</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Upper West Side</w:t>
            </w:r>
          </w:p>
        </w:tc>
        <w:tc>
          <w:tcPr>
            <w:tcW w:w="640" w:type="dxa"/>
            <w:vAlign w:val="bottom"/>
          </w:tcPr>
          <w:p>
            <w:pPr>
              <w:jc w:val="right"/>
              <w:spacing w:after="0"/>
              <w:rPr>
                <w:sz w:val="20"/>
                <w:szCs w:val="20"/>
                <w:color w:val="auto"/>
              </w:rPr>
            </w:pPr>
            <w:r>
              <w:rPr>
                <w:rFonts w:ascii="Arial" w:cs="Arial" w:eastAsia="Arial" w:hAnsi="Arial"/>
                <w:sz w:val="7"/>
                <w:szCs w:val="7"/>
                <w:color w:val="auto"/>
              </w:rPr>
              <w:t>82,250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2.2</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91.7</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Dec-12</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21 East 66th Street - 32.28%</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16,736</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75,000,000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Dec-12</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985-987 Third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Upper East Side</w:t>
            </w:r>
          </w:p>
        </w:tc>
        <w:tc>
          <w:tcPr>
            <w:tcW w:w="640" w:type="dxa"/>
            <w:vAlign w:val="bottom"/>
          </w:tcPr>
          <w:p>
            <w:pPr>
              <w:jc w:val="right"/>
              <w:spacing w:after="0"/>
              <w:rPr>
                <w:sz w:val="20"/>
                <w:szCs w:val="20"/>
                <w:color w:val="auto"/>
              </w:rPr>
            </w:pPr>
            <w:r>
              <w:rPr>
                <w:rFonts w:ascii="Arial" w:cs="Arial" w:eastAsia="Arial" w:hAnsi="Arial"/>
                <w:sz w:val="7"/>
                <w:szCs w:val="7"/>
                <w:color w:val="auto"/>
              </w:rPr>
              <w:t>13,678</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18,000,000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Dec-12</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131-137 Spring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Soho</w:t>
            </w:r>
          </w:p>
        </w:tc>
        <w:tc>
          <w:tcPr>
            <w:tcW w:w="640" w:type="dxa"/>
            <w:vAlign w:val="bottom"/>
          </w:tcPr>
          <w:p>
            <w:pPr>
              <w:jc w:val="right"/>
              <w:spacing w:after="0"/>
              <w:rPr>
                <w:sz w:val="20"/>
                <w:szCs w:val="20"/>
                <w:color w:val="auto"/>
              </w:rPr>
            </w:pPr>
            <w:r>
              <w:rPr>
                <w:rFonts w:ascii="Arial" w:cs="Arial" w:eastAsia="Arial" w:hAnsi="Arial"/>
                <w:sz w:val="7"/>
                <w:szCs w:val="7"/>
                <w:color w:val="auto"/>
              </w:rPr>
              <w:t>68,342</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93.9</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122,300,000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Mar-13</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248-252 Bedford Avenue - 90%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Brooklyn,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66,611</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54,900,000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Nov-13</w:t>
            </w:r>
          </w:p>
        </w:tc>
        <w:tc>
          <w:tcPr>
            <w:tcW w:w="320" w:type="dxa"/>
            <w:vAlign w:val="bottom"/>
          </w:tcPr>
          <w:p>
            <w:pPr>
              <w:ind w:left="180"/>
              <w:spacing w:after="0"/>
              <w:rPr>
                <w:sz w:val="20"/>
                <w:szCs w:val="20"/>
                <w:color w:val="auto"/>
              </w:rPr>
            </w:pPr>
            <w:r>
              <w:rPr>
                <w:rFonts w:ascii="Arial" w:cs="Arial" w:eastAsia="Arial" w:hAnsi="Arial"/>
                <w:sz w:val="7"/>
                <w:szCs w:val="7"/>
                <w:color w:val="auto"/>
              </w:rPr>
              <w:t>650</w:t>
            </w:r>
          </w:p>
        </w:tc>
        <w:tc>
          <w:tcPr>
            <w:tcW w:w="1400" w:type="dxa"/>
            <w:vAlign w:val="bottom"/>
          </w:tcPr>
          <w:p>
            <w:pPr>
              <w:spacing w:after="0"/>
              <w:rPr>
                <w:sz w:val="20"/>
                <w:szCs w:val="20"/>
                <w:color w:val="auto"/>
              </w:rPr>
            </w:pPr>
            <w:r>
              <w:rPr>
                <w:rFonts w:ascii="Arial" w:cs="Arial" w:eastAsia="Arial" w:hAnsi="Arial"/>
                <w:sz w:val="7"/>
                <w:szCs w:val="7"/>
                <w:color w:val="auto"/>
              </w:rPr>
              <w:t>Fifth Avenue - 50%</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32,324</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63.6</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Nov-13</w:t>
            </w:r>
          </w:p>
        </w:tc>
        <w:tc>
          <w:tcPr>
            <w:tcW w:w="320" w:type="dxa"/>
            <w:vAlign w:val="bottom"/>
          </w:tcPr>
          <w:p>
            <w:pPr>
              <w:ind w:left="180"/>
              <w:spacing w:after="0"/>
              <w:rPr>
                <w:sz w:val="20"/>
                <w:szCs w:val="20"/>
                <w:color w:val="auto"/>
              </w:rPr>
            </w:pPr>
            <w:r>
              <w:rPr>
                <w:rFonts w:ascii="Arial" w:cs="Arial" w:eastAsia="Arial" w:hAnsi="Arial"/>
                <w:sz w:val="7"/>
                <w:szCs w:val="7"/>
                <w:color w:val="auto"/>
              </w:rPr>
              <w:t>315</w:t>
            </w:r>
          </w:p>
        </w:tc>
        <w:tc>
          <w:tcPr>
            <w:tcW w:w="1400" w:type="dxa"/>
            <w:vAlign w:val="bottom"/>
          </w:tcPr>
          <w:p>
            <w:pPr>
              <w:spacing w:after="0"/>
              <w:rPr>
                <w:sz w:val="20"/>
                <w:szCs w:val="20"/>
                <w:color w:val="auto"/>
              </w:rPr>
            </w:pPr>
            <w:r>
              <w:rPr>
                <w:rFonts w:ascii="Arial" w:cs="Arial" w:eastAsia="Arial" w:hAnsi="Arial"/>
                <w:sz w:val="7"/>
                <w:szCs w:val="7"/>
                <w:color w:val="auto"/>
              </w:rPr>
              <w:t>West 33rd Street - The Olivia</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Penn Station</w:t>
            </w:r>
          </w:p>
        </w:tc>
        <w:tc>
          <w:tcPr>
            <w:tcW w:w="640" w:type="dxa"/>
            <w:vAlign w:val="bottom"/>
          </w:tcPr>
          <w:p>
            <w:pPr>
              <w:jc w:val="right"/>
              <w:spacing w:after="0"/>
              <w:rPr>
                <w:sz w:val="20"/>
                <w:szCs w:val="20"/>
                <w:color w:val="auto"/>
              </w:rPr>
            </w:pPr>
            <w:r>
              <w:rPr>
                <w:rFonts w:ascii="Arial" w:cs="Arial" w:eastAsia="Arial" w:hAnsi="Arial"/>
                <w:sz w:val="7"/>
                <w:szCs w:val="7"/>
                <w:color w:val="auto"/>
              </w:rPr>
              <w:t>492,987</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96.6</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96.7</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386,775,000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Nov-13</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562, 570 &amp; 574 Fifth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66,962</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74.6</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146,221,990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Jul-14</w:t>
            </w:r>
          </w:p>
        </w:tc>
        <w:tc>
          <w:tcPr>
            <w:tcW w:w="320" w:type="dxa"/>
            <w:vAlign w:val="bottom"/>
          </w:tcPr>
          <w:p>
            <w:pPr>
              <w:ind w:left="180"/>
              <w:spacing w:after="0"/>
              <w:rPr>
                <w:sz w:val="20"/>
                <w:szCs w:val="20"/>
                <w:color w:val="auto"/>
              </w:rPr>
            </w:pPr>
            <w:r>
              <w:rPr>
                <w:rFonts w:ascii="Arial" w:cs="Arial" w:eastAsia="Arial" w:hAnsi="Arial"/>
                <w:sz w:val="7"/>
                <w:szCs w:val="7"/>
                <w:color w:val="auto"/>
              </w:rPr>
              <w:t>719</w:t>
            </w:r>
          </w:p>
        </w:tc>
        <w:tc>
          <w:tcPr>
            <w:tcW w:w="1400" w:type="dxa"/>
            <w:vAlign w:val="bottom"/>
          </w:tcPr>
          <w:p>
            <w:pPr>
              <w:spacing w:after="0"/>
              <w:rPr>
                <w:sz w:val="20"/>
                <w:szCs w:val="20"/>
                <w:color w:val="auto"/>
              </w:rPr>
            </w:pPr>
            <w:r>
              <w:rPr>
                <w:rFonts w:ascii="Arial" w:cs="Arial" w:eastAsia="Arial" w:hAnsi="Arial"/>
                <w:sz w:val="7"/>
                <w:szCs w:val="7"/>
                <w:color w:val="auto"/>
              </w:rPr>
              <w:t>Seventh Avenue - 75%</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Times Square</w:t>
            </w:r>
          </w:p>
        </w:tc>
        <w:tc>
          <w:tcPr>
            <w:tcW w:w="640" w:type="dxa"/>
            <w:vAlign w:val="bottom"/>
          </w:tcPr>
          <w:p>
            <w:pPr>
              <w:jc w:val="right"/>
              <w:spacing w:after="0"/>
              <w:rPr>
                <w:sz w:val="20"/>
                <w:szCs w:val="20"/>
                <w:color w:val="auto"/>
              </w:rPr>
            </w:pPr>
            <w:r>
              <w:rPr>
                <w:rFonts w:ascii="Arial" w:cs="Arial" w:eastAsia="Arial" w:hAnsi="Arial"/>
                <w:sz w:val="7"/>
                <w:szCs w:val="7"/>
                <w:color w:val="auto"/>
              </w:rPr>
              <w:t>6,000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41,149,000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Jul-14</w:t>
            </w:r>
          </w:p>
        </w:tc>
        <w:tc>
          <w:tcPr>
            <w:tcW w:w="320" w:type="dxa"/>
            <w:vAlign w:val="bottom"/>
          </w:tcPr>
          <w:p>
            <w:pPr>
              <w:ind w:left="180"/>
              <w:spacing w:after="0"/>
              <w:rPr>
                <w:sz w:val="20"/>
                <w:szCs w:val="20"/>
                <w:color w:val="auto"/>
              </w:rPr>
            </w:pPr>
            <w:r>
              <w:rPr>
                <w:rFonts w:ascii="Arial" w:cs="Arial" w:eastAsia="Arial" w:hAnsi="Arial"/>
                <w:sz w:val="7"/>
                <w:szCs w:val="7"/>
                <w:color w:val="auto"/>
              </w:rPr>
              <w:t>115</w:t>
            </w:r>
          </w:p>
        </w:tc>
        <w:tc>
          <w:tcPr>
            <w:tcW w:w="1400" w:type="dxa"/>
            <w:vAlign w:val="bottom"/>
          </w:tcPr>
          <w:p>
            <w:pPr>
              <w:spacing w:after="0"/>
              <w:rPr>
                <w:sz w:val="20"/>
                <w:szCs w:val="20"/>
                <w:color w:val="auto"/>
              </w:rPr>
            </w:pPr>
            <w:r>
              <w:rPr>
                <w:rFonts w:ascii="Arial" w:cs="Arial" w:eastAsia="Arial" w:hAnsi="Arial"/>
                <w:sz w:val="7"/>
                <w:szCs w:val="7"/>
                <w:color w:val="auto"/>
              </w:rPr>
              <w:t>Spring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Soho</w:t>
            </w:r>
          </w:p>
        </w:tc>
        <w:tc>
          <w:tcPr>
            <w:tcW w:w="640" w:type="dxa"/>
            <w:vAlign w:val="bottom"/>
          </w:tcPr>
          <w:p>
            <w:pPr>
              <w:jc w:val="right"/>
              <w:spacing w:after="0"/>
              <w:rPr>
                <w:sz w:val="20"/>
                <w:szCs w:val="20"/>
                <w:color w:val="auto"/>
              </w:rPr>
            </w:pPr>
            <w:r>
              <w:rPr>
                <w:rFonts w:ascii="Arial" w:cs="Arial" w:eastAsia="Arial" w:hAnsi="Arial"/>
                <w:sz w:val="7"/>
                <w:szCs w:val="7"/>
                <w:color w:val="auto"/>
              </w:rPr>
              <w:t>5,218</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52,000,000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Jul-14</w:t>
            </w:r>
          </w:p>
        </w:tc>
        <w:tc>
          <w:tcPr>
            <w:tcW w:w="320" w:type="dxa"/>
            <w:vAlign w:val="bottom"/>
          </w:tcPr>
          <w:p>
            <w:pPr>
              <w:ind w:left="180"/>
              <w:spacing w:after="0"/>
              <w:rPr>
                <w:sz w:val="20"/>
                <w:szCs w:val="20"/>
                <w:color w:val="auto"/>
              </w:rPr>
            </w:pPr>
            <w:r>
              <w:rPr>
                <w:rFonts w:ascii="Arial" w:cs="Arial" w:eastAsia="Arial" w:hAnsi="Arial"/>
                <w:sz w:val="7"/>
                <w:szCs w:val="7"/>
                <w:color w:val="auto"/>
              </w:rPr>
              <w:t>752</w:t>
            </w:r>
          </w:p>
        </w:tc>
        <w:tc>
          <w:tcPr>
            <w:tcW w:w="1400" w:type="dxa"/>
            <w:vAlign w:val="bottom"/>
          </w:tcPr>
          <w:p>
            <w:pPr>
              <w:spacing w:after="0"/>
              <w:rPr>
                <w:sz w:val="20"/>
                <w:szCs w:val="20"/>
                <w:color w:val="auto"/>
              </w:rPr>
            </w:pPr>
            <w:r>
              <w:rPr>
                <w:rFonts w:ascii="Arial" w:cs="Arial" w:eastAsia="Arial" w:hAnsi="Arial"/>
                <w:sz w:val="7"/>
                <w:szCs w:val="7"/>
                <w:color w:val="auto"/>
              </w:rPr>
              <w:t>Madison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21,124</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282,415,000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Sep-14</w:t>
            </w:r>
          </w:p>
        </w:tc>
        <w:tc>
          <w:tcPr>
            <w:tcW w:w="320" w:type="dxa"/>
            <w:vAlign w:val="bottom"/>
          </w:tcPr>
          <w:p>
            <w:pPr>
              <w:ind w:left="180"/>
              <w:spacing w:after="0"/>
              <w:rPr>
                <w:sz w:val="20"/>
                <w:szCs w:val="20"/>
                <w:color w:val="auto"/>
              </w:rPr>
            </w:pPr>
            <w:r>
              <w:rPr>
                <w:rFonts w:ascii="Arial" w:cs="Arial" w:eastAsia="Arial" w:hAnsi="Arial"/>
                <w:sz w:val="7"/>
                <w:szCs w:val="7"/>
                <w:color w:val="auto"/>
              </w:rPr>
              <w:t>121</w:t>
            </w:r>
          </w:p>
        </w:tc>
        <w:tc>
          <w:tcPr>
            <w:tcW w:w="1400" w:type="dxa"/>
            <w:vAlign w:val="bottom"/>
          </w:tcPr>
          <w:p>
            <w:pPr>
              <w:spacing w:after="0"/>
              <w:rPr>
                <w:sz w:val="20"/>
                <w:szCs w:val="20"/>
                <w:color w:val="auto"/>
              </w:rPr>
            </w:pPr>
            <w:r>
              <w:rPr>
                <w:rFonts w:ascii="Arial" w:cs="Arial" w:eastAsia="Arial" w:hAnsi="Arial"/>
                <w:sz w:val="7"/>
                <w:szCs w:val="7"/>
                <w:color w:val="auto"/>
              </w:rPr>
              <w:t>Greene Street - 50%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Soho</w:t>
            </w:r>
          </w:p>
        </w:tc>
        <w:tc>
          <w:tcPr>
            <w:tcW w:w="640" w:type="dxa"/>
            <w:vAlign w:val="bottom"/>
          </w:tcPr>
          <w:p>
            <w:pPr>
              <w:jc w:val="right"/>
              <w:spacing w:after="0"/>
              <w:rPr>
                <w:sz w:val="20"/>
                <w:szCs w:val="20"/>
                <w:color w:val="auto"/>
              </w:rPr>
            </w:pPr>
            <w:r>
              <w:rPr>
                <w:rFonts w:ascii="Arial" w:cs="Arial" w:eastAsia="Arial" w:hAnsi="Arial"/>
                <w:sz w:val="7"/>
                <w:szCs w:val="7"/>
                <w:color w:val="auto"/>
              </w:rPr>
              <w:t>7,131</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27,400,000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Sep-14</w:t>
            </w:r>
          </w:p>
        </w:tc>
        <w:tc>
          <w:tcPr>
            <w:tcW w:w="320" w:type="dxa"/>
            <w:vAlign w:val="bottom"/>
          </w:tcPr>
          <w:p>
            <w:pPr>
              <w:ind w:left="180"/>
              <w:spacing w:after="0"/>
              <w:rPr>
                <w:sz w:val="20"/>
                <w:szCs w:val="20"/>
                <w:color w:val="auto"/>
              </w:rPr>
            </w:pPr>
            <w:r>
              <w:rPr>
                <w:rFonts w:ascii="Arial" w:cs="Arial" w:eastAsia="Arial" w:hAnsi="Arial"/>
                <w:sz w:val="7"/>
                <w:szCs w:val="7"/>
                <w:color w:val="auto"/>
              </w:rPr>
              <w:t>635</w:t>
            </w:r>
          </w:p>
        </w:tc>
        <w:tc>
          <w:tcPr>
            <w:tcW w:w="1400" w:type="dxa"/>
            <w:vAlign w:val="bottom"/>
          </w:tcPr>
          <w:p>
            <w:pPr>
              <w:spacing w:after="0"/>
              <w:rPr>
                <w:sz w:val="20"/>
                <w:szCs w:val="20"/>
                <w:color w:val="auto"/>
              </w:rPr>
            </w:pPr>
            <w:r>
              <w:rPr>
                <w:rFonts w:ascii="Arial" w:cs="Arial" w:eastAsia="Arial" w:hAnsi="Arial"/>
                <w:sz w:val="7"/>
                <w:szCs w:val="7"/>
                <w:color w:val="auto"/>
              </w:rPr>
              <w:t xml:space="preserve">Madison Avenue </w:t>
            </w:r>
            <w:r>
              <w:rPr>
                <w:rFonts w:ascii="Arial" w:cs="Arial" w:eastAsia="Arial" w:hAnsi="Arial"/>
                <w:sz w:val="6"/>
                <w:szCs w:val="6"/>
                <w:color w:val="auto"/>
              </w:rPr>
              <w:t>(2)</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176,530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145,000,000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Oct-14</w:t>
            </w:r>
          </w:p>
        </w:tc>
        <w:tc>
          <w:tcPr>
            <w:tcW w:w="320" w:type="dxa"/>
            <w:vAlign w:val="bottom"/>
          </w:tcPr>
          <w:p>
            <w:pPr>
              <w:ind w:left="180"/>
              <w:spacing w:after="0"/>
              <w:rPr>
                <w:sz w:val="20"/>
                <w:szCs w:val="20"/>
                <w:color w:val="auto"/>
              </w:rPr>
            </w:pPr>
            <w:r>
              <w:rPr>
                <w:rFonts w:ascii="Arial" w:cs="Arial" w:eastAsia="Arial" w:hAnsi="Arial"/>
                <w:sz w:val="7"/>
                <w:szCs w:val="7"/>
                <w:color w:val="auto"/>
              </w:rPr>
              <w:t>102</w:t>
            </w:r>
          </w:p>
        </w:tc>
        <w:tc>
          <w:tcPr>
            <w:tcW w:w="1400" w:type="dxa"/>
            <w:vAlign w:val="bottom"/>
          </w:tcPr>
          <w:p>
            <w:pPr>
              <w:spacing w:after="0"/>
              <w:rPr>
                <w:sz w:val="20"/>
                <w:szCs w:val="20"/>
                <w:color w:val="auto"/>
              </w:rPr>
            </w:pPr>
            <w:r>
              <w:rPr>
                <w:rFonts w:ascii="Arial" w:cs="Arial" w:eastAsia="Arial" w:hAnsi="Arial"/>
                <w:sz w:val="7"/>
                <w:szCs w:val="7"/>
                <w:color w:val="auto"/>
              </w:rPr>
              <w:t>Greene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Soho</w:t>
            </w:r>
          </w:p>
        </w:tc>
        <w:tc>
          <w:tcPr>
            <w:tcW w:w="640" w:type="dxa"/>
            <w:vAlign w:val="bottom"/>
          </w:tcPr>
          <w:p>
            <w:pPr>
              <w:jc w:val="right"/>
              <w:spacing w:after="0"/>
              <w:rPr>
                <w:sz w:val="20"/>
                <w:szCs w:val="20"/>
                <w:color w:val="auto"/>
              </w:rPr>
            </w:pPr>
            <w:r>
              <w:rPr>
                <w:rFonts w:ascii="Arial" w:cs="Arial" w:eastAsia="Arial" w:hAnsi="Arial"/>
                <w:sz w:val="7"/>
                <w:szCs w:val="7"/>
                <w:color w:val="auto"/>
              </w:rPr>
              <w:t>9,200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54.3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32,250,000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Oct-14</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175-225 Third Street - 95%</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Brooklyn,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72,500,000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Nov-14</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55 West 46th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w:t>
            </w:r>
          </w:p>
        </w:tc>
        <w:tc>
          <w:tcPr>
            <w:tcW w:w="640" w:type="dxa"/>
            <w:vAlign w:val="bottom"/>
          </w:tcPr>
          <w:p>
            <w:pPr>
              <w:jc w:val="right"/>
              <w:spacing w:after="0"/>
              <w:rPr>
                <w:sz w:val="20"/>
                <w:szCs w:val="20"/>
                <w:color w:val="auto"/>
              </w:rPr>
            </w:pPr>
            <w:r>
              <w:rPr>
                <w:rFonts w:ascii="Arial" w:cs="Arial" w:eastAsia="Arial" w:hAnsi="Arial"/>
                <w:sz w:val="7"/>
                <w:szCs w:val="7"/>
                <w:color w:val="auto"/>
              </w:rPr>
              <w:t>347,000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17.1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295,000,000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Feb-15</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Stonehenge Portfolio</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2,589,184</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96.5</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94.6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40,000,000</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Mar-15</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1640 Flatbush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Brooklyn,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1,000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6,798,627</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Jun-15</w:t>
            </w:r>
          </w:p>
        </w:tc>
        <w:tc>
          <w:tcPr>
            <w:tcW w:w="1720" w:type="dxa"/>
            <w:vAlign w:val="bottom"/>
            <w:gridSpan w:val="2"/>
          </w:tcPr>
          <w:p>
            <w:pPr>
              <w:ind w:left="180"/>
              <w:spacing w:after="0"/>
              <w:rPr>
                <w:sz w:val="20"/>
                <w:szCs w:val="20"/>
                <w:color w:val="auto"/>
              </w:rPr>
            </w:pPr>
            <w:r>
              <w:rPr>
                <w:rFonts w:ascii="Arial" w:cs="Arial" w:eastAsia="Arial" w:hAnsi="Arial"/>
                <w:sz w:val="7"/>
                <w:szCs w:val="7"/>
                <w:color w:val="auto"/>
              </w:rPr>
              <w:t>Upper East Side Residential - 90%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Upper East Side Residential</w:t>
            </w:r>
          </w:p>
        </w:tc>
        <w:tc>
          <w:tcPr>
            <w:tcW w:w="640" w:type="dxa"/>
            <w:vAlign w:val="bottom"/>
          </w:tcPr>
          <w:p>
            <w:pPr>
              <w:jc w:val="right"/>
              <w:spacing w:after="0"/>
              <w:rPr>
                <w:sz w:val="20"/>
                <w:szCs w:val="20"/>
                <w:color w:val="auto"/>
              </w:rPr>
            </w:pPr>
            <w:r>
              <w:rPr>
                <w:rFonts w:ascii="Arial" w:cs="Arial" w:eastAsia="Arial" w:hAnsi="Arial"/>
                <w:sz w:val="7"/>
                <w:szCs w:val="7"/>
                <w:color w:val="auto"/>
              </w:rPr>
              <w:t>27,000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96.4</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42.9</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50,073,674</w:t>
            </w:r>
          </w:p>
        </w:tc>
      </w:tr>
      <w:tr>
        <w:trPr>
          <w:trHeight w:val="219"/>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Aug-15</w:t>
            </w:r>
          </w:p>
        </w:tc>
        <w:tc>
          <w:tcPr>
            <w:tcW w:w="320" w:type="dxa"/>
            <w:vAlign w:val="bottom"/>
          </w:tcPr>
          <w:p>
            <w:pPr>
              <w:ind w:left="180"/>
              <w:spacing w:after="0"/>
              <w:rPr>
                <w:sz w:val="20"/>
                <w:szCs w:val="20"/>
                <w:color w:val="auto"/>
              </w:rPr>
            </w:pPr>
            <w:r>
              <w:rPr>
                <w:rFonts w:ascii="Arial" w:cs="Arial" w:eastAsia="Arial" w:hAnsi="Arial"/>
                <w:sz w:val="7"/>
                <w:szCs w:val="7"/>
                <w:color w:val="auto"/>
              </w:rPr>
              <w:t>187</w:t>
            </w:r>
          </w:p>
        </w:tc>
        <w:tc>
          <w:tcPr>
            <w:tcW w:w="1400" w:type="dxa"/>
            <w:vAlign w:val="bottom"/>
          </w:tcPr>
          <w:p>
            <w:pPr>
              <w:spacing w:after="0"/>
              <w:rPr>
                <w:sz w:val="20"/>
                <w:szCs w:val="20"/>
                <w:color w:val="auto"/>
              </w:rPr>
            </w:pPr>
            <w:r>
              <w:rPr>
                <w:rFonts w:ascii="Arial" w:cs="Arial" w:eastAsia="Arial" w:hAnsi="Arial"/>
                <w:sz w:val="7"/>
                <w:szCs w:val="7"/>
                <w:color w:val="auto"/>
              </w:rPr>
              <w:t>Broadway &amp; 5-7 Dey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Manhattan</w:t>
            </w:r>
          </w:p>
        </w:tc>
        <w:tc>
          <w:tcPr>
            <w:tcW w:w="640" w:type="dxa"/>
            <w:vAlign w:val="bottom"/>
          </w:tcPr>
          <w:p>
            <w:pPr>
              <w:jc w:val="right"/>
              <w:spacing w:after="0"/>
              <w:rPr>
                <w:sz w:val="20"/>
                <w:szCs w:val="20"/>
                <w:color w:val="auto"/>
              </w:rPr>
            </w:pPr>
            <w:r>
              <w:rPr>
                <w:rFonts w:ascii="Arial" w:cs="Arial" w:eastAsia="Arial" w:hAnsi="Arial"/>
                <w:sz w:val="7"/>
                <w:szCs w:val="7"/>
                <w:color w:val="auto"/>
              </w:rPr>
              <w:t>73,600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90.5</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61.1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63,690,000</w:t>
            </w:r>
          </w:p>
        </w:tc>
      </w:tr>
      <w:tr>
        <w:trPr>
          <w:trHeight w:val="111"/>
        </w:trPr>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98"/>
        </w:trPr>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12,000,972</w:t>
            </w:r>
          </w:p>
        </w:tc>
        <w:tc>
          <w:tcPr>
            <w:tcW w:w="1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5,771,901,215</w:t>
            </w:r>
          </w:p>
        </w:tc>
      </w:tr>
      <w:tr>
        <w:trPr>
          <w:trHeight w:val="208"/>
        </w:trPr>
        <w:tc>
          <w:tcPr>
            <w:tcW w:w="780" w:type="dxa"/>
            <w:vAlign w:val="bottom"/>
          </w:tcPr>
          <w:p>
            <w:pPr>
              <w:ind w:left="20"/>
              <w:spacing w:after="0"/>
              <w:rPr>
                <w:sz w:val="20"/>
                <w:szCs w:val="20"/>
                <w:color w:val="auto"/>
              </w:rPr>
            </w:pPr>
            <w:r>
              <w:rPr>
                <w:rFonts w:ascii="Arial" w:cs="Arial" w:eastAsia="Arial" w:hAnsi="Arial"/>
                <w:sz w:val="7"/>
                <w:szCs w:val="7"/>
                <w:b w:val="1"/>
                <w:bCs w:val="1"/>
                <w:color w:val="auto"/>
              </w:rPr>
              <w:t>2016 Acquisition</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11"/>
        </w:trPr>
        <w:tc>
          <w:tcPr>
            <w:tcW w:w="7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98"/>
        </w:trPr>
        <w:tc>
          <w:tcPr>
            <w:tcW w:w="780" w:type="dxa"/>
            <w:vAlign w:val="bottom"/>
          </w:tcPr>
          <w:p>
            <w:pPr>
              <w:jc w:val="center"/>
              <w:ind w:left="144"/>
              <w:spacing w:after="0"/>
              <w:rPr>
                <w:sz w:val="20"/>
                <w:szCs w:val="20"/>
                <w:color w:val="auto"/>
              </w:rPr>
            </w:pPr>
            <w:r>
              <w:rPr>
                <w:rFonts w:ascii="Arial" w:cs="Arial" w:eastAsia="Arial" w:hAnsi="Arial"/>
                <w:sz w:val="7"/>
                <w:szCs w:val="7"/>
                <w:color w:val="auto"/>
              </w:rPr>
              <w:t>Mar-16</w:t>
            </w:r>
          </w:p>
        </w:tc>
        <w:tc>
          <w:tcPr>
            <w:tcW w:w="320" w:type="dxa"/>
            <w:vAlign w:val="bottom"/>
          </w:tcPr>
          <w:p>
            <w:pPr>
              <w:ind w:left="180"/>
              <w:spacing w:after="0"/>
              <w:rPr>
                <w:sz w:val="20"/>
                <w:szCs w:val="20"/>
                <w:color w:val="auto"/>
              </w:rPr>
            </w:pPr>
            <w:r>
              <w:rPr>
                <w:rFonts w:ascii="Arial" w:cs="Arial" w:eastAsia="Arial" w:hAnsi="Arial"/>
                <w:sz w:val="7"/>
                <w:szCs w:val="7"/>
                <w:color w:val="auto"/>
              </w:rPr>
              <w:t>183</w:t>
            </w:r>
          </w:p>
        </w:tc>
        <w:tc>
          <w:tcPr>
            <w:tcW w:w="1400" w:type="dxa"/>
            <w:vAlign w:val="bottom"/>
          </w:tcPr>
          <w:p>
            <w:pPr>
              <w:spacing w:after="0"/>
              <w:rPr>
                <w:sz w:val="20"/>
                <w:szCs w:val="20"/>
                <w:color w:val="auto"/>
              </w:rPr>
            </w:pPr>
            <w:r>
              <w:rPr>
                <w:rFonts w:ascii="Arial" w:cs="Arial" w:eastAsia="Arial" w:hAnsi="Arial"/>
                <w:sz w:val="7"/>
                <w:szCs w:val="7"/>
                <w:color w:val="auto"/>
              </w:rPr>
              <w:t>Broadway</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Manhattan</w:t>
            </w:r>
          </w:p>
        </w:tc>
        <w:tc>
          <w:tcPr>
            <w:tcW w:w="640" w:type="dxa"/>
            <w:vAlign w:val="bottom"/>
          </w:tcPr>
          <w:p>
            <w:pPr>
              <w:jc w:val="right"/>
              <w:spacing w:after="0"/>
              <w:rPr>
                <w:sz w:val="20"/>
                <w:szCs w:val="20"/>
                <w:color w:val="auto"/>
              </w:rPr>
            </w:pPr>
            <w:r>
              <w:rPr>
                <w:rFonts w:ascii="Arial" w:cs="Arial" w:eastAsia="Arial" w:hAnsi="Arial"/>
                <w:sz w:val="7"/>
                <w:szCs w:val="7"/>
                <w:color w:val="auto"/>
              </w:rPr>
              <w:t>9,100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58.3</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58.3</w:t>
            </w:r>
          </w:p>
        </w:tc>
        <w:tc>
          <w:tcPr>
            <w:tcW w:w="220" w:type="dxa"/>
            <w:vAlign w:val="bottom"/>
          </w:tcPr>
          <w:p>
            <w:pPr>
              <w:jc w:val="right"/>
              <w:ind w:right="124"/>
              <w:spacing w:after="0"/>
              <w:rPr>
                <w:sz w:val="20"/>
                <w:szCs w:val="20"/>
                <w:color w:val="auto"/>
              </w:rPr>
            </w:pPr>
            <w:r>
              <w:rPr>
                <w:rFonts w:ascii="Arial" w:cs="Arial" w:eastAsia="Arial" w:hAnsi="Arial"/>
                <w:sz w:val="7"/>
                <w:szCs w:val="7"/>
                <w:color w:val="auto"/>
              </w:rPr>
              <w:t>$</w:t>
            </w:r>
          </w:p>
        </w:tc>
        <w:tc>
          <w:tcPr>
            <w:tcW w:w="660" w:type="dxa"/>
            <w:vAlign w:val="bottom"/>
          </w:tcPr>
          <w:p>
            <w:pPr>
              <w:jc w:val="right"/>
              <w:spacing w:after="0"/>
              <w:rPr>
                <w:sz w:val="20"/>
                <w:szCs w:val="20"/>
                <w:color w:val="auto"/>
              </w:rPr>
            </w:pPr>
            <w:r>
              <w:rPr>
                <w:rFonts w:ascii="Arial" w:cs="Arial" w:eastAsia="Arial" w:hAnsi="Arial"/>
                <w:sz w:val="7"/>
                <w:szCs w:val="7"/>
                <w:color w:val="auto"/>
              </w:rPr>
              <w:t>28,500,000</w:t>
            </w:r>
          </w:p>
        </w:tc>
      </w:tr>
      <w:tr>
        <w:trPr>
          <w:trHeight w:val="219"/>
        </w:trPr>
        <w:tc>
          <w:tcPr>
            <w:tcW w:w="780" w:type="dxa"/>
            <w:vAlign w:val="bottom"/>
          </w:tcPr>
          <w:p>
            <w:pPr>
              <w:jc w:val="center"/>
              <w:ind w:left="124"/>
              <w:spacing w:after="0"/>
              <w:rPr>
                <w:sz w:val="20"/>
                <w:szCs w:val="20"/>
                <w:color w:val="auto"/>
              </w:rPr>
            </w:pPr>
            <w:r>
              <w:rPr>
                <w:rFonts w:ascii="Arial" w:cs="Arial" w:eastAsia="Arial" w:hAnsi="Arial"/>
                <w:sz w:val="7"/>
                <w:szCs w:val="7"/>
                <w:color w:val="auto"/>
              </w:rPr>
              <w:t>Apr-16</w:t>
            </w:r>
          </w:p>
        </w:tc>
        <w:tc>
          <w:tcPr>
            <w:tcW w:w="320" w:type="dxa"/>
            <w:vAlign w:val="bottom"/>
          </w:tcPr>
          <w:p>
            <w:pPr>
              <w:ind w:left="180"/>
              <w:spacing w:after="0"/>
              <w:rPr>
                <w:sz w:val="20"/>
                <w:szCs w:val="20"/>
                <w:color w:val="auto"/>
              </w:rPr>
            </w:pPr>
            <w:r>
              <w:rPr>
                <w:rFonts w:ascii="Arial" w:cs="Arial" w:eastAsia="Arial" w:hAnsi="Arial"/>
                <w:sz w:val="7"/>
                <w:szCs w:val="7"/>
                <w:color w:val="auto"/>
              </w:rPr>
              <w:t>605</w:t>
            </w:r>
          </w:p>
        </w:tc>
        <w:tc>
          <w:tcPr>
            <w:tcW w:w="1400" w:type="dxa"/>
            <w:vAlign w:val="bottom"/>
          </w:tcPr>
          <w:p>
            <w:pPr>
              <w:spacing w:after="0"/>
              <w:rPr>
                <w:sz w:val="20"/>
                <w:szCs w:val="20"/>
                <w:color w:val="auto"/>
              </w:rPr>
            </w:pPr>
            <w:r>
              <w:rPr>
                <w:rFonts w:ascii="Arial" w:cs="Arial" w:eastAsia="Arial" w:hAnsi="Arial"/>
                <w:sz w:val="7"/>
                <w:szCs w:val="7"/>
                <w:color w:val="auto"/>
              </w:rPr>
              <w:t>West 42nd Street - 20%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West</w:t>
            </w:r>
          </w:p>
        </w:tc>
        <w:tc>
          <w:tcPr>
            <w:tcW w:w="640" w:type="dxa"/>
            <w:vAlign w:val="bottom"/>
          </w:tcPr>
          <w:p>
            <w:pPr>
              <w:jc w:val="right"/>
              <w:spacing w:after="0"/>
              <w:rPr>
                <w:sz w:val="20"/>
                <w:szCs w:val="20"/>
                <w:color w:val="auto"/>
              </w:rPr>
            </w:pPr>
            <w:r>
              <w:rPr>
                <w:rFonts w:ascii="Arial" w:cs="Arial" w:eastAsia="Arial" w:hAnsi="Arial"/>
                <w:sz w:val="7"/>
                <w:szCs w:val="7"/>
                <w:color w:val="auto"/>
              </w:rPr>
              <w:t>927,358</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7"/>
                <w:szCs w:val="7"/>
                <w:color w:val="auto"/>
              </w:rPr>
              <w:t>759,045,973</w:t>
            </w:r>
          </w:p>
        </w:tc>
      </w:tr>
      <w:tr>
        <w:trPr>
          <w:trHeight w:val="111"/>
        </w:trPr>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936,458</w:t>
            </w:r>
          </w:p>
        </w:tc>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b w:val="1"/>
                <w:bCs w:val="1"/>
                <w:color w:val="auto"/>
              </w:rPr>
              <w:t>$</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787,545,973</w:t>
            </w:r>
          </w:p>
        </w:tc>
      </w:tr>
    </w:tbl>
    <w:p>
      <w:pPr>
        <w:spacing w:after="0" w:line="34" w:lineRule="exact"/>
        <w:rPr>
          <w:sz w:val="20"/>
          <w:szCs w:val="20"/>
          <w:color w:val="auto"/>
        </w:rPr>
      </w:pPr>
    </w:p>
    <w:p>
      <w:pPr>
        <w:ind w:left="140" w:hanging="113"/>
        <w:spacing w:after="0"/>
        <w:tabs>
          <w:tab w:leader="none" w:pos="140" w:val="left"/>
        </w:tabs>
        <w:numPr>
          <w:ilvl w:val="0"/>
          <w:numId w:val="35"/>
        </w:numPr>
        <w:rPr>
          <w:rFonts w:ascii="Arial" w:cs="Arial" w:eastAsia="Arial" w:hAnsi="Arial"/>
          <w:sz w:val="7"/>
          <w:szCs w:val="7"/>
          <w:color w:val="auto"/>
        </w:rPr>
      </w:pPr>
      <w:r>
        <w:rPr>
          <w:rFonts w:ascii="Arial" w:cs="Arial" w:eastAsia="Arial" w:hAnsi="Arial"/>
          <w:sz w:val="7"/>
          <w:szCs w:val="7"/>
          <w:color w:val="auto"/>
        </w:rPr>
        <w:t>Acquisition price represents purchase price for consolidated acquisitions and purchase price or imputed value for joint venture properties.</w:t>
      </w:r>
    </w:p>
    <w:p>
      <w:pPr>
        <w:spacing w:after="0" w:line="138" w:lineRule="exact"/>
        <w:rPr>
          <w:rFonts w:ascii="Arial" w:cs="Arial" w:eastAsia="Arial" w:hAnsi="Arial"/>
          <w:sz w:val="7"/>
          <w:szCs w:val="7"/>
          <w:color w:val="auto"/>
        </w:rPr>
      </w:pPr>
    </w:p>
    <w:p>
      <w:pPr>
        <w:ind w:left="140" w:hanging="113"/>
        <w:spacing w:after="0"/>
        <w:tabs>
          <w:tab w:leader="none" w:pos="140" w:val="left"/>
        </w:tabs>
        <w:numPr>
          <w:ilvl w:val="0"/>
          <w:numId w:val="35"/>
        </w:numPr>
        <w:rPr>
          <w:rFonts w:ascii="Arial" w:cs="Arial" w:eastAsia="Arial" w:hAnsi="Arial"/>
          <w:sz w:val="7"/>
          <w:szCs w:val="7"/>
          <w:color w:val="auto"/>
        </w:rPr>
      </w:pPr>
      <w:r>
        <w:rPr>
          <w:rFonts w:ascii="Arial" w:cs="Arial" w:eastAsia="Arial" w:hAnsi="Arial"/>
          <w:sz w:val="7"/>
          <w:szCs w:val="7"/>
          <w:color w:val="auto"/>
        </w:rPr>
        <w:t>Subject to long-term, third party net operating leases.</w:t>
      </w:r>
    </w:p>
    <w:p>
      <w:pPr>
        <w:sectPr>
          <w:pgSz w:w="11900" w:h="16838" w:orient="portrait"/>
          <w:cols w:equalWidth="0" w:num="1">
            <w:col w:w="10100"/>
          </w:cols>
          <w:pgMar w:left="900" w:top="338" w:right="899" w:bottom="1440" w:gutter="0" w:footer="0" w:header="0"/>
        </w:sectPr>
      </w:pPr>
    </w:p>
    <w:p>
      <w:pPr>
        <w:spacing w:after="0" w:line="341"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52</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REAL ESTATE SALES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1" w:lineRule="exact"/>
        <w:rPr>
          <w:sz w:val="20"/>
          <w:szCs w:val="20"/>
          <w:color w:val="auto"/>
        </w:rPr>
      </w:pPr>
    </w:p>
    <w:p>
      <w:pPr>
        <w:ind w:right="5960"/>
        <w:spacing w:after="0" w:line="234" w:lineRule="auto"/>
        <w:rPr>
          <w:sz w:val="20"/>
          <w:szCs w:val="20"/>
          <w:color w:val="auto"/>
        </w:rPr>
      </w:pPr>
      <w:r>
        <w:rPr>
          <w:rFonts w:ascii="Arial" w:cs="Arial" w:eastAsia="Arial" w:hAnsi="Arial"/>
          <w:sz w:val="15"/>
          <w:szCs w:val="15"/>
          <w:b w:val="1"/>
          <w:bCs w:val="1"/>
          <w:color w:val="auto"/>
        </w:rPr>
        <w:t>Retail, Residential, Development / Redevelopment and Land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Sales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4"/>
          </w:tcPr>
          <w:p>
            <w:pPr>
              <w:jc w:val="center"/>
              <w:ind w:right="240"/>
              <w:spacing w:after="0"/>
              <w:rPr>
                <w:sz w:val="20"/>
                <w:szCs w:val="20"/>
                <w:color w:val="auto"/>
              </w:rPr>
            </w:pPr>
            <w:r>
              <w:rPr>
                <w:rFonts w:ascii="Arial" w:cs="Arial" w:eastAsia="Arial" w:hAnsi="Arial"/>
                <w:sz w:val="9"/>
                <w:szCs w:val="9"/>
                <w:b w:val="1"/>
                <w:bCs w:val="1"/>
                <w:color w:val="auto"/>
                <w:w w:val="93"/>
              </w:rPr>
              <w:t>Sales</w:t>
            </w:r>
          </w:p>
        </w:tc>
      </w:tr>
      <w:tr>
        <w:trPr>
          <w:trHeight w:val="204"/>
        </w:trPr>
        <w:tc>
          <w:tcPr>
            <w:tcW w:w="120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Arial" w:cs="Arial" w:eastAsia="Arial" w:hAnsi="Arial"/>
                <w:sz w:val="9"/>
                <w:szCs w:val="9"/>
                <w:b w:val="1"/>
                <w:bCs w:val="1"/>
                <w:color w:val="auto"/>
              </w:rPr>
              <w:t>Property</w:t>
            </w:r>
          </w:p>
        </w:tc>
        <w:tc>
          <w:tcPr>
            <w:tcW w:w="1660" w:type="dxa"/>
            <w:vAlign w:val="bottom"/>
            <w:gridSpan w:val="3"/>
          </w:tcPr>
          <w:p>
            <w:pPr>
              <w:ind w:left="460"/>
              <w:spacing w:after="0"/>
              <w:rPr>
                <w:sz w:val="20"/>
                <w:szCs w:val="20"/>
                <w:color w:val="auto"/>
              </w:rPr>
            </w:pPr>
            <w:r>
              <w:rPr>
                <w:rFonts w:ascii="Arial" w:cs="Arial" w:eastAsia="Arial" w:hAnsi="Arial"/>
                <w:sz w:val="9"/>
                <w:szCs w:val="9"/>
                <w:b w:val="1"/>
                <w:bCs w:val="1"/>
                <w:color w:val="auto"/>
              </w:rPr>
              <w:t>Type of Ownership</w:t>
            </w:r>
          </w:p>
        </w:tc>
        <w:tc>
          <w:tcPr>
            <w:tcW w:w="2300" w:type="dxa"/>
            <w:vAlign w:val="bottom"/>
            <w:gridSpan w:val="3"/>
          </w:tcPr>
          <w:p>
            <w:pPr>
              <w:ind w:left="420"/>
              <w:spacing w:after="0"/>
              <w:rPr>
                <w:sz w:val="20"/>
                <w:szCs w:val="20"/>
                <w:color w:val="auto"/>
              </w:rPr>
            </w:pPr>
            <w:r>
              <w:rPr>
                <w:rFonts w:ascii="Arial" w:cs="Arial" w:eastAsia="Arial" w:hAnsi="Arial"/>
                <w:sz w:val="9"/>
                <w:szCs w:val="9"/>
                <w:b w:val="1"/>
                <w:bCs w:val="1"/>
                <w:color w:val="auto"/>
              </w:rPr>
              <w:t>Submarket</w:t>
            </w:r>
          </w:p>
        </w:tc>
        <w:tc>
          <w:tcPr>
            <w:tcW w:w="1220" w:type="dxa"/>
            <w:vAlign w:val="bottom"/>
            <w:gridSpan w:val="6"/>
          </w:tcPr>
          <w:p>
            <w:pPr>
              <w:spacing w:after="0"/>
              <w:rPr>
                <w:sz w:val="20"/>
                <w:szCs w:val="20"/>
                <w:color w:val="auto"/>
              </w:rPr>
            </w:pPr>
            <w:r>
              <w:rPr>
                <w:rFonts w:ascii="Arial" w:cs="Arial" w:eastAsia="Arial" w:hAnsi="Arial"/>
                <w:sz w:val="9"/>
                <w:szCs w:val="9"/>
                <w:b w:val="1"/>
                <w:bCs w:val="1"/>
                <w:color w:val="auto"/>
              </w:rPr>
              <w:t>Net Rentable SF</w:t>
            </w:r>
          </w:p>
        </w:tc>
        <w:tc>
          <w:tcPr>
            <w:tcW w:w="1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 xml:space="preserve">Price </w:t>
            </w:r>
            <w:r>
              <w:rPr>
                <w:rFonts w:ascii="Arial" w:cs="Arial" w:eastAsia="Arial" w:hAnsi="Arial"/>
                <w:sz w:val="9"/>
                <w:szCs w:val="9"/>
                <w:b w:val="1"/>
                <w:bCs w:val="1"/>
                <w:u w:val="single" w:color="auto"/>
                <w:color w:val="auto"/>
                <w:w w:val="93"/>
              </w:rPr>
              <w:t>($</w:t>
            </w:r>
            <w:r>
              <w:rPr>
                <w:rFonts w:ascii="Arial" w:cs="Arial" w:eastAsia="Arial" w:hAnsi="Arial"/>
                <w:sz w:val="9"/>
                <w:szCs w:val="9"/>
                <w:b w:val="1"/>
                <w:bCs w:val="1"/>
                <w:color w:val="auto"/>
                <w:w w:val="93"/>
              </w:rPr>
              <w:t>'s)</w:t>
            </w:r>
          </w:p>
        </w:tc>
        <w:tc>
          <w:tcPr>
            <w:tcW w:w="1240" w:type="dxa"/>
            <w:vAlign w:val="bottom"/>
            <w:gridSpan w:val="6"/>
          </w:tcPr>
          <w:p>
            <w:pPr>
              <w:jc w:val="center"/>
              <w:ind w:left="376"/>
              <w:spacing w:after="0"/>
              <w:rPr>
                <w:sz w:val="20"/>
                <w:szCs w:val="20"/>
                <w:color w:val="auto"/>
              </w:rPr>
            </w:pPr>
            <w:r>
              <w:rPr>
                <w:rFonts w:ascii="Arial" w:cs="Arial" w:eastAsia="Arial" w:hAnsi="Arial"/>
                <w:sz w:val="9"/>
                <w:szCs w:val="9"/>
                <w:b w:val="1"/>
                <w:bCs w:val="1"/>
                <w:color w:val="auto"/>
                <w:w w:val="95"/>
              </w:rPr>
              <w:t xml:space="preserve">Price </w:t>
            </w:r>
            <w:r>
              <w:rPr>
                <w:rFonts w:ascii="Arial" w:cs="Arial" w:eastAsia="Arial" w:hAnsi="Arial"/>
                <w:sz w:val="9"/>
                <w:szCs w:val="9"/>
                <w:b w:val="1"/>
                <w:bCs w:val="1"/>
                <w:u w:val="single" w:color="auto"/>
                <w:color w:val="auto"/>
                <w:w w:val="95"/>
              </w:rPr>
              <w:t>($</w:t>
            </w:r>
            <w:r>
              <w:rPr>
                <w:rFonts w:ascii="Arial" w:cs="Arial" w:eastAsia="Arial" w:hAnsi="Arial"/>
                <w:sz w:val="9"/>
                <w:szCs w:val="9"/>
                <w:b w:val="1"/>
                <w:bCs w:val="1"/>
                <w:color w:val="auto"/>
                <w:w w:val="95"/>
              </w:rPr>
              <w:t>'s/SF)</w:t>
            </w:r>
          </w:p>
        </w:tc>
      </w:tr>
      <w:tr>
        <w:trPr>
          <w:trHeight w:val="223"/>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2011 - 2015 Sales</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01"/>
        </w:trPr>
        <w:tc>
          <w:tcPr>
            <w:tcW w:w="1200" w:type="dxa"/>
            <w:vAlign w:val="bottom"/>
          </w:tcPr>
          <w:p>
            <w:pPr>
              <w:jc w:val="center"/>
              <w:spacing w:after="0"/>
              <w:rPr>
                <w:sz w:val="20"/>
                <w:szCs w:val="20"/>
                <w:color w:val="auto"/>
              </w:rPr>
            </w:pPr>
            <w:r>
              <w:rPr>
                <w:rFonts w:ascii="Arial" w:cs="Arial" w:eastAsia="Arial" w:hAnsi="Arial"/>
                <w:sz w:val="9"/>
                <w:szCs w:val="9"/>
                <w:color w:val="auto"/>
                <w:w w:val="96"/>
              </w:rPr>
              <w:t>Sep-11</w:t>
            </w:r>
          </w:p>
        </w:tc>
        <w:tc>
          <w:tcPr>
            <w:tcW w:w="1700" w:type="dxa"/>
            <w:vAlign w:val="bottom"/>
            <w:gridSpan w:val="3"/>
          </w:tcPr>
          <w:p>
            <w:pPr>
              <w:spacing w:after="0"/>
              <w:rPr>
                <w:sz w:val="20"/>
                <w:szCs w:val="20"/>
                <w:color w:val="auto"/>
              </w:rPr>
            </w:pPr>
            <w:r>
              <w:rPr>
                <w:rFonts w:ascii="Arial" w:cs="Arial" w:eastAsia="Arial" w:hAnsi="Arial"/>
                <w:sz w:val="9"/>
                <w:szCs w:val="9"/>
                <w:color w:val="auto"/>
              </w:rPr>
              <w:t xml:space="preserve">1551-1555 Broadway </w:t>
            </w:r>
            <w:r>
              <w:rPr>
                <w:rFonts w:ascii="Arial" w:cs="Arial" w:eastAsia="Arial" w:hAnsi="Arial"/>
                <w:sz w:val="5"/>
                <w:szCs w:val="5"/>
                <w:color w:val="auto"/>
              </w:rPr>
              <w:t>(1)</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Times Square</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25,600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276,757,000</w:t>
            </w:r>
          </w:p>
        </w:tc>
        <w:tc>
          <w:tcPr>
            <w:tcW w:w="1060" w:type="dxa"/>
            <w:vAlign w:val="bottom"/>
            <w:gridSpan w:val="4"/>
          </w:tcPr>
          <w:p>
            <w:pPr>
              <w:jc w:val="right"/>
              <w:spacing w:after="0"/>
              <w:rPr>
                <w:sz w:val="20"/>
                <w:szCs w:val="20"/>
                <w:color w:val="auto"/>
              </w:rPr>
            </w:pPr>
            <w:r>
              <w:rPr>
                <w:rFonts w:ascii="Arial" w:cs="Arial" w:eastAsia="Arial" w:hAnsi="Arial"/>
                <w:sz w:val="9"/>
                <w:szCs w:val="9"/>
                <w:color w:val="auto"/>
              </w:rPr>
              <w:t>$ 10,811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Feb-12</w:t>
            </w:r>
          </w:p>
        </w:tc>
        <w:tc>
          <w:tcPr>
            <w:tcW w:w="160" w:type="dxa"/>
            <w:vAlign w:val="bottom"/>
          </w:tcPr>
          <w:p>
            <w:pPr>
              <w:spacing w:after="0"/>
              <w:rPr>
                <w:sz w:val="20"/>
                <w:szCs w:val="20"/>
                <w:color w:val="auto"/>
              </w:rPr>
            </w:pPr>
            <w:r>
              <w:rPr>
                <w:rFonts w:ascii="Arial" w:cs="Arial" w:eastAsia="Arial" w:hAnsi="Arial"/>
                <w:sz w:val="9"/>
                <w:szCs w:val="9"/>
                <w:color w:val="auto"/>
                <w:w w:val="92"/>
              </w:rPr>
              <w:t>141</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 xml:space="preserve">Fifth Avenue </w:t>
            </w:r>
            <w:r>
              <w:rPr>
                <w:rFonts w:ascii="Arial" w:cs="Arial" w:eastAsia="Arial" w:hAnsi="Arial"/>
                <w:sz w:val="5"/>
                <w:szCs w:val="5"/>
                <w:color w:val="auto"/>
              </w:rPr>
              <w:t>(2)</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Flatiron</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13,000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46,000,000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3,538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Feb-12</w:t>
            </w:r>
          </w:p>
        </w:tc>
        <w:tc>
          <w:tcPr>
            <w:tcW w:w="160" w:type="dxa"/>
            <w:vAlign w:val="bottom"/>
          </w:tcPr>
          <w:p>
            <w:pPr>
              <w:spacing w:after="0"/>
              <w:rPr>
                <w:sz w:val="20"/>
                <w:szCs w:val="20"/>
                <w:color w:val="auto"/>
              </w:rPr>
            </w:pPr>
            <w:r>
              <w:rPr>
                <w:rFonts w:ascii="Arial" w:cs="Arial" w:eastAsia="Arial" w:hAnsi="Arial"/>
                <w:sz w:val="9"/>
                <w:szCs w:val="9"/>
                <w:color w:val="auto"/>
                <w:w w:val="92"/>
              </w:rPr>
              <w:t>292</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Madison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Grand Central South</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203,800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85,000,000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Apr-12</w:t>
            </w:r>
          </w:p>
        </w:tc>
        <w:tc>
          <w:tcPr>
            <w:tcW w:w="160" w:type="dxa"/>
            <w:vAlign w:val="bottom"/>
          </w:tcPr>
          <w:p>
            <w:pPr>
              <w:spacing w:after="0"/>
              <w:rPr>
                <w:sz w:val="20"/>
                <w:szCs w:val="20"/>
                <w:color w:val="auto"/>
              </w:rPr>
            </w:pPr>
            <w:r>
              <w:rPr>
                <w:rFonts w:ascii="Arial" w:cs="Arial" w:eastAsia="Arial" w:hAnsi="Arial"/>
                <w:sz w:val="9"/>
                <w:szCs w:val="9"/>
                <w:color w:val="auto"/>
                <w:w w:val="92"/>
              </w:rPr>
              <w:t>379</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West Broadway</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Leasehold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Lower Manhattan</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62,006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48,500,000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782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4"/>
              </w:rPr>
              <w:t>Jun-12</w:t>
            </w:r>
          </w:p>
        </w:tc>
        <w:tc>
          <w:tcPr>
            <w:tcW w:w="160" w:type="dxa"/>
            <w:vAlign w:val="bottom"/>
          </w:tcPr>
          <w:p>
            <w:pPr>
              <w:spacing w:after="0"/>
              <w:rPr>
                <w:sz w:val="20"/>
                <w:szCs w:val="20"/>
                <w:color w:val="auto"/>
              </w:rPr>
            </w:pPr>
            <w:r>
              <w:rPr>
                <w:rFonts w:ascii="Arial" w:cs="Arial" w:eastAsia="Arial" w:hAnsi="Arial"/>
                <w:sz w:val="9"/>
                <w:szCs w:val="9"/>
                <w:color w:val="auto"/>
                <w:w w:val="92"/>
              </w:rPr>
              <w:t>717</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 xml:space="preserve">Fifth Avenue </w:t>
            </w:r>
            <w:r>
              <w:rPr>
                <w:rFonts w:ascii="Arial" w:cs="Arial" w:eastAsia="Arial" w:hAnsi="Arial"/>
                <w:sz w:val="5"/>
                <w:szCs w:val="5"/>
                <w:color w:val="auto"/>
              </w:rPr>
              <w:t>(3)</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Midtown/Plaza District</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119,550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617,583,774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5,166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Sep-12</w:t>
            </w:r>
          </w:p>
        </w:tc>
        <w:tc>
          <w:tcPr>
            <w:tcW w:w="1700" w:type="dxa"/>
            <w:vAlign w:val="bottom"/>
            <w:gridSpan w:val="3"/>
          </w:tcPr>
          <w:p>
            <w:pPr>
              <w:spacing w:after="0"/>
              <w:rPr>
                <w:sz w:val="20"/>
                <w:szCs w:val="20"/>
                <w:color w:val="auto"/>
              </w:rPr>
            </w:pPr>
            <w:r>
              <w:rPr>
                <w:rFonts w:ascii="Arial" w:cs="Arial" w:eastAsia="Arial" w:hAnsi="Arial"/>
                <w:sz w:val="9"/>
                <w:szCs w:val="9"/>
                <w:color w:val="auto"/>
              </w:rPr>
              <w:t xml:space="preserve">3 Columbus Circle </w:t>
            </w:r>
            <w:r>
              <w:rPr>
                <w:rFonts w:ascii="Arial" w:cs="Arial" w:eastAsia="Arial" w:hAnsi="Arial"/>
                <w:sz w:val="5"/>
                <w:szCs w:val="5"/>
                <w:color w:val="auto"/>
              </w:rPr>
              <w:t>(4)</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Columbus Circle</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214,372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143,600,000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670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Feb-13</w:t>
            </w:r>
          </w:p>
        </w:tc>
        <w:tc>
          <w:tcPr>
            <w:tcW w:w="1700" w:type="dxa"/>
            <w:vAlign w:val="bottom"/>
            <w:gridSpan w:val="3"/>
          </w:tcPr>
          <w:p>
            <w:pPr>
              <w:spacing w:after="0"/>
              <w:rPr>
                <w:sz w:val="20"/>
                <w:szCs w:val="20"/>
                <w:color w:val="auto"/>
              </w:rPr>
            </w:pPr>
            <w:r>
              <w:rPr>
                <w:rFonts w:ascii="Arial" w:cs="Arial" w:eastAsia="Arial" w:hAnsi="Arial"/>
                <w:sz w:val="9"/>
                <w:szCs w:val="9"/>
                <w:color w:val="auto"/>
              </w:rPr>
              <w:t>44 West 55th Street</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Plaza District</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8,557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6,250,000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4"/>
              </w:rPr>
              <w:t>Jun-13</w:t>
            </w:r>
          </w:p>
        </w:tc>
        <w:tc>
          <w:tcPr>
            <w:tcW w:w="1700" w:type="dxa"/>
            <w:vAlign w:val="bottom"/>
            <w:gridSpan w:val="3"/>
          </w:tcPr>
          <w:p>
            <w:pPr>
              <w:spacing w:after="0"/>
              <w:rPr>
                <w:sz w:val="20"/>
                <w:szCs w:val="20"/>
                <w:color w:val="auto"/>
              </w:rPr>
            </w:pPr>
            <w:r>
              <w:rPr>
                <w:rFonts w:ascii="Arial" w:cs="Arial" w:eastAsia="Arial" w:hAnsi="Arial"/>
                <w:sz w:val="9"/>
                <w:szCs w:val="9"/>
                <w:color w:val="auto"/>
              </w:rPr>
              <w:t>West Coast Office Portfolio</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Los Angeles, California</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406,740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111,925,000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275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Aug-13</w:t>
            </w:r>
          </w:p>
        </w:tc>
        <w:tc>
          <w:tcPr>
            <w:tcW w:w="1700" w:type="dxa"/>
            <w:vAlign w:val="bottom"/>
            <w:gridSpan w:val="3"/>
          </w:tcPr>
          <w:p>
            <w:pPr>
              <w:spacing w:after="0"/>
              <w:rPr>
                <w:sz w:val="20"/>
                <w:szCs w:val="20"/>
                <w:color w:val="auto"/>
              </w:rPr>
            </w:pPr>
            <w:r>
              <w:rPr>
                <w:rFonts w:ascii="Arial" w:cs="Arial" w:eastAsia="Arial" w:hAnsi="Arial"/>
                <w:sz w:val="9"/>
                <w:szCs w:val="9"/>
                <w:color w:val="auto"/>
              </w:rPr>
              <w:t>West Coast Office Portfolio</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Fountain Valley, California</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302,037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66,993,750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Sep-13</w:t>
            </w:r>
          </w:p>
        </w:tc>
        <w:tc>
          <w:tcPr>
            <w:tcW w:w="1700" w:type="dxa"/>
            <w:vAlign w:val="bottom"/>
            <w:gridSpan w:val="3"/>
          </w:tcPr>
          <w:p>
            <w:pPr>
              <w:spacing w:after="0"/>
              <w:rPr>
                <w:sz w:val="20"/>
                <w:szCs w:val="20"/>
                <w:color w:val="auto"/>
              </w:rPr>
            </w:pPr>
            <w:r>
              <w:rPr>
                <w:rFonts w:ascii="Arial" w:cs="Arial" w:eastAsia="Arial" w:hAnsi="Arial"/>
                <w:sz w:val="9"/>
                <w:szCs w:val="9"/>
                <w:color w:val="auto"/>
              </w:rPr>
              <w:t>West Coast Office Portfolio</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San Diego, California</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110,511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45,400,000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Dec-13</w:t>
            </w:r>
          </w:p>
        </w:tc>
        <w:tc>
          <w:tcPr>
            <w:tcW w:w="1700" w:type="dxa"/>
            <w:vAlign w:val="bottom"/>
            <w:gridSpan w:val="3"/>
          </w:tcPr>
          <w:p>
            <w:pPr>
              <w:spacing w:after="0"/>
              <w:rPr>
                <w:sz w:val="20"/>
                <w:szCs w:val="20"/>
                <w:color w:val="auto"/>
              </w:rPr>
            </w:pPr>
            <w:r>
              <w:rPr>
                <w:rFonts w:ascii="Arial" w:cs="Arial" w:eastAsia="Arial" w:hAnsi="Arial"/>
                <w:sz w:val="9"/>
                <w:szCs w:val="9"/>
                <w:color w:val="auto"/>
              </w:rPr>
              <w:t>27-29 West 34th Street</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Herald Square/Penn Station</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15,600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70,052,158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4,491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4"/>
              </w:rPr>
              <w:t>Jan-14</w:t>
            </w:r>
          </w:p>
        </w:tc>
        <w:tc>
          <w:tcPr>
            <w:tcW w:w="1700" w:type="dxa"/>
            <w:vAlign w:val="bottom"/>
            <w:gridSpan w:val="3"/>
          </w:tcPr>
          <w:p>
            <w:pPr>
              <w:spacing w:after="0"/>
              <w:rPr>
                <w:sz w:val="20"/>
                <w:szCs w:val="20"/>
                <w:color w:val="auto"/>
              </w:rPr>
            </w:pPr>
            <w:r>
              <w:rPr>
                <w:rFonts w:ascii="Arial" w:cs="Arial" w:eastAsia="Arial" w:hAnsi="Arial"/>
                <w:sz w:val="9"/>
                <w:szCs w:val="9"/>
                <w:color w:val="auto"/>
              </w:rPr>
              <w:t>21-25 West 34th Street</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Herald Square/Penn Station</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30,100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114,947,844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3,819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Mar-14</w:t>
            </w:r>
          </w:p>
        </w:tc>
        <w:tc>
          <w:tcPr>
            <w:tcW w:w="1700" w:type="dxa"/>
            <w:vAlign w:val="bottom"/>
            <w:gridSpan w:val="3"/>
          </w:tcPr>
          <w:p>
            <w:pPr>
              <w:spacing w:after="0"/>
              <w:rPr>
                <w:sz w:val="20"/>
                <w:szCs w:val="20"/>
                <w:color w:val="auto"/>
              </w:rPr>
            </w:pPr>
            <w:r>
              <w:rPr>
                <w:rFonts w:ascii="Arial" w:cs="Arial" w:eastAsia="Arial" w:hAnsi="Arial"/>
                <w:sz w:val="9"/>
                <w:szCs w:val="9"/>
                <w:color w:val="auto"/>
              </w:rPr>
              <w:t>West Coast Office Portfolio</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3,654,315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756,000,000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207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9"/>
              </w:rPr>
              <w:t>May-14</w:t>
            </w:r>
          </w:p>
        </w:tc>
        <w:tc>
          <w:tcPr>
            <w:tcW w:w="160" w:type="dxa"/>
            <w:vAlign w:val="bottom"/>
          </w:tcPr>
          <w:p>
            <w:pPr>
              <w:spacing w:after="0"/>
              <w:rPr>
                <w:sz w:val="20"/>
                <w:szCs w:val="20"/>
                <w:color w:val="auto"/>
              </w:rPr>
            </w:pPr>
            <w:r>
              <w:rPr>
                <w:rFonts w:ascii="Arial" w:cs="Arial" w:eastAsia="Arial" w:hAnsi="Arial"/>
                <w:sz w:val="9"/>
                <w:szCs w:val="9"/>
                <w:color w:val="auto"/>
                <w:w w:val="92"/>
              </w:rPr>
              <w:t>747</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Madison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Plaza District</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10,000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160,000,000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w w:val="94"/>
              </w:rPr>
              <w:t>16,000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7"/>
              </w:rPr>
              <w:t>Jul-14</w:t>
            </w:r>
          </w:p>
        </w:tc>
        <w:tc>
          <w:tcPr>
            <w:tcW w:w="1700" w:type="dxa"/>
            <w:vAlign w:val="bottom"/>
            <w:gridSpan w:val="3"/>
          </w:tcPr>
          <w:p>
            <w:pPr>
              <w:spacing w:after="0"/>
              <w:rPr>
                <w:sz w:val="20"/>
                <w:szCs w:val="20"/>
                <w:color w:val="auto"/>
              </w:rPr>
            </w:pPr>
            <w:r>
              <w:rPr>
                <w:rFonts w:ascii="Arial" w:cs="Arial" w:eastAsia="Arial" w:hAnsi="Arial"/>
                <w:sz w:val="9"/>
                <w:szCs w:val="9"/>
                <w:color w:val="auto"/>
              </w:rPr>
              <w:t>985-987 Third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Upper East Side</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13,678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68,700,000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5,023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Sep-14</w:t>
            </w:r>
          </w:p>
        </w:tc>
        <w:tc>
          <w:tcPr>
            <w:tcW w:w="1700" w:type="dxa"/>
            <w:vAlign w:val="bottom"/>
            <w:gridSpan w:val="3"/>
          </w:tcPr>
          <w:p>
            <w:pPr>
              <w:spacing w:after="0"/>
              <w:rPr>
                <w:sz w:val="20"/>
                <w:szCs w:val="20"/>
                <w:color w:val="auto"/>
              </w:rPr>
            </w:pPr>
            <w:r>
              <w:rPr>
                <w:rFonts w:ascii="Arial" w:cs="Arial" w:eastAsia="Arial" w:hAnsi="Arial"/>
                <w:sz w:val="9"/>
                <w:szCs w:val="9"/>
                <w:color w:val="auto"/>
              </w:rPr>
              <w:t>180-182 Broadway</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Lower Manhattan</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156,086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222,500,000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1,425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Nov-14</w:t>
            </w:r>
          </w:p>
        </w:tc>
        <w:tc>
          <w:tcPr>
            <w:tcW w:w="1700" w:type="dxa"/>
            <w:vAlign w:val="bottom"/>
            <w:gridSpan w:val="3"/>
          </w:tcPr>
          <w:p>
            <w:pPr>
              <w:spacing w:after="0"/>
              <w:rPr>
                <w:sz w:val="20"/>
                <w:szCs w:val="20"/>
                <w:color w:val="auto"/>
              </w:rPr>
            </w:pPr>
            <w:r>
              <w:rPr>
                <w:rFonts w:ascii="Arial" w:cs="Arial" w:eastAsia="Arial" w:hAnsi="Arial"/>
                <w:sz w:val="9"/>
                <w:szCs w:val="9"/>
                <w:color w:val="auto"/>
              </w:rPr>
              <w:t>2 Herald Square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Herald Square/Penn Station</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354,400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365,000,000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1,030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4"/>
              </w:rPr>
              <w:t>Jan-15</w:t>
            </w:r>
          </w:p>
        </w:tc>
        <w:tc>
          <w:tcPr>
            <w:tcW w:w="160" w:type="dxa"/>
            <w:vAlign w:val="bottom"/>
          </w:tcPr>
          <w:p>
            <w:pPr>
              <w:spacing w:after="0"/>
              <w:rPr>
                <w:sz w:val="20"/>
                <w:szCs w:val="20"/>
                <w:color w:val="auto"/>
              </w:rPr>
            </w:pPr>
            <w:r>
              <w:rPr>
                <w:rFonts w:ascii="Arial" w:cs="Arial" w:eastAsia="Arial" w:hAnsi="Arial"/>
                <w:sz w:val="9"/>
                <w:szCs w:val="9"/>
                <w:color w:val="auto"/>
                <w:w w:val="92"/>
              </w:rPr>
              <w:t>180</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Maiden Lane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Financial East</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1,090,000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470,000,000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7"/>
        </w:trPr>
        <w:tc>
          <w:tcPr>
            <w:tcW w:w="1200" w:type="dxa"/>
            <w:vAlign w:val="bottom"/>
          </w:tcPr>
          <w:p>
            <w:pPr>
              <w:jc w:val="center"/>
              <w:spacing w:after="0"/>
              <w:rPr>
                <w:sz w:val="20"/>
                <w:szCs w:val="20"/>
                <w:color w:val="auto"/>
              </w:rPr>
            </w:pPr>
            <w:r>
              <w:rPr>
                <w:rFonts w:ascii="Arial" w:cs="Arial" w:eastAsia="Arial" w:hAnsi="Arial"/>
                <w:sz w:val="9"/>
                <w:szCs w:val="9"/>
                <w:color w:val="auto"/>
                <w:w w:val="96"/>
              </w:rPr>
              <w:t>Dec-15</w:t>
            </w:r>
          </w:p>
        </w:tc>
        <w:tc>
          <w:tcPr>
            <w:tcW w:w="160" w:type="dxa"/>
            <w:vAlign w:val="bottom"/>
          </w:tcPr>
          <w:p>
            <w:pPr>
              <w:spacing w:after="0"/>
              <w:rPr>
                <w:sz w:val="20"/>
                <w:szCs w:val="20"/>
                <w:color w:val="auto"/>
              </w:rPr>
            </w:pPr>
            <w:r>
              <w:rPr>
                <w:rFonts w:ascii="Arial" w:cs="Arial" w:eastAsia="Arial" w:hAnsi="Arial"/>
                <w:sz w:val="9"/>
                <w:szCs w:val="9"/>
                <w:color w:val="auto"/>
                <w:w w:val="92"/>
              </w:rPr>
              <w:t>570</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&amp; 574 Fifth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Plaza District</w:t>
            </w:r>
          </w:p>
        </w:tc>
        <w:tc>
          <w:tcPr>
            <w:tcW w:w="8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24,327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125,400,000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5,155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0"/>
        </w:trPr>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b w:val="1"/>
                <w:bCs w:val="1"/>
                <w:color w:val="auto"/>
              </w:rPr>
              <w:t>6,814,679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b w:val="1"/>
                <w:bCs w:val="1"/>
                <w:color w:val="auto"/>
                <w:w w:val="78"/>
              </w:rPr>
              <w:t>$</w:t>
            </w:r>
          </w:p>
        </w:tc>
        <w:tc>
          <w:tcPr>
            <w:tcW w:w="6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w w:val="97"/>
              </w:rPr>
              <w:t>3,800,609,526</w:t>
            </w:r>
          </w:p>
        </w:tc>
        <w:tc>
          <w:tcPr>
            <w:tcW w:w="740" w:type="dxa"/>
            <w:vAlign w:val="bottom"/>
            <w:gridSpan w:val="3"/>
          </w:tcPr>
          <w:p>
            <w:pPr>
              <w:jc w:val="right"/>
              <w:spacing w:after="0"/>
              <w:rPr>
                <w:sz w:val="20"/>
                <w:szCs w:val="20"/>
                <w:color w:val="auto"/>
              </w:rPr>
            </w:pPr>
            <w:r>
              <w:rPr>
                <w:rFonts w:ascii="Arial" w:cs="Arial" w:eastAsia="Arial" w:hAnsi="Arial"/>
                <w:sz w:val="9"/>
                <w:szCs w:val="9"/>
                <w:b w:val="1"/>
                <w:bCs w:val="1"/>
                <w:color w:val="auto"/>
              </w:rPr>
              <w:t>$</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558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7"/>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2016 Sales</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01"/>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Feb-16</w:t>
            </w:r>
          </w:p>
        </w:tc>
        <w:tc>
          <w:tcPr>
            <w:tcW w:w="1700" w:type="dxa"/>
            <w:vAlign w:val="bottom"/>
            <w:gridSpan w:val="3"/>
          </w:tcPr>
          <w:p>
            <w:pPr>
              <w:spacing w:after="0"/>
              <w:rPr>
                <w:sz w:val="20"/>
                <w:szCs w:val="20"/>
                <w:color w:val="auto"/>
              </w:rPr>
            </w:pPr>
            <w:r>
              <w:rPr>
                <w:rFonts w:ascii="Arial" w:cs="Arial" w:eastAsia="Arial" w:hAnsi="Arial"/>
                <w:sz w:val="9"/>
                <w:szCs w:val="9"/>
                <w:color w:val="auto"/>
              </w:rPr>
              <w:t>248-252 Bedford Avenue - 90%</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Brooklyn, New York</w:t>
            </w: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66,611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55,000,000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826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Feb-16</w:t>
            </w:r>
          </w:p>
        </w:tc>
        <w:tc>
          <w:tcPr>
            <w:tcW w:w="160" w:type="dxa"/>
            <w:vAlign w:val="bottom"/>
          </w:tcPr>
          <w:p>
            <w:pPr>
              <w:spacing w:after="0"/>
              <w:rPr>
                <w:sz w:val="20"/>
                <w:szCs w:val="20"/>
                <w:color w:val="auto"/>
              </w:rPr>
            </w:pPr>
            <w:r>
              <w:rPr>
                <w:rFonts w:ascii="Arial" w:cs="Arial" w:eastAsia="Arial" w:hAnsi="Arial"/>
                <w:sz w:val="9"/>
                <w:szCs w:val="9"/>
                <w:color w:val="auto"/>
                <w:w w:val="92"/>
              </w:rPr>
              <w:t>885</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Midtown / Plaza District</w:t>
            </w:r>
          </w:p>
        </w:tc>
        <w:tc>
          <w:tcPr>
            <w:tcW w:w="300" w:type="dxa"/>
            <w:vAlign w:val="bottom"/>
            <w:gridSpan w:val="2"/>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2"/>
              </w:rPr>
              <w:t>607,000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453,000,000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746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9"/>
                <w:szCs w:val="9"/>
                <w:color w:val="auto"/>
                <w:w w:val="99"/>
              </w:rPr>
              <w:t>May-16</w:t>
            </w:r>
          </w:p>
        </w:tc>
        <w:tc>
          <w:tcPr>
            <w:tcW w:w="1700" w:type="dxa"/>
            <w:vAlign w:val="bottom"/>
            <w:gridSpan w:val="3"/>
          </w:tcPr>
          <w:p>
            <w:pPr>
              <w:spacing w:after="0"/>
              <w:rPr>
                <w:sz w:val="20"/>
                <w:szCs w:val="20"/>
                <w:color w:val="auto"/>
              </w:rPr>
            </w:pPr>
            <w:r>
              <w:rPr>
                <w:rFonts w:ascii="Arial" w:cs="Arial" w:eastAsia="Arial" w:hAnsi="Arial"/>
                <w:sz w:val="9"/>
                <w:szCs w:val="9"/>
                <w:color w:val="auto"/>
              </w:rPr>
              <w:t>33 Beekman Street</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Downtown</w:t>
            </w:r>
          </w:p>
        </w:tc>
        <w:tc>
          <w:tcPr>
            <w:tcW w:w="8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163,500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196,000,000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1,199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0"/>
        </w:trPr>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b w:val="1"/>
                <w:bCs w:val="1"/>
                <w:color w:val="auto"/>
              </w:rPr>
              <w:t>837,111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b w:val="1"/>
                <w:bCs w:val="1"/>
                <w:color w:val="auto"/>
                <w:w w:val="78"/>
              </w:rPr>
              <w:t>$</w:t>
            </w:r>
          </w:p>
        </w:tc>
        <w:tc>
          <w:tcPr>
            <w:tcW w:w="6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704,000,000</w:t>
            </w:r>
          </w:p>
        </w:tc>
        <w:tc>
          <w:tcPr>
            <w:tcW w:w="740" w:type="dxa"/>
            <w:vAlign w:val="bottom"/>
            <w:gridSpan w:val="3"/>
          </w:tcPr>
          <w:p>
            <w:pPr>
              <w:jc w:val="right"/>
              <w:spacing w:after="0"/>
              <w:rPr>
                <w:sz w:val="20"/>
                <w:szCs w:val="20"/>
                <w:color w:val="auto"/>
              </w:rPr>
            </w:pPr>
            <w:r>
              <w:rPr>
                <w:rFonts w:ascii="Arial" w:cs="Arial" w:eastAsia="Arial" w:hAnsi="Arial"/>
                <w:sz w:val="9"/>
                <w:szCs w:val="9"/>
                <w:b w:val="1"/>
                <w:bCs w:val="1"/>
                <w:color w:val="auto"/>
              </w:rPr>
              <w:t>$</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840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113" w:lineRule="exact"/>
        <w:rPr>
          <w:sz w:val="20"/>
          <w:szCs w:val="20"/>
          <w:color w:val="auto"/>
        </w:rPr>
      </w:pPr>
    </w:p>
    <w:p>
      <w:pPr>
        <w:ind w:left="160" w:hanging="128"/>
        <w:spacing w:after="0"/>
        <w:tabs>
          <w:tab w:leader="none" w:pos="160" w:val="left"/>
        </w:tabs>
        <w:numPr>
          <w:ilvl w:val="0"/>
          <w:numId w:val="36"/>
        </w:numPr>
        <w:rPr>
          <w:rFonts w:ascii="Arial" w:cs="Arial" w:eastAsia="Arial" w:hAnsi="Arial"/>
          <w:sz w:val="9"/>
          <w:szCs w:val="9"/>
          <w:color w:val="auto"/>
        </w:rPr>
      </w:pPr>
      <w:r>
        <w:rPr>
          <w:rFonts w:ascii="Arial" w:cs="Arial" w:eastAsia="Arial" w:hAnsi="Arial"/>
          <w:sz w:val="9"/>
          <w:szCs w:val="9"/>
          <w:color w:val="auto"/>
        </w:rPr>
        <w:t>Company sold our remaining 10% JV interest in the property at an implied $276.8 million sales price.</w:t>
      </w:r>
    </w:p>
    <w:p>
      <w:pPr>
        <w:spacing w:after="0" w:line="115" w:lineRule="exact"/>
        <w:rPr>
          <w:rFonts w:ascii="Arial" w:cs="Arial" w:eastAsia="Arial" w:hAnsi="Arial"/>
          <w:sz w:val="9"/>
          <w:szCs w:val="9"/>
          <w:color w:val="auto"/>
        </w:rPr>
      </w:pPr>
    </w:p>
    <w:p>
      <w:pPr>
        <w:ind w:left="160" w:hanging="128"/>
        <w:spacing w:after="0"/>
        <w:tabs>
          <w:tab w:leader="none" w:pos="160" w:val="left"/>
        </w:tabs>
        <w:numPr>
          <w:ilvl w:val="0"/>
          <w:numId w:val="36"/>
        </w:numPr>
        <w:rPr>
          <w:rFonts w:ascii="Arial" w:cs="Arial" w:eastAsia="Arial" w:hAnsi="Arial"/>
          <w:sz w:val="9"/>
          <w:szCs w:val="9"/>
          <w:color w:val="auto"/>
        </w:rPr>
      </w:pPr>
      <w:r>
        <w:rPr>
          <w:rFonts w:ascii="Arial" w:cs="Arial" w:eastAsia="Arial" w:hAnsi="Arial"/>
          <w:sz w:val="9"/>
          <w:szCs w:val="9"/>
          <w:color w:val="auto"/>
        </w:rPr>
        <w:t>Inclusive of the fee position which was acquired simultaneously with the sale pursuant to an option.</w:t>
      </w:r>
    </w:p>
    <w:p>
      <w:pPr>
        <w:spacing w:after="0" w:line="115" w:lineRule="exact"/>
        <w:rPr>
          <w:rFonts w:ascii="Arial" w:cs="Arial" w:eastAsia="Arial" w:hAnsi="Arial"/>
          <w:sz w:val="9"/>
          <w:szCs w:val="9"/>
          <w:color w:val="auto"/>
        </w:rPr>
      </w:pPr>
    </w:p>
    <w:p>
      <w:pPr>
        <w:ind w:left="160" w:hanging="128"/>
        <w:spacing w:after="0"/>
        <w:tabs>
          <w:tab w:leader="none" w:pos="160" w:val="left"/>
        </w:tabs>
        <w:numPr>
          <w:ilvl w:val="0"/>
          <w:numId w:val="36"/>
        </w:numPr>
        <w:rPr>
          <w:rFonts w:ascii="Arial" w:cs="Arial" w:eastAsia="Arial" w:hAnsi="Arial"/>
          <w:sz w:val="9"/>
          <w:szCs w:val="9"/>
          <w:color w:val="auto"/>
        </w:rPr>
      </w:pPr>
      <w:r>
        <w:rPr>
          <w:rFonts w:ascii="Arial" w:cs="Arial" w:eastAsia="Arial" w:hAnsi="Arial"/>
          <w:sz w:val="9"/>
          <w:szCs w:val="9"/>
          <w:color w:val="auto"/>
        </w:rPr>
        <w:t>Company sold 50% of its remaining interest after a promote. The Company retained a 10.92% interest in the property.</w:t>
      </w:r>
    </w:p>
    <w:p>
      <w:pPr>
        <w:spacing w:after="0" w:line="115" w:lineRule="exact"/>
        <w:rPr>
          <w:rFonts w:ascii="Arial" w:cs="Arial" w:eastAsia="Arial" w:hAnsi="Arial"/>
          <w:sz w:val="9"/>
          <w:szCs w:val="9"/>
          <w:color w:val="auto"/>
        </w:rPr>
      </w:pPr>
    </w:p>
    <w:p>
      <w:pPr>
        <w:ind w:left="160" w:hanging="128"/>
        <w:spacing w:after="0"/>
        <w:tabs>
          <w:tab w:leader="none" w:pos="160" w:val="left"/>
        </w:tabs>
        <w:numPr>
          <w:ilvl w:val="0"/>
          <w:numId w:val="36"/>
        </w:numPr>
        <w:rPr>
          <w:rFonts w:ascii="Arial" w:cs="Arial" w:eastAsia="Arial" w:hAnsi="Arial"/>
          <w:sz w:val="9"/>
          <w:szCs w:val="9"/>
          <w:color w:val="auto"/>
        </w:rPr>
      </w:pPr>
      <w:r>
        <w:rPr>
          <w:rFonts w:ascii="Arial" w:cs="Arial" w:eastAsia="Arial" w:hAnsi="Arial"/>
          <w:sz w:val="9"/>
          <w:szCs w:val="9"/>
          <w:color w:val="auto"/>
        </w:rPr>
        <w:t>The joint venture sold a 29% condominium interest in the property.</w:t>
      </w: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4960" w:val="left"/>
          <w:tab w:leader="none" w:pos="908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53</w:t>
      </w:r>
      <w:r>
        <w:rPr>
          <w:sz w:val="20"/>
          <w:szCs w:val="20"/>
          <w:color w:val="auto"/>
        </w:rPr>
        <w:tab/>
      </w:r>
      <w:r>
        <w:rPr>
          <w:rFonts w:ascii="Arial" w:cs="Arial" w:eastAsia="Arial" w:hAnsi="Arial"/>
          <w:sz w:val="10"/>
          <w:szCs w:val="10"/>
          <w:color w:val="auto"/>
        </w:rPr>
        <w:t>Second Quarter 2016</w:t>
      </w:r>
    </w:p>
    <w:p>
      <w:pPr>
        <w:sectPr>
          <w:pgSz w:w="11900" w:h="16838" w:orient="portrait"/>
          <w:cols w:equalWidth="0" w:num="1">
            <w:col w:w="10100"/>
          </w:cols>
          <w:pgMar w:left="900" w:top="338" w:right="899" w:bottom="1440" w:gutter="0" w:footer="0" w:header="0"/>
        </w:sectPr>
      </w:pPr>
    </w:p>
    <w:bookmarkStart w:id="71" w:name="page72"/>
    <w:bookmarkEnd w:id="7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EXECUTIVE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6412230" cy="430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ectPr>
          <w:pgSz w:w="11900" w:h="16838" w:orient="portrait"/>
          <w:cols w:equalWidth="0" w:num="1">
            <w:col w:w="9559"/>
          </w:cols>
          <w:pgMar w:left="900" w:top="3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23"/>
          <w:szCs w:val="23"/>
          <w:b w:val="1"/>
          <w:bCs w:val="1"/>
          <w:color w:val="auto"/>
        </w:rPr>
        <w:t>Stephen L. Green</w:t>
      </w:r>
      <w:r>
        <w:rPr>
          <w:sz w:val="20"/>
          <w:szCs w:val="20"/>
          <w:color w:val="auto"/>
        </w:rPr>
        <w:tab/>
      </w:r>
      <w:r>
        <w:rPr>
          <w:rFonts w:ascii="Arial" w:cs="Arial" w:eastAsia="Arial" w:hAnsi="Arial"/>
          <w:sz w:val="21"/>
          <w:szCs w:val="21"/>
          <w:b w:val="1"/>
          <w:bCs w:val="1"/>
          <w:color w:val="auto"/>
        </w:rPr>
        <w:t>Edward V. Piccinich</w:t>
      </w:r>
    </w:p>
    <w:p>
      <w:pPr>
        <w:spacing w:after="0" w:line="58" w:lineRule="exact"/>
        <w:rPr>
          <w:sz w:val="20"/>
          <w:szCs w:val="20"/>
          <w:color w:val="auto"/>
        </w:rPr>
      </w:pPr>
    </w:p>
    <w:p>
      <w:pPr>
        <w:ind w:left="560"/>
        <w:spacing w:after="0"/>
        <w:tabs>
          <w:tab w:leader="none" w:pos="5580" w:val="left"/>
        </w:tabs>
        <w:rPr>
          <w:sz w:val="20"/>
          <w:szCs w:val="20"/>
          <w:color w:val="auto"/>
        </w:rPr>
      </w:pPr>
      <w:r>
        <w:rPr>
          <w:rFonts w:ascii="Arial" w:cs="Arial" w:eastAsia="Arial" w:hAnsi="Arial"/>
          <w:sz w:val="23"/>
          <w:szCs w:val="23"/>
          <w:color w:val="auto"/>
        </w:rPr>
        <w:t>Chairman of the Board</w:t>
      </w:r>
      <w:r>
        <w:rPr>
          <w:sz w:val="20"/>
          <w:szCs w:val="20"/>
          <w:color w:val="auto"/>
        </w:rPr>
        <w:tab/>
      </w:r>
      <w:r>
        <w:rPr>
          <w:rFonts w:ascii="Arial" w:cs="Arial" w:eastAsia="Arial" w:hAnsi="Arial"/>
          <w:sz w:val="21"/>
          <w:szCs w:val="21"/>
          <w:color w:val="auto"/>
        </w:rPr>
        <w:t>Executive Vice President, Property</w:t>
      </w:r>
    </w:p>
    <w:p>
      <w:pPr>
        <w:spacing w:after="0" w:line="52" w:lineRule="exact"/>
        <w:rPr>
          <w:sz w:val="20"/>
          <w:szCs w:val="20"/>
          <w:color w:val="auto"/>
        </w:rPr>
      </w:pPr>
    </w:p>
    <w:p>
      <w:pPr>
        <w:ind w:left="5600"/>
        <w:spacing w:after="0"/>
        <w:rPr>
          <w:sz w:val="20"/>
          <w:szCs w:val="20"/>
          <w:color w:val="auto"/>
        </w:rPr>
      </w:pPr>
      <w:r>
        <w:rPr>
          <w:rFonts w:ascii="Arial" w:cs="Arial" w:eastAsia="Arial" w:hAnsi="Arial"/>
          <w:sz w:val="23"/>
          <w:szCs w:val="23"/>
          <w:color w:val="auto"/>
        </w:rPr>
        <w:t>Management and Construction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Marc Holliday</w:t>
      </w:r>
    </w:p>
    <w:p>
      <w:pPr>
        <w:spacing w:after="0" w:line="52" w:lineRule="exact"/>
        <w:rPr>
          <w:sz w:val="20"/>
          <w:szCs w:val="20"/>
          <w:color w:val="auto"/>
        </w:rPr>
      </w:pPr>
    </w:p>
    <w:p>
      <w:pPr>
        <w:ind w:left="560"/>
        <w:spacing w:after="0"/>
        <w:tabs>
          <w:tab w:leader="none" w:pos="5060" w:val="left"/>
        </w:tabs>
        <w:rPr>
          <w:sz w:val="20"/>
          <w:szCs w:val="20"/>
          <w:color w:val="auto"/>
        </w:rPr>
      </w:pPr>
      <w:r>
        <w:rPr>
          <w:rFonts w:ascii="Arial" w:cs="Arial" w:eastAsia="Arial" w:hAnsi="Arial"/>
          <w:sz w:val="23"/>
          <w:szCs w:val="23"/>
          <w:color w:val="auto"/>
        </w:rPr>
        <w:t>Chief Executive Officer</w:t>
      </w:r>
      <w:r>
        <w:rPr>
          <w:sz w:val="20"/>
          <w:szCs w:val="20"/>
          <w:color w:val="auto"/>
        </w:rPr>
        <w:tab/>
      </w:r>
      <w:r>
        <w:rPr>
          <w:rFonts w:ascii="Arial" w:cs="Arial" w:eastAsia="Arial" w:hAnsi="Arial"/>
          <w:sz w:val="21"/>
          <w:szCs w:val="21"/>
          <w:b w:val="1"/>
          <w:bCs w:val="1"/>
          <w:color w:val="auto"/>
        </w:rPr>
        <w:t>Neil H. Kessner</w:t>
      </w:r>
    </w:p>
    <w:p>
      <w:pPr>
        <w:spacing w:after="0" w:line="58"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Executive Vice President, General</w:t>
      </w:r>
    </w:p>
    <w:p>
      <w:pPr>
        <w:spacing w:after="0" w:line="69"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3"/>
          <w:szCs w:val="23"/>
          <w:b w:val="1"/>
          <w:bCs w:val="1"/>
          <w:color w:val="auto"/>
        </w:rPr>
        <w:t>Andrew Mathias</w:t>
      </w:r>
      <w:r>
        <w:rPr>
          <w:sz w:val="20"/>
          <w:szCs w:val="20"/>
          <w:color w:val="auto"/>
        </w:rPr>
        <w:tab/>
      </w:r>
      <w:r>
        <w:rPr>
          <w:rFonts w:ascii="Arial" w:cs="Arial" w:eastAsia="Arial" w:hAnsi="Arial"/>
          <w:sz w:val="20"/>
          <w:szCs w:val="20"/>
          <w:color w:val="auto"/>
        </w:rPr>
        <w:t>Counsel - Real Property</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23"/>
          <w:szCs w:val="23"/>
          <w:color w:val="auto"/>
        </w:rPr>
        <w:t>President</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23"/>
          <w:szCs w:val="23"/>
          <w:b w:val="1"/>
          <w:bCs w:val="1"/>
          <w:color w:val="auto"/>
        </w:rPr>
        <w:t>David M. Schonbraun</w:t>
      </w:r>
    </w:p>
    <w:p>
      <w:pPr>
        <w:spacing w:after="0" w:line="52"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3"/>
          <w:szCs w:val="23"/>
          <w:b w:val="1"/>
          <w:bCs w:val="1"/>
          <w:color w:val="auto"/>
        </w:rPr>
        <w:t>Matthew J. DiLiberto</w:t>
      </w:r>
      <w:r>
        <w:rPr>
          <w:sz w:val="20"/>
          <w:szCs w:val="20"/>
          <w:color w:val="auto"/>
        </w:rPr>
        <w:tab/>
      </w:r>
      <w:r>
        <w:rPr>
          <w:rFonts w:ascii="Arial" w:cs="Arial" w:eastAsia="Arial" w:hAnsi="Arial"/>
          <w:sz w:val="21"/>
          <w:szCs w:val="21"/>
          <w:color w:val="auto"/>
        </w:rPr>
        <w:t>Co-Chief Investment Officer</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23"/>
          <w:szCs w:val="23"/>
          <w:color w:val="auto"/>
        </w:rPr>
        <w:t>Chief Financial Officer</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23"/>
          <w:szCs w:val="23"/>
          <w:b w:val="1"/>
          <w:bCs w:val="1"/>
          <w:color w:val="auto"/>
        </w:rPr>
        <w:t>Isaac Zion</w:t>
      </w:r>
    </w:p>
    <w:p>
      <w:pPr>
        <w:spacing w:after="0" w:line="52"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3"/>
          <w:szCs w:val="23"/>
          <w:b w:val="1"/>
          <w:bCs w:val="1"/>
          <w:color w:val="auto"/>
        </w:rPr>
        <w:t>Andrew S. Levine</w:t>
      </w:r>
      <w:r>
        <w:rPr>
          <w:sz w:val="20"/>
          <w:szCs w:val="20"/>
          <w:color w:val="auto"/>
        </w:rPr>
        <w:tab/>
      </w:r>
      <w:r>
        <w:rPr>
          <w:rFonts w:ascii="Arial" w:cs="Arial" w:eastAsia="Arial" w:hAnsi="Arial"/>
          <w:sz w:val="21"/>
          <w:szCs w:val="21"/>
          <w:color w:val="auto"/>
        </w:rPr>
        <w:t>Co-Chief Investment Officer</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23"/>
          <w:szCs w:val="23"/>
          <w:color w:val="auto"/>
        </w:rPr>
        <w:t>Chief Legal Officer</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23"/>
          <w:szCs w:val="23"/>
          <w:b w:val="1"/>
          <w:bCs w:val="1"/>
          <w:color w:val="auto"/>
        </w:rPr>
        <w:t>Maggie Hui</w:t>
      </w:r>
    </w:p>
    <w:p>
      <w:pPr>
        <w:spacing w:after="0" w:line="52"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3"/>
          <w:szCs w:val="23"/>
          <w:b w:val="1"/>
          <w:bCs w:val="1"/>
          <w:color w:val="auto"/>
        </w:rPr>
        <w:t>Steven M. Durels</w:t>
      </w:r>
      <w:r>
        <w:rPr>
          <w:sz w:val="20"/>
          <w:szCs w:val="20"/>
          <w:color w:val="auto"/>
        </w:rPr>
        <w:tab/>
      </w:r>
      <w:r>
        <w:rPr>
          <w:rFonts w:ascii="Arial" w:cs="Arial" w:eastAsia="Arial" w:hAnsi="Arial"/>
          <w:sz w:val="22"/>
          <w:szCs w:val="22"/>
          <w:color w:val="auto"/>
        </w:rPr>
        <w:t>Chief Accounting Officer</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23"/>
          <w:szCs w:val="23"/>
          <w:color w:val="auto"/>
        </w:rPr>
        <w:t>Executive Vice President, Director of</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23"/>
          <w:szCs w:val="23"/>
          <w:color w:val="auto"/>
        </w:rPr>
        <w:t>Leasing and Real Property</w:t>
      </w:r>
    </w:p>
    <w:p>
      <w:pPr>
        <w:spacing w:after="0" w:line="368"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9559"/>
          </w:cols>
          <w:pgMar w:left="900" w:top="338" w:right="1440" w:bottom="1440" w:gutter="0" w:footer="0" w:header="0"/>
          <w:type w:val="continuous"/>
        </w:sectPr>
      </w:pPr>
    </w:p>
    <w:bookmarkStart w:id="72" w:name="page73"/>
    <w:bookmarkEnd w:id="72"/>
    <w:p>
      <w:pPr>
        <w:ind w:left="6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ANALYST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-48895</wp:posOffset>
            </wp:positionV>
            <wp:extent cx="6412230" cy="430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ANALYST COVERAGE</w:t>
      </w:r>
    </w:p>
    <w:p>
      <w:pPr>
        <w:spacing w:after="0" w:line="248" w:lineRule="exact"/>
        <w:rPr>
          <w:sz w:val="20"/>
          <w:szCs w:val="20"/>
          <w:color w:val="auto"/>
        </w:rPr>
      </w:pPr>
    </w:p>
    <w:tbl>
      <w:tblPr>
        <w:tblLayout w:type="fixed"/>
        <w:tblInd w:w="670" w:type="dxa"/>
        <w:tblCellMar>
          <w:top w:w="0" w:type="dxa"/>
          <w:left w:w="0" w:type="dxa"/>
          <w:bottom w:w="0" w:type="dxa"/>
          <w:right w:w="0" w:type="dxa"/>
        </w:tblCellMar>
      </w:tblPr>
      <w:tr>
        <w:trPr>
          <w:trHeight w:val="142"/>
        </w:trPr>
        <w:tc>
          <w:tcPr>
            <w:tcW w:w="40" w:type="dxa"/>
            <w:vAlign w:val="bottom"/>
            <w:tcBorders>
              <w:top w:val="single" w:sz="8" w:color="00497F"/>
              <w:left w:val="single" w:sz="8" w:color="00497F"/>
            </w:tcBorders>
          </w:tcPr>
          <w:p>
            <w:pPr>
              <w:spacing w:after="0"/>
              <w:rPr>
                <w:sz w:val="12"/>
                <w:szCs w:val="12"/>
                <w:color w:val="auto"/>
              </w:rPr>
            </w:pPr>
          </w:p>
        </w:tc>
        <w:tc>
          <w:tcPr>
            <w:tcW w:w="2520" w:type="dxa"/>
            <w:vAlign w:val="bottom"/>
            <w:tcBorders>
              <w:top w:val="single" w:sz="8" w:color="00497F"/>
            </w:tcBorders>
            <w:gridSpan w:val="2"/>
          </w:tcPr>
          <w:p>
            <w:pPr>
              <w:spacing w:after="0"/>
              <w:rPr>
                <w:sz w:val="20"/>
                <w:szCs w:val="20"/>
                <w:color w:val="auto"/>
              </w:rPr>
            </w:pPr>
            <w:r>
              <w:rPr>
                <w:rFonts w:ascii="Arial" w:cs="Arial" w:eastAsia="Arial" w:hAnsi="Arial"/>
                <w:sz w:val="12"/>
                <w:szCs w:val="12"/>
                <w:b w:val="1"/>
                <w:bCs w:val="1"/>
                <w:color w:val="auto"/>
              </w:rPr>
              <w:t>Firm</w:t>
            </w:r>
          </w:p>
        </w:tc>
        <w:tc>
          <w:tcPr>
            <w:tcW w:w="1800" w:type="dxa"/>
            <w:vAlign w:val="bottom"/>
            <w:tcBorders>
              <w:top w:val="single" w:sz="8" w:color="00497F"/>
            </w:tcBorders>
            <w:gridSpan w:val="2"/>
          </w:tcPr>
          <w:p>
            <w:pPr>
              <w:spacing w:after="0"/>
              <w:rPr>
                <w:sz w:val="20"/>
                <w:szCs w:val="20"/>
                <w:color w:val="auto"/>
              </w:rPr>
            </w:pPr>
            <w:r>
              <w:rPr>
                <w:rFonts w:ascii="Arial" w:cs="Arial" w:eastAsia="Arial" w:hAnsi="Arial"/>
                <w:sz w:val="12"/>
                <w:szCs w:val="12"/>
                <w:b w:val="1"/>
                <w:bCs w:val="1"/>
                <w:color w:val="auto"/>
              </w:rPr>
              <w:t>Analyst</w:t>
            </w:r>
          </w:p>
        </w:tc>
        <w:tc>
          <w:tcPr>
            <w:tcW w:w="3240" w:type="dxa"/>
            <w:vAlign w:val="bottom"/>
            <w:tcBorders>
              <w:top w:val="single" w:sz="8" w:color="00497F"/>
            </w:tcBorders>
            <w:gridSpan w:val="3"/>
          </w:tcPr>
          <w:p>
            <w:pPr>
              <w:ind w:left="720"/>
              <w:spacing w:after="0"/>
              <w:rPr>
                <w:sz w:val="20"/>
                <w:szCs w:val="20"/>
                <w:color w:val="auto"/>
              </w:rPr>
            </w:pPr>
            <w:r>
              <w:rPr>
                <w:rFonts w:ascii="Arial" w:cs="Arial" w:eastAsia="Arial" w:hAnsi="Arial"/>
                <w:sz w:val="12"/>
                <w:szCs w:val="12"/>
                <w:b w:val="1"/>
                <w:bCs w:val="1"/>
                <w:color w:val="auto"/>
              </w:rPr>
              <w:t>Phone</w:t>
            </w:r>
          </w:p>
        </w:tc>
        <w:tc>
          <w:tcPr>
            <w:tcW w:w="2520" w:type="dxa"/>
            <w:vAlign w:val="bottom"/>
            <w:tcBorders>
              <w:top w:val="single" w:sz="8" w:color="00497F"/>
              <w:right w:val="single" w:sz="8" w:color="00497F"/>
            </w:tcBorders>
            <w:gridSpan w:val="2"/>
          </w:tcPr>
          <w:p>
            <w:pPr>
              <w:spacing w:after="0"/>
              <w:rPr>
                <w:sz w:val="20"/>
                <w:szCs w:val="20"/>
                <w:color w:val="auto"/>
              </w:rPr>
            </w:pPr>
            <w:r>
              <w:rPr>
                <w:rFonts w:ascii="Arial" w:cs="Arial" w:eastAsia="Arial" w:hAnsi="Arial"/>
                <w:sz w:val="12"/>
                <w:szCs w:val="12"/>
                <w:b w:val="1"/>
                <w:bCs w:val="1"/>
                <w:color w:val="auto"/>
              </w:rPr>
              <w:t>Email</w:t>
            </w:r>
          </w:p>
        </w:tc>
      </w:tr>
      <w:tr>
        <w:trPr>
          <w:trHeight w:val="20"/>
        </w:trPr>
        <w:tc>
          <w:tcPr>
            <w:tcW w:w="40" w:type="dxa"/>
            <w:vAlign w:val="bottom"/>
            <w:tcBorders>
              <w:left w:val="single" w:sz="8" w:color="00497F"/>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Borders>
              <w:right w:val="single" w:sz="8" w:color="00497F"/>
            </w:tcBorders>
          </w:tcPr>
          <w:p>
            <w:pPr>
              <w:spacing w:after="0" w:line="20" w:lineRule="exact"/>
              <w:rPr>
                <w:sz w:val="1"/>
                <w:szCs w:val="1"/>
                <w:color w:val="auto"/>
              </w:rPr>
            </w:pPr>
          </w:p>
        </w:tc>
      </w:tr>
      <w:tr>
        <w:trPr>
          <w:trHeight w:val="167"/>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Bank of America - Merrill Lynch</w:t>
            </w:r>
          </w:p>
        </w:tc>
        <w:tc>
          <w:tcPr>
            <w:tcW w:w="1800" w:type="dxa"/>
            <w:vAlign w:val="bottom"/>
            <w:gridSpan w:val="2"/>
          </w:tcPr>
          <w:p>
            <w:pPr>
              <w:spacing w:after="0"/>
              <w:rPr>
                <w:sz w:val="20"/>
                <w:szCs w:val="20"/>
                <w:color w:val="auto"/>
              </w:rPr>
            </w:pPr>
            <w:r>
              <w:rPr>
                <w:rFonts w:ascii="Arial" w:cs="Arial" w:eastAsia="Arial" w:hAnsi="Arial"/>
                <w:sz w:val="12"/>
                <w:szCs w:val="12"/>
                <w:color w:val="auto"/>
              </w:rPr>
              <w:t>James C. Feldman</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(646) 855-5808</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james.feldman@baml.com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Barclays Capital</w:t>
            </w:r>
          </w:p>
        </w:tc>
        <w:tc>
          <w:tcPr>
            <w:tcW w:w="1800" w:type="dxa"/>
            <w:vAlign w:val="bottom"/>
            <w:gridSpan w:val="2"/>
          </w:tcPr>
          <w:p>
            <w:pPr>
              <w:spacing w:after="0"/>
              <w:rPr>
                <w:sz w:val="20"/>
                <w:szCs w:val="20"/>
                <w:color w:val="auto"/>
              </w:rPr>
            </w:pPr>
            <w:r>
              <w:rPr>
                <w:rFonts w:ascii="Arial" w:cs="Arial" w:eastAsia="Arial" w:hAnsi="Arial"/>
                <w:sz w:val="12"/>
                <w:szCs w:val="12"/>
                <w:color w:val="auto"/>
              </w:rPr>
              <w:t>Ross Smotrich</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526-2306</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ross.smotrich@barcap.com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BB&amp;T Capital Markets</w:t>
            </w:r>
          </w:p>
        </w:tc>
        <w:tc>
          <w:tcPr>
            <w:tcW w:w="1800" w:type="dxa"/>
            <w:vAlign w:val="bottom"/>
            <w:gridSpan w:val="2"/>
          </w:tcPr>
          <w:p>
            <w:pPr>
              <w:spacing w:after="0"/>
              <w:rPr>
                <w:sz w:val="20"/>
                <w:szCs w:val="20"/>
                <w:color w:val="auto"/>
              </w:rPr>
            </w:pPr>
            <w:r>
              <w:rPr>
                <w:rFonts w:ascii="Arial" w:cs="Arial" w:eastAsia="Arial" w:hAnsi="Arial"/>
                <w:sz w:val="12"/>
                <w:szCs w:val="12"/>
                <w:color w:val="auto"/>
              </w:rPr>
              <w:t>David Toti</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419-4620</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dtoti@bbandtcm.com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BMO Capital Markets Corp.</w:t>
            </w:r>
          </w:p>
        </w:tc>
        <w:tc>
          <w:tcPr>
            <w:tcW w:w="1800" w:type="dxa"/>
            <w:vAlign w:val="bottom"/>
            <w:gridSpan w:val="2"/>
          </w:tcPr>
          <w:p>
            <w:pPr>
              <w:spacing w:after="0"/>
              <w:rPr>
                <w:sz w:val="20"/>
                <w:szCs w:val="20"/>
                <w:color w:val="auto"/>
              </w:rPr>
            </w:pPr>
            <w:r>
              <w:rPr>
                <w:rFonts w:ascii="Arial" w:cs="Arial" w:eastAsia="Arial" w:hAnsi="Arial"/>
                <w:sz w:val="12"/>
                <w:szCs w:val="12"/>
                <w:color w:val="auto"/>
              </w:rPr>
              <w:t>John P. Kim</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885-4115</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jp.kim@bmo.com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Citigroup</w:t>
            </w:r>
          </w:p>
        </w:tc>
        <w:tc>
          <w:tcPr>
            <w:tcW w:w="1800" w:type="dxa"/>
            <w:vAlign w:val="bottom"/>
            <w:gridSpan w:val="2"/>
          </w:tcPr>
          <w:p>
            <w:pPr>
              <w:spacing w:after="0"/>
              <w:rPr>
                <w:sz w:val="20"/>
                <w:szCs w:val="20"/>
                <w:color w:val="auto"/>
              </w:rPr>
            </w:pPr>
            <w:r>
              <w:rPr>
                <w:rFonts w:ascii="Arial" w:cs="Arial" w:eastAsia="Arial" w:hAnsi="Arial"/>
                <w:sz w:val="12"/>
                <w:szCs w:val="12"/>
                <w:color w:val="auto"/>
              </w:rPr>
              <w:t>Michael Bilerman</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816-1383</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michael.bilerman@citigroup.com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Credit Suisse</w:t>
            </w:r>
          </w:p>
        </w:tc>
        <w:tc>
          <w:tcPr>
            <w:tcW w:w="1800" w:type="dxa"/>
            <w:vAlign w:val="bottom"/>
            <w:gridSpan w:val="2"/>
          </w:tcPr>
          <w:p>
            <w:pPr>
              <w:spacing w:after="0"/>
              <w:rPr>
                <w:sz w:val="20"/>
                <w:szCs w:val="20"/>
                <w:color w:val="auto"/>
              </w:rPr>
            </w:pPr>
            <w:r>
              <w:rPr>
                <w:rFonts w:ascii="Arial" w:cs="Arial" w:eastAsia="Arial" w:hAnsi="Arial"/>
                <w:sz w:val="12"/>
                <w:szCs w:val="12"/>
                <w:color w:val="auto"/>
              </w:rPr>
              <w:t>Ian C. Weissman</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538-6889</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ian.weissman@credit-suisse.com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Deutsche Bank</w:t>
            </w:r>
          </w:p>
        </w:tc>
        <w:tc>
          <w:tcPr>
            <w:tcW w:w="1800" w:type="dxa"/>
            <w:vAlign w:val="bottom"/>
            <w:gridSpan w:val="2"/>
          </w:tcPr>
          <w:p>
            <w:pPr>
              <w:spacing w:after="0"/>
              <w:rPr>
                <w:sz w:val="20"/>
                <w:szCs w:val="20"/>
                <w:color w:val="auto"/>
              </w:rPr>
            </w:pPr>
            <w:r>
              <w:rPr>
                <w:rFonts w:ascii="Arial" w:cs="Arial" w:eastAsia="Arial" w:hAnsi="Arial"/>
                <w:sz w:val="12"/>
                <w:szCs w:val="12"/>
                <w:color w:val="auto"/>
              </w:rPr>
              <w:t>Vin Chao</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250-6799</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vincent.chao@db.com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Goldman Sachs &amp; Co.</w:t>
            </w:r>
          </w:p>
        </w:tc>
        <w:tc>
          <w:tcPr>
            <w:tcW w:w="1800" w:type="dxa"/>
            <w:vAlign w:val="bottom"/>
            <w:gridSpan w:val="2"/>
          </w:tcPr>
          <w:p>
            <w:pPr>
              <w:spacing w:after="0"/>
              <w:rPr>
                <w:sz w:val="20"/>
                <w:szCs w:val="20"/>
                <w:color w:val="auto"/>
              </w:rPr>
            </w:pPr>
            <w:r>
              <w:rPr>
                <w:rFonts w:ascii="Arial" w:cs="Arial" w:eastAsia="Arial" w:hAnsi="Arial"/>
                <w:sz w:val="12"/>
                <w:szCs w:val="12"/>
                <w:color w:val="auto"/>
              </w:rPr>
              <w:t>Brad Burke</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(917) 343-2082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brad.burke@gs.com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Green Street Advisors</w:t>
            </w:r>
          </w:p>
        </w:tc>
        <w:tc>
          <w:tcPr>
            <w:tcW w:w="1800" w:type="dxa"/>
            <w:vAlign w:val="bottom"/>
            <w:gridSpan w:val="2"/>
          </w:tcPr>
          <w:p>
            <w:pPr>
              <w:spacing w:after="0"/>
              <w:rPr>
                <w:sz w:val="20"/>
                <w:szCs w:val="20"/>
                <w:color w:val="auto"/>
              </w:rPr>
            </w:pPr>
            <w:r>
              <w:rPr>
                <w:rFonts w:ascii="Arial" w:cs="Arial" w:eastAsia="Arial" w:hAnsi="Arial"/>
                <w:sz w:val="12"/>
                <w:szCs w:val="12"/>
                <w:color w:val="auto"/>
              </w:rPr>
              <w:t>Jed Reagan</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(949) 640-8780</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jreagan@greenstreetadvisors.com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Evercore ISI</w:t>
            </w:r>
          </w:p>
        </w:tc>
        <w:tc>
          <w:tcPr>
            <w:tcW w:w="1800" w:type="dxa"/>
            <w:vAlign w:val="bottom"/>
            <w:gridSpan w:val="2"/>
          </w:tcPr>
          <w:p>
            <w:pPr>
              <w:spacing w:after="0"/>
              <w:rPr>
                <w:sz w:val="20"/>
                <w:szCs w:val="20"/>
                <w:color w:val="auto"/>
              </w:rPr>
            </w:pPr>
            <w:r>
              <w:rPr>
                <w:rFonts w:ascii="Arial" w:cs="Arial" w:eastAsia="Arial" w:hAnsi="Arial"/>
                <w:sz w:val="12"/>
                <w:szCs w:val="12"/>
                <w:color w:val="auto"/>
              </w:rPr>
              <w:t>Steve Sakwa</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446-9462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ssakwa@isigrp.com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Jefferies &amp; Company</w:t>
            </w:r>
          </w:p>
        </w:tc>
        <w:tc>
          <w:tcPr>
            <w:tcW w:w="1800" w:type="dxa"/>
            <w:vAlign w:val="bottom"/>
            <w:gridSpan w:val="2"/>
          </w:tcPr>
          <w:p>
            <w:pPr>
              <w:spacing w:after="0"/>
              <w:rPr>
                <w:sz w:val="20"/>
                <w:szCs w:val="20"/>
                <w:color w:val="auto"/>
              </w:rPr>
            </w:pPr>
            <w:r>
              <w:rPr>
                <w:rFonts w:ascii="Arial" w:cs="Arial" w:eastAsia="Arial" w:hAnsi="Arial"/>
                <w:sz w:val="12"/>
                <w:szCs w:val="12"/>
                <w:color w:val="auto"/>
              </w:rPr>
              <w:t>Tayo Okusanya</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336-7076</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tokusanya@jefferies.com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JMP Securities</w:t>
            </w:r>
          </w:p>
        </w:tc>
        <w:tc>
          <w:tcPr>
            <w:tcW w:w="1800" w:type="dxa"/>
            <w:vAlign w:val="bottom"/>
            <w:gridSpan w:val="2"/>
          </w:tcPr>
          <w:p>
            <w:pPr>
              <w:spacing w:after="0"/>
              <w:rPr>
                <w:sz w:val="20"/>
                <w:szCs w:val="20"/>
                <w:color w:val="auto"/>
              </w:rPr>
            </w:pPr>
            <w:r>
              <w:rPr>
                <w:rFonts w:ascii="Arial" w:cs="Arial" w:eastAsia="Arial" w:hAnsi="Arial"/>
                <w:sz w:val="12"/>
                <w:szCs w:val="12"/>
                <w:color w:val="auto"/>
              </w:rPr>
              <w:t>Mitchell Germain</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906-3546</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mgermain@jmpsecurities.com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JP Morgan Securities, Inc.</w:t>
            </w:r>
          </w:p>
        </w:tc>
        <w:tc>
          <w:tcPr>
            <w:tcW w:w="1800" w:type="dxa"/>
            <w:vAlign w:val="bottom"/>
            <w:gridSpan w:val="2"/>
          </w:tcPr>
          <w:p>
            <w:pPr>
              <w:spacing w:after="0"/>
              <w:rPr>
                <w:sz w:val="20"/>
                <w:szCs w:val="20"/>
                <w:color w:val="auto"/>
              </w:rPr>
            </w:pPr>
            <w:r>
              <w:rPr>
                <w:rFonts w:ascii="Arial" w:cs="Arial" w:eastAsia="Arial" w:hAnsi="Arial"/>
                <w:sz w:val="12"/>
                <w:szCs w:val="12"/>
                <w:color w:val="auto"/>
              </w:rPr>
              <w:t>Anthony Paolone</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622-6682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anthony.paolone@jpmorgan.com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KeyBanc Capital Markets</w:t>
            </w:r>
          </w:p>
        </w:tc>
        <w:tc>
          <w:tcPr>
            <w:tcW w:w="1800" w:type="dxa"/>
            <w:vAlign w:val="bottom"/>
            <w:gridSpan w:val="2"/>
          </w:tcPr>
          <w:p>
            <w:pPr>
              <w:spacing w:after="0"/>
              <w:rPr>
                <w:sz w:val="20"/>
                <w:szCs w:val="20"/>
                <w:color w:val="auto"/>
              </w:rPr>
            </w:pPr>
            <w:r>
              <w:rPr>
                <w:rFonts w:ascii="Arial" w:cs="Arial" w:eastAsia="Arial" w:hAnsi="Arial"/>
                <w:sz w:val="12"/>
                <w:szCs w:val="12"/>
                <w:color w:val="auto"/>
              </w:rPr>
              <w:t>Craig Mailman</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(917) 368-2316</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cmailman@key.com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Morgan Stanley</w:t>
            </w:r>
          </w:p>
        </w:tc>
        <w:tc>
          <w:tcPr>
            <w:tcW w:w="1800" w:type="dxa"/>
            <w:vAlign w:val="bottom"/>
            <w:gridSpan w:val="2"/>
          </w:tcPr>
          <w:p>
            <w:pPr>
              <w:spacing w:after="0"/>
              <w:rPr>
                <w:sz w:val="20"/>
                <w:szCs w:val="20"/>
                <w:color w:val="auto"/>
              </w:rPr>
            </w:pPr>
            <w:r>
              <w:rPr>
                <w:rFonts w:ascii="Arial" w:cs="Arial" w:eastAsia="Arial" w:hAnsi="Arial"/>
                <w:sz w:val="12"/>
                <w:szCs w:val="12"/>
                <w:color w:val="auto"/>
              </w:rPr>
              <w:t>Vikram Malhotra</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761-7064</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vikram.malhotra@morganstanley.com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RW Baird</w:t>
            </w:r>
          </w:p>
        </w:tc>
        <w:tc>
          <w:tcPr>
            <w:tcW w:w="1800" w:type="dxa"/>
            <w:vAlign w:val="bottom"/>
            <w:gridSpan w:val="2"/>
          </w:tcPr>
          <w:p>
            <w:pPr>
              <w:spacing w:after="0"/>
              <w:rPr>
                <w:sz w:val="20"/>
                <w:szCs w:val="20"/>
                <w:color w:val="auto"/>
              </w:rPr>
            </w:pPr>
            <w:r>
              <w:rPr>
                <w:rFonts w:ascii="Arial" w:cs="Arial" w:eastAsia="Arial" w:hAnsi="Arial"/>
                <w:sz w:val="12"/>
                <w:szCs w:val="12"/>
                <w:color w:val="auto"/>
              </w:rPr>
              <w:t>David Rodgers</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(216) 737-7341</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drodgers@rwbaird.com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Sandler O'Neill + Partners, L.P.</w:t>
            </w:r>
          </w:p>
        </w:tc>
        <w:tc>
          <w:tcPr>
            <w:tcW w:w="1800" w:type="dxa"/>
            <w:vAlign w:val="bottom"/>
            <w:gridSpan w:val="2"/>
          </w:tcPr>
          <w:p>
            <w:pPr>
              <w:spacing w:after="0"/>
              <w:rPr>
                <w:sz w:val="20"/>
                <w:szCs w:val="20"/>
                <w:color w:val="auto"/>
              </w:rPr>
            </w:pPr>
            <w:r>
              <w:rPr>
                <w:rFonts w:ascii="Arial" w:cs="Arial" w:eastAsia="Arial" w:hAnsi="Arial"/>
                <w:sz w:val="12"/>
                <w:szCs w:val="12"/>
                <w:color w:val="auto"/>
              </w:rPr>
              <w:t>Alexander D. Goldfarb</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466-7937</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agoldfarb@sandleroneill.com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Stifel Nicolaus</w:t>
            </w:r>
          </w:p>
        </w:tc>
        <w:tc>
          <w:tcPr>
            <w:tcW w:w="1800" w:type="dxa"/>
            <w:vAlign w:val="bottom"/>
            <w:gridSpan w:val="2"/>
          </w:tcPr>
          <w:p>
            <w:pPr>
              <w:spacing w:after="0"/>
              <w:rPr>
                <w:sz w:val="20"/>
                <w:szCs w:val="20"/>
                <w:color w:val="auto"/>
              </w:rPr>
            </w:pPr>
            <w:r>
              <w:rPr>
                <w:rFonts w:ascii="Arial" w:cs="Arial" w:eastAsia="Arial" w:hAnsi="Arial"/>
                <w:sz w:val="12"/>
                <w:szCs w:val="12"/>
                <w:color w:val="auto"/>
              </w:rPr>
              <w:t>John Guinee</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(443) 224-1307</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jwguinee@stifel.com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SunTrust Robinson Humphrey</w:t>
            </w:r>
          </w:p>
        </w:tc>
        <w:tc>
          <w:tcPr>
            <w:tcW w:w="1800" w:type="dxa"/>
            <w:vAlign w:val="bottom"/>
            <w:gridSpan w:val="2"/>
          </w:tcPr>
          <w:p>
            <w:pPr>
              <w:spacing w:after="0"/>
              <w:rPr>
                <w:sz w:val="20"/>
                <w:szCs w:val="20"/>
                <w:color w:val="auto"/>
              </w:rPr>
            </w:pPr>
            <w:r>
              <w:rPr>
                <w:rFonts w:ascii="Arial" w:cs="Arial" w:eastAsia="Arial" w:hAnsi="Arial"/>
                <w:sz w:val="12"/>
                <w:szCs w:val="12"/>
                <w:color w:val="auto"/>
              </w:rPr>
              <w:t>Michael Lewis</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(404) 926-5000</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michael.lewis@suntrust.com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UBS Securities LLC</w:t>
            </w:r>
          </w:p>
        </w:tc>
        <w:tc>
          <w:tcPr>
            <w:tcW w:w="1800" w:type="dxa"/>
            <w:vAlign w:val="bottom"/>
            <w:gridSpan w:val="2"/>
          </w:tcPr>
          <w:p>
            <w:pPr>
              <w:spacing w:after="0"/>
              <w:rPr>
                <w:sz w:val="20"/>
                <w:szCs w:val="20"/>
                <w:color w:val="auto"/>
              </w:rPr>
            </w:pPr>
            <w:r>
              <w:rPr>
                <w:rFonts w:ascii="Arial" w:cs="Arial" w:eastAsia="Arial" w:hAnsi="Arial"/>
                <w:sz w:val="12"/>
                <w:szCs w:val="12"/>
                <w:color w:val="auto"/>
              </w:rPr>
              <w:t>Nicholas Yulico</w:t>
            </w:r>
          </w:p>
        </w:tc>
        <w:tc>
          <w:tcPr>
            <w:tcW w:w="3240" w:type="dxa"/>
            <w:vAlign w:val="bottom"/>
            <w:gridSpan w:val="3"/>
          </w:tcPr>
          <w:p>
            <w:pPr>
              <w:ind w:left="720"/>
              <w:spacing w:after="0"/>
              <w:rPr>
                <w:sz w:val="20"/>
                <w:szCs w:val="20"/>
                <w:color w:val="auto"/>
              </w:rPr>
            </w:pPr>
            <w:r>
              <w:rPr>
                <w:rFonts w:ascii="Arial" w:cs="Arial" w:eastAsia="Arial" w:hAnsi="Arial"/>
                <w:sz w:val="12"/>
                <w:szCs w:val="12"/>
                <w:color w:val="auto"/>
              </w:rPr>
              <w:t>(212) 713-3402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nick.yulico@ubs.com</w:t>
            </w:r>
          </w:p>
        </w:tc>
      </w:tr>
      <w:tr>
        <w:trPr>
          <w:trHeight w:val="169"/>
        </w:trPr>
        <w:tc>
          <w:tcPr>
            <w:tcW w:w="40" w:type="dxa"/>
            <w:vAlign w:val="bottom"/>
            <w:tcBorders>
              <w:left w:val="single" w:sz="8" w:color="00497F"/>
              <w:bottom w:val="single" w:sz="8" w:color="00497F"/>
            </w:tcBorders>
          </w:tcPr>
          <w:p>
            <w:pPr>
              <w:spacing w:after="0"/>
              <w:rPr>
                <w:sz w:val="14"/>
                <w:szCs w:val="14"/>
                <w:color w:val="auto"/>
              </w:rPr>
            </w:pPr>
          </w:p>
        </w:tc>
        <w:tc>
          <w:tcPr>
            <w:tcW w:w="2520" w:type="dxa"/>
            <w:vAlign w:val="bottom"/>
            <w:tcBorders>
              <w:bottom w:val="single" w:sz="8" w:color="00497F"/>
            </w:tcBorders>
            <w:gridSpan w:val="2"/>
          </w:tcPr>
          <w:p>
            <w:pPr>
              <w:spacing w:after="0"/>
              <w:rPr>
                <w:sz w:val="20"/>
                <w:szCs w:val="20"/>
                <w:color w:val="auto"/>
              </w:rPr>
            </w:pPr>
            <w:r>
              <w:rPr>
                <w:rFonts w:ascii="Arial" w:cs="Arial" w:eastAsia="Arial" w:hAnsi="Arial"/>
                <w:sz w:val="12"/>
                <w:szCs w:val="12"/>
                <w:color w:val="auto"/>
              </w:rPr>
              <w:t>Wells Fargo Securities, LLC</w:t>
            </w:r>
          </w:p>
        </w:tc>
        <w:tc>
          <w:tcPr>
            <w:tcW w:w="1800" w:type="dxa"/>
            <w:vAlign w:val="bottom"/>
            <w:tcBorders>
              <w:bottom w:val="single" w:sz="8" w:color="00497F"/>
            </w:tcBorders>
            <w:gridSpan w:val="2"/>
          </w:tcPr>
          <w:p>
            <w:pPr>
              <w:spacing w:after="0"/>
              <w:rPr>
                <w:sz w:val="20"/>
                <w:szCs w:val="20"/>
                <w:color w:val="auto"/>
              </w:rPr>
            </w:pPr>
            <w:r>
              <w:rPr>
                <w:rFonts w:ascii="Arial" w:cs="Arial" w:eastAsia="Arial" w:hAnsi="Arial"/>
                <w:sz w:val="12"/>
                <w:szCs w:val="12"/>
                <w:color w:val="auto"/>
              </w:rPr>
              <w:t>Blaine Heck</w:t>
            </w:r>
          </w:p>
        </w:tc>
        <w:tc>
          <w:tcPr>
            <w:tcW w:w="3240" w:type="dxa"/>
            <w:vAlign w:val="bottom"/>
            <w:tcBorders>
              <w:bottom w:val="single" w:sz="8" w:color="00497F"/>
            </w:tcBorders>
            <w:gridSpan w:val="3"/>
          </w:tcPr>
          <w:p>
            <w:pPr>
              <w:ind w:left="720"/>
              <w:spacing w:after="0"/>
              <w:rPr>
                <w:sz w:val="20"/>
                <w:szCs w:val="20"/>
                <w:color w:val="auto"/>
              </w:rPr>
            </w:pPr>
            <w:r>
              <w:rPr>
                <w:rFonts w:ascii="Arial" w:cs="Arial" w:eastAsia="Arial" w:hAnsi="Arial"/>
                <w:sz w:val="12"/>
                <w:szCs w:val="12"/>
                <w:color w:val="auto"/>
              </w:rPr>
              <w:t>(443) 263-6529</w:t>
            </w:r>
          </w:p>
        </w:tc>
        <w:tc>
          <w:tcPr>
            <w:tcW w:w="2520" w:type="dxa"/>
            <w:vAlign w:val="bottom"/>
            <w:tcBorders>
              <w:bottom w:val="single" w:sz="8" w:color="00497F"/>
              <w:right w:val="single" w:sz="8" w:color="00497F"/>
            </w:tcBorders>
            <w:gridSpan w:val="2"/>
          </w:tcPr>
          <w:p>
            <w:pPr>
              <w:spacing w:after="0"/>
              <w:rPr>
                <w:sz w:val="20"/>
                <w:szCs w:val="20"/>
                <w:color w:val="auto"/>
              </w:rPr>
            </w:pPr>
            <w:r>
              <w:rPr>
                <w:rFonts w:ascii="Arial" w:cs="Arial" w:eastAsia="Arial" w:hAnsi="Arial"/>
                <w:sz w:val="12"/>
                <w:szCs w:val="12"/>
                <w:color w:val="auto"/>
              </w:rPr>
              <w:t>blaine.heck@wellsfargo.com</w:t>
            </w:r>
          </w:p>
        </w:tc>
      </w:tr>
    </w:tbl>
    <w:p>
      <w:pPr>
        <w:spacing w:after="0" w:line="29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FIXED INCOME COVERAGE</w:t>
      </w:r>
    </w:p>
    <w:p>
      <w:pPr>
        <w:spacing w:after="0" w:line="248" w:lineRule="exact"/>
        <w:rPr>
          <w:sz w:val="20"/>
          <w:szCs w:val="20"/>
          <w:color w:val="auto"/>
        </w:rPr>
      </w:pPr>
    </w:p>
    <w:tbl>
      <w:tblPr>
        <w:tblLayout w:type="fixed"/>
        <w:tblInd w:w="670" w:type="dxa"/>
        <w:tblCellMar>
          <w:top w:w="0" w:type="dxa"/>
          <w:left w:w="0" w:type="dxa"/>
          <w:bottom w:w="0" w:type="dxa"/>
          <w:right w:w="0" w:type="dxa"/>
        </w:tblCellMar>
      </w:tblPr>
      <w:tr>
        <w:trPr>
          <w:trHeight w:val="142"/>
        </w:trPr>
        <w:tc>
          <w:tcPr>
            <w:tcW w:w="40" w:type="dxa"/>
            <w:vAlign w:val="bottom"/>
            <w:tcBorders>
              <w:top w:val="single" w:sz="8" w:color="00497F"/>
              <w:left w:val="single" w:sz="8" w:color="00497F"/>
            </w:tcBorders>
          </w:tcPr>
          <w:p>
            <w:pPr>
              <w:spacing w:after="0"/>
              <w:rPr>
                <w:sz w:val="12"/>
                <w:szCs w:val="12"/>
                <w:color w:val="auto"/>
              </w:rPr>
            </w:pPr>
          </w:p>
        </w:tc>
        <w:tc>
          <w:tcPr>
            <w:tcW w:w="260" w:type="dxa"/>
            <w:vAlign w:val="bottom"/>
            <w:tcBorders>
              <w:top w:val="single" w:sz="8" w:color="00497F"/>
            </w:tcBorders>
          </w:tcPr>
          <w:p>
            <w:pPr>
              <w:spacing w:after="0"/>
              <w:rPr>
                <w:sz w:val="20"/>
                <w:szCs w:val="20"/>
                <w:color w:val="auto"/>
              </w:rPr>
            </w:pPr>
            <w:r>
              <w:rPr>
                <w:rFonts w:ascii="Arial" w:cs="Arial" w:eastAsia="Arial" w:hAnsi="Arial"/>
                <w:sz w:val="12"/>
                <w:szCs w:val="12"/>
                <w:b w:val="1"/>
                <w:bCs w:val="1"/>
                <w:color w:val="auto"/>
                <w:w w:val="92"/>
              </w:rPr>
              <w:t>Firm</w:t>
            </w:r>
          </w:p>
        </w:tc>
        <w:tc>
          <w:tcPr>
            <w:tcW w:w="2260" w:type="dxa"/>
            <w:vAlign w:val="bottom"/>
            <w:tcBorders>
              <w:top w:val="single" w:sz="8" w:color="00497F"/>
            </w:tcBorders>
          </w:tcPr>
          <w:p>
            <w:pPr>
              <w:spacing w:after="0"/>
              <w:rPr>
                <w:sz w:val="12"/>
                <w:szCs w:val="12"/>
                <w:color w:val="auto"/>
              </w:rPr>
            </w:pPr>
          </w:p>
        </w:tc>
        <w:tc>
          <w:tcPr>
            <w:tcW w:w="380" w:type="dxa"/>
            <w:vAlign w:val="bottom"/>
            <w:tcBorders>
              <w:top w:val="single" w:sz="8" w:color="00497F"/>
            </w:tcBorders>
          </w:tcPr>
          <w:p>
            <w:pPr>
              <w:spacing w:after="0"/>
              <w:rPr>
                <w:sz w:val="20"/>
                <w:szCs w:val="20"/>
                <w:color w:val="auto"/>
              </w:rPr>
            </w:pPr>
            <w:r>
              <w:rPr>
                <w:rFonts w:ascii="Arial" w:cs="Arial" w:eastAsia="Arial" w:hAnsi="Arial"/>
                <w:sz w:val="12"/>
                <w:szCs w:val="12"/>
                <w:b w:val="1"/>
                <w:bCs w:val="1"/>
                <w:color w:val="auto"/>
                <w:w w:val="82"/>
              </w:rPr>
              <w:t>Analyst</w:t>
            </w:r>
          </w:p>
        </w:tc>
        <w:tc>
          <w:tcPr>
            <w:tcW w:w="1300" w:type="dxa"/>
            <w:vAlign w:val="bottom"/>
            <w:tcBorders>
              <w:top w:val="single" w:sz="8" w:color="00497F"/>
            </w:tcBorders>
          </w:tcPr>
          <w:p>
            <w:pPr>
              <w:spacing w:after="0"/>
              <w:rPr>
                <w:sz w:val="12"/>
                <w:szCs w:val="12"/>
                <w:color w:val="auto"/>
              </w:rPr>
            </w:pPr>
          </w:p>
        </w:tc>
        <w:tc>
          <w:tcPr>
            <w:tcW w:w="3360" w:type="dxa"/>
            <w:vAlign w:val="bottom"/>
            <w:tcBorders>
              <w:top w:val="single" w:sz="8" w:color="00497F"/>
            </w:tcBorders>
            <w:gridSpan w:val="3"/>
          </w:tcPr>
          <w:p>
            <w:pPr>
              <w:ind w:left="840"/>
              <w:spacing w:after="0"/>
              <w:rPr>
                <w:sz w:val="20"/>
                <w:szCs w:val="20"/>
                <w:color w:val="auto"/>
              </w:rPr>
            </w:pPr>
            <w:r>
              <w:rPr>
                <w:rFonts w:ascii="Arial" w:cs="Arial" w:eastAsia="Arial" w:hAnsi="Arial"/>
                <w:sz w:val="12"/>
                <w:szCs w:val="12"/>
                <w:b w:val="1"/>
                <w:bCs w:val="1"/>
                <w:color w:val="auto"/>
              </w:rPr>
              <w:t>Phone</w:t>
            </w:r>
          </w:p>
        </w:tc>
        <w:tc>
          <w:tcPr>
            <w:tcW w:w="2520" w:type="dxa"/>
            <w:vAlign w:val="bottom"/>
            <w:tcBorders>
              <w:top w:val="single" w:sz="8" w:color="00497F"/>
              <w:right w:val="single" w:sz="8" w:color="00497F"/>
            </w:tcBorders>
            <w:gridSpan w:val="2"/>
          </w:tcPr>
          <w:p>
            <w:pPr>
              <w:spacing w:after="0"/>
              <w:rPr>
                <w:sz w:val="20"/>
                <w:szCs w:val="20"/>
                <w:color w:val="auto"/>
              </w:rPr>
            </w:pPr>
            <w:r>
              <w:rPr>
                <w:rFonts w:ascii="Arial" w:cs="Arial" w:eastAsia="Arial" w:hAnsi="Arial"/>
                <w:sz w:val="12"/>
                <w:szCs w:val="12"/>
                <w:b w:val="1"/>
                <w:bCs w:val="1"/>
                <w:color w:val="auto"/>
              </w:rPr>
              <w:t>Email</w:t>
            </w:r>
          </w:p>
        </w:tc>
      </w:tr>
      <w:tr>
        <w:trPr>
          <w:trHeight w:val="20"/>
        </w:trPr>
        <w:tc>
          <w:tcPr>
            <w:tcW w:w="40" w:type="dxa"/>
            <w:vAlign w:val="bottom"/>
            <w:tcBorders>
              <w:left w:val="single" w:sz="8" w:color="00497F"/>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Borders>
              <w:right w:val="single" w:sz="8" w:color="00497F"/>
            </w:tcBorders>
          </w:tcPr>
          <w:p>
            <w:pPr>
              <w:spacing w:after="0" w:line="20" w:lineRule="exact"/>
              <w:rPr>
                <w:sz w:val="1"/>
                <w:szCs w:val="1"/>
                <w:color w:val="auto"/>
              </w:rPr>
            </w:pPr>
          </w:p>
        </w:tc>
      </w:tr>
      <w:tr>
        <w:trPr>
          <w:trHeight w:val="167"/>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Citigroup</w:t>
            </w:r>
          </w:p>
        </w:tc>
        <w:tc>
          <w:tcPr>
            <w:tcW w:w="1680" w:type="dxa"/>
            <w:vAlign w:val="bottom"/>
            <w:gridSpan w:val="2"/>
          </w:tcPr>
          <w:p>
            <w:pPr>
              <w:spacing w:after="0"/>
              <w:rPr>
                <w:sz w:val="20"/>
                <w:szCs w:val="20"/>
                <w:color w:val="auto"/>
              </w:rPr>
            </w:pPr>
            <w:r>
              <w:rPr>
                <w:rFonts w:ascii="Arial" w:cs="Arial" w:eastAsia="Arial" w:hAnsi="Arial"/>
                <w:sz w:val="12"/>
                <w:szCs w:val="12"/>
                <w:color w:val="auto"/>
              </w:rPr>
              <w:t>Thomas Cook</w:t>
            </w:r>
          </w:p>
        </w:tc>
        <w:tc>
          <w:tcPr>
            <w:tcW w:w="1140" w:type="dxa"/>
            <w:vAlign w:val="bottom"/>
            <w:gridSpan w:val="2"/>
          </w:tcPr>
          <w:p>
            <w:pPr>
              <w:ind w:left="840"/>
              <w:spacing w:after="0"/>
              <w:rPr>
                <w:sz w:val="20"/>
                <w:szCs w:val="20"/>
                <w:color w:val="auto"/>
              </w:rPr>
            </w:pPr>
            <w:r>
              <w:rPr>
                <w:rFonts w:ascii="Arial" w:cs="Arial" w:eastAsia="Arial" w:hAnsi="Arial"/>
                <w:sz w:val="12"/>
                <w:szCs w:val="12"/>
                <w:color w:val="auto"/>
                <w:w w:val="92"/>
              </w:rPr>
              <w:t>(212)</w:t>
            </w:r>
          </w:p>
        </w:tc>
        <w:tc>
          <w:tcPr>
            <w:tcW w:w="2220" w:type="dxa"/>
            <w:vAlign w:val="bottom"/>
          </w:tcPr>
          <w:p>
            <w:pPr>
              <w:spacing w:after="0"/>
              <w:rPr>
                <w:sz w:val="20"/>
                <w:szCs w:val="20"/>
                <w:color w:val="auto"/>
              </w:rPr>
            </w:pPr>
            <w:r>
              <w:rPr>
                <w:rFonts w:ascii="Arial" w:cs="Arial" w:eastAsia="Arial" w:hAnsi="Arial"/>
                <w:sz w:val="12"/>
                <w:szCs w:val="12"/>
                <w:color w:val="auto"/>
              </w:rPr>
              <w:t>723-1112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thomas.n.cook@citi.com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Goldman Sachs &amp; Co.</w:t>
            </w:r>
          </w:p>
        </w:tc>
        <w:tc>
          <w:tcPr>
            <w:tcW w:w="1680" w:type="dxa"/>
            <w:vAlign w:val="bottom"/>
            <w:gridSpan w:val="2"/>
          </w:tcPr>
          <w:p>
            <w:pPr>
              <w:spacing w:after="0"/>
              <w:rPr>
                <w:sz w:val="20"/>
                <w:szCs w:val="20"/>
                <w:color w:val="auto"/>
              </w:rPr>
            </w:pPr>
            <w:r>
              <w:rPr>
                <w:rFonts w:ascii="Arial" w:cs="Arial" w:eastAsia="Arial" w:hAnsi="Arial"/>
                <w:sz w:val="12"/>
                <w:szCs w:val="12"/>
                <w:color w:val="auto"/>
              </w:rPr>
              <w:t>Louise Pitt</w:t>
            </w:r>
          </w:p>
        </w:tc>
        <w:tc>
          <w:tcPr>
            <w:tcW w:w="1140" w:type="dxa"/>
            <w:vAlign w:val="bottom"/>
            <w:gridSpan w:val="2"/>
          </w:tcPr>
          <w:p>
            <w:pPr>
              <w:ind w:left="840"/>
              <w:spacing w:after="0"/>
              <w:rPr>
                <w:sz w:val="20"/>
                <w:szCs w:val="20"/>
                <w:color w:val="auto"/>
              </w:rPr>
            </w:pPr>
            <w:r>
              <w:rPr>
                <w:rFonts w:ascii="Arial" w:cs="Arial" w:eastAsia="Arial" w:hAnsi="Arial"/>
                <w:sz w:val="12"/>
                <w:szCs w:val="12"/>
                <w:color w:val="auto"/>
                <w:w w:val="92"/>
              </w:rPr>
              <w:t>(212)</w:t>
            </w:r>
          </w:p>
        </w:tc>
        <w:tc>
          <w:tcPr>
            <w:tcW w:w="2220" w:type="dxa"/>
            <w:vAlign w:val="bottom"/>
          </w:tcPr>
          <w:p>
            <w:pPr>
              <w:spacing w:after="0"/>
              <w:rPr>
                <w:sz w:val="20"/>
                <w:szCs w:val="20"/>
                <w:color w:val="auto"/>
              </w:rPr>
            </w:pPr>
            <w:r>
              <w:rPr>
                <w:rFonts w:ascii="Arial" w:cs="Arial" w:eastAsia="Arial" w:hAnsi="Arial"/>
                <w:sz w:val="12"/>
                <w:szCs w:val="12"/>
                <w:color w:val="auto"/>
              </w:rPr>
              <w:t>902-3644</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louise.pitt@gs.com</w:t>
            </w:r>
          </w:p>
        </w:tc>
      </w:tr>
      <w:tr>
        <w:trPr>
          <w:trHeight w:val="164"/>
        </w:trPr>
        <w:tc>
          <w:tcPr>
            <w:tcW w:w="40" w:type="dxa"/>
            <w:vAlign w:val="bottom"/>
            <w:tcBorders>
              <w:left w:val="single" w:sz="8" w:color="00497F"/>
            </w:tcBorders>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JP Morgan Securities, Inc.</w:t>
            </w:r>
          </w:p>
        </w:tc>
        <w:tc>
          <w:tcPr>
            <w:tcW w:w="1680" w:type="dxa"/>
            <w:vAlign w:val="bottom"/>
            <w:gridSpan w:val="2"/>
          </w:tcPr>
          <w:p>
            <w:pPr>
              <w:spacing w:after="0"/>
              <w:rPr>
                <w:sz w:val="20"/>
                <w:szCs w:val="20"/>
                <w:color w:val="auto"/>
              </w:rPr>
            </w:pPr>
            <w:r>
              <w:rPr>
                <w:rFonts w:ascii="Arial" w:cs="Arial" w:eastAsia="Arial" w:hAnsi="Arial"/>
                <w:sz w:val="12"/>
                <w:szCs w:val="12"/>
                <w:color w:val="auto"/>
              </w:rPr>
              <w:t>Mark Streeter</w:t>
            </w:r>
          </w:p>
        </w:tc>
        <w:tc>
          <w:tcPr>
            <w:tcW w:w="1140" w:type="dxa"/>
            <w:vAlign w:val="bottom"/>
            <w:gridSpan w:val="2"/>
          </w:tcPr>
          <w:p>
            <w:pPr>
              <w:ind w:left="840"/>
              <w:spacing w:after="0"/>
              <w:rPr>
                <w:sz w:val="20"/>
                <w:szCs w:val="20"/>
                <w:color w:val="auto"/>
              </w:rPr>
            </w:pPr>
            <w:r>
              <w:rPr>
                <w:rFonts w:ascii="Arial" w:cs="Arial" w:eastAsia="Arial" w:hAnsi="Arial"/>
                <w:sz w:val="12"/>
                <w:szCs w:val="12"/>
                <w:color w:val="auto"/>
                <w:w w:val="92"/>
              </w:rPr>
              <w:t>(212)</w:t>
            </w:r>
          </w:p>
        </w:tc>
        <w:tc>
          <w:tcPr>
            <w:tcW w:w="2220" w:type="dxa"/>
            <w:vAlign w:val="bottom"/>
          </w:tcPr>
          <w:p>
            <w:pPr>
              <w:spacing w:after="0"/>
              <w:rPr>
                <w:sz w:val="20"/>
                <w:szCs w:val="20"/>
                <w:color w:val="auto"/>
              </w:rPr>
            </w:pPr>
            <w:r>
              <w:rPr>
                <w:rFonts w:ascii="Arial" w:cs="Arial" w:eastAsia="Arial" w:hAnsi="Arial"/>
                <w:sz w:val="12"/>
                <w:szCs w:val="12"/>
                <w:color w:val="auto"/>
              </w:rPr>
              <w:t>834-6601</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mark.streeter@jpmorgan.com</w:t>
            </w:r>
          </w:p>
        </w:tc>
      </w:tr>
      <w:tr>
        <w:trPr>
          <w:trHeight w:val="169"/>
        </w:trPr>
        <w:tc>
          <w:tcPr>
            <w:tcW w:w="40" w:type="dxa"/>
            <w:vAlign w:val="bottom"/>
            <w:tcBorders>
              <w:left w:val="single" w:sz="8" w:color="00497F"/>
              <w:bottom w:val="single" w:sz="8" w:color="00497F"/>
            </w:tcBorders>
          </w:tcPr>
          <w:p>
            <w:pPr>
              <w:spacing w:after="0"/>
              <w:rPr>
                <w:sz w:val="14"/>
                <w:szCs w:val="14"/>
                <w:color w:val="auto"/>
              </w:rPr>
            </w:pPr>
          </w:p>
        </w:tc>
        <w:tc>
          <w:tcPr>
            <w:tcW w:w="2520" w:type="dxa"/>
            <w:vAlign w:val="bottom"/>
            <w:tcBorders>
              <w:bottom w:val="single" w:sz="8" w:color="00497F"/>
            </w:tcBorders>
            <w:gridSpan w:val="2"/>
          </w:tcPr>
          <w:p>
            <w:pPr>
              <w:spacing w:after="0"/>
              <w:rPr>
                <w:sz w:val="20"/>
                <w:szCs w:val="20"/>
                <w:color w:val="auto"/>
              </w:rPr>
            </w:pPr>
            <w:r>
              <w:rPr>
                <w:rFonts w:ascii="Arial" w:cs="Arial" w:eastAsia="Arial" w:hAnsi="Arial"/>
                <w:sz w:val="12"/>
                <w:szCs w:val="12"/>
                <w:color w:val="auto"/>
              </w:rPr>
              <w:t>Wells Fargo Securities, LLC</w:t>
            </w:r>
          </w:p>
        </w:tc>
        <w:tc>
          <w:tcPr>
            <w:tcW w:w="1680" w:type="dxa"/>
            <w:vAlign w:val="bottom"/>
            <w:tcBorders>
              <w:bottom w:val="single" w:sz="8" w:color="00497F"/>
            </w:tcBorders>
            <w:gridSpan w:val="2"/>
          </w:tcPr>
          <w:p>
            <w:pPr>
              <w:spacing w:after="0"/>
              <w:rPr>
                <w:sz w:val="20"/>
                <w:szCs w:val="20"/>
                <w:color w:val="auto"/>
              </w:rPr>
            </w:pPr>
            <w:r>
              <w:rPr>
                <w:rFonts w:ascii="Arial" w:cs="Arial" w:eastAsia="Arial" w:hAnsi="Arial"/>
                <w:sz w:val="12"/>
                <w:szCs w:val="12"/>
                <w:color w:val="auto"/>
              </w:rPr>
              <w:t>Thierry B. Perrein</w:t>
            </w:r>
          </w:p>
        </w:tc>
        <w:tc>
          <w:tcPr>
            <w:tcW w:w="1140" w:type="dxa"/>
            <w:vAlign w:val="bottom"/>
            <w:tcBorders>
              <w:bottom w:val="single" w:sz="8" w:color="00497F"/>
            </w:tcBorders>
            <w:gridSpan w:val="2"/>
          </w:tcPr>
          <w:p>
            <w:pPr>
              <w:ind w:left="840"/>
              <w:spacing w:after="0"/>
              <w:rPr>
                <w:sz w:val="20"/>
                <w:szCs w:val="20"/>
                <w:color w:val="auto"/>
              </w:rPr>
            </w:pPr>
            <w:r>
              <w:rPr>
                <w:rFonts w:ascii="Arial" w:cs="Arial" w:eastAsia="Arial" w:hAnsi="Arial"/>
                <w:sz w:val="12"/>
                <w:szCs w:val="12"/>
                <w:color w:val="auto"/>
                <w:w w:val="92"/>
              </w:rPr>
              <w:t>(704)</w:t>
            </w:r>
          </w:p>
        </w:tc>
        <w:tc>
          <w:tcPr>
            <w:tcW w:w="2220" w:type="dxa"/>
            <w:vAlign w:val="bottom"/>
            <w:tcBorders>
              <w:bottom w:val="single" w:sz="8" w:color="00497F"/>
            </w:tcBorders>
          </w:tcPr>
          <w:p>
            <w:pPr>
              <w:spacing w:after="0"/>
              <w:rPr>
                <w:sz w:val="20"/>
                <w:szCs w:val="20"/>
                <w:color w:val="auto"/>
              </w:rPr>
            </w:pPr>
            <w:r>
              <w:rPr>
                <w:rFonts w:ascii="Arial" w:cs="Arial" w:eastAsia="Arial" w:hAnsi="Arial"/>
                <w:sz w:val="12"/>
                <w:szCs w:val="12"/>
                <w:color w:val="auto"/>
              </w:rPr>
              <w:t>715-8455</w:t>
            </w:r>
          </w:p>
        </w:tc>
        <w:tc>
          <w:tcPr>
            <w:tcW w:w="2520" w:type="dxa"/>
            <w:vAlign w:val="bottom"/>
            <w:tcBorders>
              <w:bottom w:val="single" w:sz="8" w:color="00497F"/>
              <w:right w:val="single" w:sz="8" w:color="00497F"/>
            </w:tcBorders>
            <w:gridSpan w:val="2"/>
          </w:tcPr>
          <w:p>
            <w:pPr>
              <w:spacing w:after="0"/>
              <w:rPr>
                <w:sz w:val="20"/>
                <w:szCs w:val="20"/>
                <w:color w:val="auto"/>
              </w:rPr>
            </w:pPr>
            <w:r>
              <w:rPr>
                <w:rFonts w:ascii="Arial" w:cs="Arial" w:eastAsia="Arial" w:hAnsi="Arial"/>
                <w:sz w:val="12"/>
                <w:szCs w:val="12"/>
                <w:color w:val="auto"/>
              </w:rPr>
              <w:t>thierry.perrein@wellsfargo.com</w:t>
            </w:r>
          </w:p>
        </w:tc>
      </w:tr>
    </w:tbl>
    <w:p>
      <w:pPr>
        <w:spacing w:after="0" w:line="291" w:lineRule="exact"/>
        <w:rPr>
          <w:sz w:val="20"/>
          <w:szCs w:val="20"/>
          <w:color w:val="auto"/>
        </w:rPr>
      </w:pPr>
    </w:p>
    <w:p>
      <w:pPr>
        <w:spacing w:after="0" w:line="319" w:lineRule="auto"/>
        <w:rPr>
          <w:sz w:val="20"/>
          <w:szCs w:val="20"/>
          <w:color w:val="auto"/>
        </w:rPr>
      </w:pPr>
      <w:r>
        <w:rPr>
          <w:rFonts w:ascii="Arial" w:cs="Arial" w:eastAsia="Arial" w:hAnsi="Arial"/>
          <w:sz w:val="10"/>
          <w:szCs w:val="10"/>
          <w:i w:val="1"/>
          <w:iCs w:val="1"/>
          <w:color w:val="auto"/>
        </w:rPr>
        <w:t>SL Green Realty Corp. is followed by the analysts listed above. Please note that any opinions, estimates or forecasts regarding SL Green Realty Corp.'s performance made by these analysts are theirs alone and do not represent opinions, forecasts or predictions of SL Green Realty Corp. or its management. SL Green Realty Corp. does not by its reference above or distribution imply its endorsement of or concurrence with such information, conclusions or recommendations.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20"/>
          </w:cols>
          <w:pgMar w:left="240" w:top="338" w:right="239" w:bottom="1440" w:gutter="0" w:footer="0" w:header="0"/>
        </w:sectPr>
      </w:pPr>
    </w:p>
    <w:bookmarkStart w:id="73" w:name="page74"/>
    <w:bookmarkEnd w:id="73"/>
    <w:p>
      <w:pPr>
        <w:ind w:left="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SUPPLEMENTAL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-41275</wp:posOffset>
            </wp:positionV>
            <wp:extent cx="6412230" cy="430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is calculated by adding income taxes, loan loss reserves and our share of</w:t>
      </w:r>
      <w:r>
        <w:rPr>
          <w:rFonts w:ascii="Arial" w:cs="Arial" w:eastAsia="Arial" w:hAnsi="Arial"/>
          <w:sz w:val="15"/>
          <w:szCs w:val="15"/>
          <w:b w:val="1"/>
          <w:bCs w:val="1"/>
          <w:color w:val="auto"/>
        </w:rPr>
        <w:t xml:space="preserve"> </w:t>
      </w:r>
      <w:r>
        <w:rPr>
          <w:rFonts w:ascii="Arial" w:cs="Arial" w:eastAsia="Arial" w:hAnsi="Arial"/>
          <w:sz w:val="15"/>
          <w:szCs w:val="15"/>
          <w:color w:val="auto"/>
        </w:rPr>
        <w:t>joint venture depreciation and amortization to operating income.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color w:val="auto"/>
        </w:rPr>
        <w:t xml:space="preserve">Annualized rent </w:t>
      </w:r>
      <w:r>
        <w:rPr>
          <w:rFonts w:ascii="Arial" w:cs="Arial" w:eastAsia="Arial" w:hAnsi="Arial"/>
          <w:sz w:val="15"/>
          <w:szCs w:val="15"/>
          <w:color w:val="auto"/>
        </w:rPr>
        <w:t>is calculated as monthly base rent and escalations per the lease, as of a</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date, multiplied by 12.</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Debt service coverage </w:t>
      </w:r>
      <w:r>
        <w:rPr>
          <w:rFonts w:ascii="Arial" w:cs="Arial" w:eastAsia="Arial" w:hAnsi="Arial"/>
          <w:sz w:val="12"/>
          <w:szCs w:val="12"/>
          <w:color w:val="auto"/>
        </w:rPr>
        <w:t>is adjusted EBITDA divided by total interest and principal payments.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color w:val="auto"/>
        </w:rPr>
        <w:t>Fixed charg</w:t>
      </w:r>
      <w:r>
        <w:rPr>
          <w:rFonts w:ascii="Arial" w:cs="Arial" w:eastAsia="Arial" w:hAnsi="Arial"/>
          <w:sz w:val="15"/>
          <w:szCs w:val="15"/>
          <w:color w:val="auto"/>
        </w:rPr>
        <w:t>e is the total payments for interest, principal amortization, ground leases and</w:t>
      </w:r>
      <w:r>
        <w:rPr>
          <w:rFonts w:ascii="Arial" w:cs="Arial" w:eastAsia="Arial" w:hAnsi="Arial"/>
          <w:sz w:val="15"/>
          <w:szCs w:val="15"/>
          <w:b w:val="1"/>
          <w:bCs w:val="1"/>
          <w:color w:val="auto"/>
        </w:rPr>
        <w:t xml:space="preserve"> </w:t>
      </w:r>
      <w:r>
        <w:rPr>
          <w:rFonts w:ascii="Arial" w:cs="Arial" w:eastAsia="Arial" w:hAnsi="Arial"/>
          <w:sz w:val="15"/>
          <w:szCs w:val="15"/>
          <w:color w:val="auto"/>
        </w:rPr>
        <w:t>preferred stock dividend.</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Fixed charge coverage </w:t>
      </w:r>
      <w:r>
        <w:rPr>
          <w:rFonts w:ascii="Arial" w:cs="Arial" w:eastAsia="Arial" w:hAnsi="Arial"/>
          <w:sz w:val="15"/>
          <w:szCs w:val="15"/>
          <w:color w:val="auto"/>
        </w:rPr>
        <w:t>is adjusted EBITDA divided by fixed charge.</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 xml:space="preserve">Funds available for distribution (FAD) </w:t>
      </w:r>
      <w:r>
        <w:rPr>
          <w:rFonts w:ascii="Arial" w:cs="Arial" w:eastAsia="Arial" w:hAnsi="Arial"/>
          <w:sz w:val="14"/>
          <w:szCs w:val="14"/>
          <w:color w:val="auto"/>
        </w:rPr>
        <w:t>is defined as FFO plus non-real estate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allowance for straight line credit loss, adjustment for straight line ground rent, non-cash deferred compensation, a pro-rata adjustment for FAD for SLG’s unconsolidated JV, less straight line rental income, free rent net of amortization, second cycle tenant improvement and leasing costs, and recurring building improvements.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color w:val="auto"/>
        </w:rPr>
        <w:t xml:space="preserve">Funds from operations (FFO) </w:t>
      </w:r>
      <w:r>
        <w:rPr>
          <w:rFonts w:ascii="Arial" w:cs="Arial" w:eastAsia="Arial" w:hAnsi="Arial"/>
          <w:sz w:val="15"/>
          <w:szCs w:val="15"/>
          <w:color w:val="auto"/>
        </w:rPr>
        <w:t>is defined under the White Paper approved by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Governors of NAREIT in April 2002, as amended, as net income (loss) (computed in accordance with GAAP), sales of properties and real estate related impairment charges, plus real estate depreciation and amortization and after adjustments for unconsolidated partnerships and joint ventures.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Interest coverage </w:t>
      </w:r>
      <w:r>
        <w:rPr>
          <w:rFonts w:ascii="Arial" w:cs="Arial" w:eastAsia="Arial" w:hAnsi="Arial"/>
          <w:sz w:val="15"/>
          <w:szCs w:val="15"/>
          <w:color w:val="auto"/>
        </w:rPr>
        <w:t>is adjusted EBITDA divided by total interest expense.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Junior Mortgage Participations </w:t>
      </w:r>
      <w:r>
        <w:rPr>
          <w:rFonts w:ascii="Arial" w:cs="Arial" w:eastAsia="Arial" w:hAnsi="Arial"/>
          <w:sz w:val="15"/>
          <w:szCs w:val="15"/>
          <w:color w:val="auto"/>
        </w:rPr>
        <w:t>are subordinate interests in first mortgages.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Mezzanine Debt Loans </w:t>
      </w:r>
      <w:r>
        <w:rPr>
          <w:rFonts w:ascii="Arial" w:cs="Arial" w:eastAsia="Arial" w:hAnsi="Arial"/>
          <w:sz w:val="15"/>
          <w:szCs w:val="15"/>
          <w:color w:val="auto"/>
        </w:rPr>
        <w:t>are loans secured by ownership interests.</w:t>
      </w:r>
    </w:p>
    <w:p>
      <w:pPr>
        <w:spacing w:after="0" w:line="17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color w:val="auto"/>
        </w:rPr>
        <w:t xml:space="preserve">Percentage leased </w:t>
      </w:r>
      <w:r>
        <w:rPr>
          <w:rFonts w:ascii="Arial" w:cs="Arial" w:eastAsia="Arial" w:hAnsi="Arial"/>
          <w:sz w:val="14"/>
          <w:szCs w:val="14"/>
          <w:color w:val="auto"/>
        </w:rPr>
        <w:t>represents the percentage of leased square feet, including month-to-month</w:t>
      </w:r>
      <w:r>
        <w:rPr>
          <w:rFonts w:ascii="Arial" w:cs="Arial" w:eastAsia="Arial" w:hAnsi="Arial"/>
          <w:sz w:val="14"/>
          <w:szCs w:val="14"/>
          <w:b w:val="1"/>
          <w:bCs w:val="1"/>
          <w:color w:val="auto"/>
        </w:rPr>
        <w:t xml:space="preserve"> </w:t>
      </w:r>
      <w:r>
        <w:rPr>
          <w:rFonts w:ascii="Arial" w:cs="Arial" w:eastAsia="Arial" w:hAnsi="Arial"/>
          <w:sz w:val="14"/>
          <w:szCs w:val="14"/>
          <w:color w:val="auto"/>
        </w:rPr>
        <w:t>leases, to total rentable square feet owned, as of the date reported. Space is considered leased when the tenant has either taken physical or economic occupancy.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300"/>
        <w:spacing w:after="0" w:line="264" w:lineRule="auto"/>
        <w:rPr>
          <w:sz w:val="20"/>
          <w:szCs w:val="20"/>
          <w:color w:val="auto"/>
        </w:rPr>
      </w:pPr>
      <w:r>
        <w:rPr>
          <w:rFonts w:ascii="Arial" w:cs="Arial" w:eastAsia="Arial" w:hAnsi="Arial"/>
          <w:sz w:val="15"/>
          <w:szCs w:val="15"/>
          <w:b w:val="1"/>
          <w:bCs w:val="1"/>
          <w:color w:val="auto"/>
        </w:rPr>
        <w:t xml:space="preserve">Preferred Equity Investments </w:t>
      </w:r>
      <w:r>
        <w:rPr>
          <w:rFonts w:ascii="Arial" w:cs="Arial" w:eastAsia="Arial" w:hAnsi="Arial"/>
          <w:sz w:val="15"/>
          <w:szCs w:val="15"/>
          <w:color w:val="auto"/>
        </w:rPr>
        <w:t>are equity investments entitled to preferential returns that are</w:t>
      </w:r>
      <w:r>
        <w:rPr>
          <w:rFonts w:ascii="Arial" w:cs="Arial" w:eastAsia="Arial" w:hAnsi="Arial"/>
          <w:sz w:val="15"/>
          <w:szCs w:val="15"/>
          <w:b w:val="1"/>
          <w:bCs w:val="1"/>
          <w:color w:val="auto"/>
        </w:rPr>
        <w:t xml:space="preserve"> </w:t>
      </w:r>
      <w:r>
        <w:rPr>
          <w:rFonts w:ascii="Arial" w:cs="Arial" w:eastAsia="Arial" w:hAnsi="Arial"/>
          <w:sz w:val="15"/>
          <w:szCs w:val="15"/>
          <w:color w:val="auto"/>
        </w:rPr>
        <w:t>senior to common equity.</w:t>
      </w:r>
    </w:p>
    <w:p>
      <w:pPr>
        <w:spacing w:after="0" w:line="145" w:lineRule="exact"/>
        <w:rPr>
          <w:sz w:val="20"/>
          <w:szCs w:val="20"/>
          <w:color w:val="auto"/>
        </w:rPr>
      </w:pPr>
    </w:p>
    <w:p>
      <w:pPr>
        <w:jc w:val="both"/>
        <w:ind w:left="300"/>
        <w:spacing w:after="0" w:line="248" w:lineRule="auto"/>
        <w:rPr>
          <w:sz w:val="20"/>
          <w:szCs w:val="20"/>
          <w:color w:val="auto"/>
        </w:rPr>
      </w:pPr>
      <w:r>
        <w:rPr>
          <w:rFonts w:ascii="Arial" w:cs="Arial" w:eastAsia="Arial" w:hAnsi="Arial"/>
          <w:sz w:val="15"/>
          <w:szCs w:val="15"/>
          <w:b w:val="1"/>
          <w:bCs w:val="1"/>
          <w:color w:val="auto"/>
        </w:rPr>
        <w:t xml:space="preserve">Recurring capital expenditures </w:t>
      </w:r>
      <w:r>
        <w:rPr>
          <w:rFonts w:ascii="Arial" w:cs="Arial" w:eastAsia="Arial" w:hAnsi="Arial"/>
          <w:sz w:val="15"/>
          <w:szCs w:val="15"/>
          <w:color w:val="auto"/>
        </w:rPr>
        <w:t>represents non-incremental building improvements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leasing costs required to maintain current revenues. Recurring capital expenditures do not include immediate building improvements that were taken into consideration when underwriting the purchase of a building or which are incurred to bring a building up to “operating standard.”</w:t>
      </w:r>
    </w:p>
    <w:p>
      <w:pPr>
        <w:spacing w:after="0" w:line="158" w:lineRule="exact"/>
        <w:rPr>
          <w:sz w:val="20"/>
          <w:szCs w:val="20"/>
          <w:color w:val="auto"/>
        </w:rPr>
      </w:pPr>
    </w:p>
    <w:p>
      <w:pPr>
        <w:jc w:val="both"/>
        <w:ind w:left="300"/>
        <w:spacing w:after="0" w:line="253" w:lineRule="auto"/>
        <w:rPr>
          <w:sz w:val="20"/>
          <w:szCs w:val="20"/>
          <w:color w:val="auto"/>
        </w:rPr>
      </w:pPr>
      <w:r>
        <w:rPr>
          <w:rFonts w:ascii="Arial" w:cs="Arial" w:eastAsia="Arial" w:hAnsi="Arial"/>
          <w:sz w:val="15"/>
          <w:szCs w:val="15"/>
          <w:b w:val="1"/>
          <w:bCs w:val="1"/>
          <w:color w:val="auto"/>
        </w:rPr>
        <w:t xml:space="preserve">Redevelopment costs </w:t>
      </w:r>
      <w:r>
        <w:rPr>
          <w:rFonts w:ascii="Arial" w:cs="Arial" w:eastAsia="Arial" w:hAnsi="Arial"/>
          <w:sz w:val="15"/>
          <w:szCs w:val="15"/>
          <w:color w:val="auto"/>
        </w:rPr>
        <w:t>are non-recurring capital expenditures incurred in order to improve</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buildings to SLG’s “operating standards.” These building costs are taken into consideration during the underwriting for a given property’s acquisition.</w:t>
      </w:r>
    </w:p>
    <w:p>
      <w:pPr>
        <w:spacing w:after="0" w:line="154" w:lineRule="exact"/>
        <w:rPr>
          <w:sz w:val="20"/>
          <w:szCs w:val="20"/>
          <w:color w:val="auto"/>
        </w:rPr>
      </w:pPr>
    </w:p>
    <w:p>
      <w:pPr>
        <w:jc w:val="both"/>
        <w:ind w:left="300"/>
        <w:spacing w:after="0" w:line="264" w:lineRule="auto"/>
        <w:rPr>
          <w:sz w:val="20"/>
          <w:szCs w:val="20"/>
          <w:color w:val="auto"/>
        </w:rPr>
      </w:pPr>
      <w:r>
        <w:rPr>
          <w:rFonts w:ascii="Arial" w:cs="Arial" w:eastAsia="Arial" w:hAnsi="Arial"/>
          <w:sz w:val="15"/>
          <w:szCs w:val="15"/>
          <w:b w:val="1"/>
          <w:bCs w:val="1"/>
          <w:color w:val="auto"/>
        </w:rPr>
        <w:t xml:space="preserve">Same-store NOI growth </w:t>
      </w:r>
      <w:r>
        <w:rPr>
          <w:rFonts w:ascii="Arial" w:cs="Arial" w:eastAsia="Arial" w:hAnsi="Arial"/>
          <w:sz w:val="15"/>
          <w:szCs w:val="15"/>
          <w:color w:val="auto"/>
        </w:rPr>
        <w:t>is the change in the NOI of the same-store properties from the prior</w:t>
      </w:r>
      <w:r>
        <w:rPr>
          <w:rFonts w:ascii="Arial" w:cs="Arial" w:eastAsia="Arial" w:hAnsi="Arial"/>
          <w:sz w:val="15"/>
          <w:szCs w:val="15"/>
          <w:b w:val="1"/>
          <w:bCs w:val="1"/>
          <w:color w:val="auto"/>
        </w:rPr>
        <w:t xml:space="preserve"> </w:t>
      </w:r>
      <w:r>
        <w:rPr>
          <w:rFonts w:ascii="Arial" w:cs="Arial" w:eastAsia="Arial" w:hAnsi="Arial"/>
          <w:sz w:val="15"/>
          <w:szCs w:val="15"/>
          <w:color w:val="auto"/>
        </w:rPr>
        <w:t>year reporting period to the current year reporting period.</w:t>
      </w:r>
    </w:p>
    <w:p>
      <w:pPr>
        <w:spacing w:after="0" w:line="145" w:lineRule="exact"/>
        <w:rPr>
          <w:sz w:val="20"/>
          <w:szCs w:val="20"/>
          <w:color w:val="auto"/>
        </w:rPr>
      </w:pPr>
    </w:p>
    <w:p>
      <w:pPr>
        <w:jc w:val="both"/>
        <w:ind w:left="300"/>
        <w:spacing w:after="0" w:line="280" w:lineRule="auto"/>
        <w:rPr>
          <w:sz w:val="20"/>
          <w:szCs w:val="20"/>
          <w:color w:val="auto"/>
        </w:rPr>
      </w:pPr>
      <w:r>
        <w:rPr>
          <w:rFonts w:ascii="Arial" w:cs="Arial" w:eastAsia="Arial" w:hAnsi="Arial"/>
          <w:sz w:val="14"/>
          <w:szCs w:val="14"/>
          <w:b w:val="1"/>
          <w:bCs w:val="1"/>
          <w:color w:val="auto"/>
        </w:rPr>
        <w:t xml:space="preserve">Same-store properties </w:t>
      </w:r>
      <w:r>
        <w:rPr>
          <w:rFonts w:ascii="Arial" w:cs="Arial" w:eastAsia="Arial" w:hAnsi="Arial"/>
          <w:sz w:val="14"/>
          <w:szCs w:val="14"/>
          <w:color w:val="auto"/>
        </w:rPr>
        <w:t>include all properties that were owned in the same manner during</w:t>
      </w:r>
      <w:r>
        <w:rPr>
          <w:rFonts w:ascii="Arial" w:cs="Arial" w:eastAsia="Arial" w:hAnsi="Arial"/>
          <w:sz w:val="14"/>
          <w:szCs w:val="14"/>
          <w:b w:val="1"/>
          <w:bCs w:val="1"/>
          <w:color w:val="auto"/>
        </w:rPr>
        <w:t xml:space="preserve"> </w:t>
      </w:r>
      <w:r>
        <w:rPr>
          <w:rFonts w:ascii="Arial" w:cs="Arial" w:eastAsia="Arial" w:hAnsi="Arial"/>
          <w:sz w:val="14"/>
          <w:szCs w:val="14"/>
          <w:color w:val="auto"/>
        </w:rPr>
        <w:t>both the current and prior year reporting periods, and excludes development properties prior to being stabilized for both the current and prior reporting period.</w:t>
      </w:r>
    </w:p>
    <w:p>
      <w:pPr>
        <w:spacing w:after="0" w:line="136" w:lineRule="exact"/>
        <w:rPr>
          <w:sz w:val="20"/>
          <w:szCs w:val="20"/>
          <w:color w:val="auto"/>
        </w:rPr>
      </w:pPr>
    </w:p>
    <w:p>
      <w:pPr>
        <w:jc w:val="both"/>
        <w:ind w:left="300"/>
        <w:spacing w:after="0" w:line="250" w:lineRule="auto"/>
        <w:rPr>
          <w:sz w:val="20"/>
          <w:szCs w:val="20"/>
          <w:color w:val="auto"/>
        </w:rPr>
      </w:pPr>
      <w:r>
        <w:rPr>
          <w:rFonts w:ascii="Arial" w:cs="Arial" w:eastAsia="Arial" w:hAnsi="Arial"/>
          <w:sz w:val="15"/>
          <w:szCs w:val="15"/>
          <w:b w:val="1"/>
          <w:bCs w:val="1"/>
          <w:color w:val="auto"/>
        </w:rPr>
        <w:t xml:space="preserve">Second generation TIs and LCs </w:t>
      </w:r>
      <w:r>
        <w:rPr>
          <w:rFonts w:ascii="Arial" w:cs="Arial" w:eastAsia="Arial" w:hAnsi="Arial"/>
          <w:sz w:val="15"/>
          <w:szCs w:val="15"/>
          <w:color w:val="auto"/>
        </w:rPr>
        <w:t>are tenant improvements, lease commissions,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leasing costs incurred during leasing of second generation space. Costs incurred prior to leasing available square feet are not included until such space is leased. Second generation space excludes square footage vacant at acquisition.</w:t>
      </w:r>
    </w:p>
    <w:p>
      <w:pPr>
        <w:spacing w:after="0" w:line="156" w:lineRule="exact"/>
        <w:rPr>
          <w:sz w:val="20"/>
          <w:szCs w:val="20"/>
          <w:color w:val="auto"/>
        </w:rPr>
      </w:pPr>
    </w:p>
    <w:p>
      <w:pPr>
        <w:jc w:val="both"/>
        <w:ind w:left="300"/>
        <w:spacing w:after="0" w:line="248" w:lineRule="auto"/>
        <w:rPr>
          <w:sz w:val="20"/>
          <w:szCs w:val="20"/>
          <w:color w:val="auto"/>
        </w:rPr>
      </w:pPr>
      <w:r>
        <w:rPr>
          <w:rFonts w:ascii="Arial" w:cs="Arial" w:eastAsia="Arial" w:hAnsi="Arial"/>
          <w:sz w:val="15"/>
          <w:szCs w:val="15"/>
          <w:b w:val="1"/>
          <w:bCs w:val="1"/>
          <w:color w:val="auto"/>
        </w:rPr>
        <w:t xml:space="preserve">SLG’s share of total debt to market capitalization </w:t>
      </w:r>
      <w:r>
        <w:rPr>
          <w:rFonts w:ascii="Arial" w:cs="Arial" w:eastAsia="Arial" w:hAnsi="Arial"/>
          <w:sz w:val="15"/>
          <w:szCs w:val="15"/>
          <w:color w:val="auto"/>
        </w:rPr>
        <w:t>is calculated as SLG’s share of total debt</w:t>
      </w:r>
      <w:r>
        <w:rPr>
          <w:rFonts w:ascii="Arial" w:cs="Arial" w:eastAsia="Arial" w:hAnsi="Arial"/>
          <w:sz w:val="15"/>
          <w:szCs w:val="15"/>
          <w:b w:val="1"/>
          <w:bCs w:val="1"/>
          <w:color w:val="auto"/>
        </w:rPr>
        <w:t xml:space="preserve"> </w:t>
      </w:r>
      <w:r>
        <w:rPr>
          <w:rFonts w:ascii="Arial" w:cs="Arial" w:eastAsia="Arial" w:hAnsi="Arial"/>
          <w:sz w:val="15"/>
          <w:szCs w:val="15"/>
          <w:color w:val="auto"/>
        </w:rPr>
        <w:t>divided by the sum of total debt plus market equity and preferred stock at liquidation value. SLG’s share of total debt includes total consolidated debt plus SLG’s pro rata share of the debt of unconsolidated joint ventures. Market equity assumes conversion of all OP units into common stock.</w:t>
      </w:r>
    </w:p>
    <w:p>
      <w:pPr>
        <w:spacing w:after="0" w:line="158" w:lineRule="exact"/>
        <w:rPr>
          <w:sz w:val="20"/>
          <w:szCs w:val="20"/>
          <w:color w:val="auto"/>
        </w:rPr>
      </w:pPr>
    </w:p>
    <w:p>
      <w:pPr>
        <w:jc w:val="both"/>
        <w:ind w:left="300"/>
        <w:spacing w:after="0" w:line="264" w:lineRule="auto"/>
        <w:rPr>
          <w:sz w:val="20"/>
          <w:szCs w:val="20"/>
          <w:color w:val="auto"/>
        </w:rPr>
      </w:pPr>
      <w:r>
        <w:rPr>
          <w:rFonts w:ascii="Arial" w:cs="Arial" w:eastAsia="Arial" w:hAnsi="Arial"/>
          <w:sz w:val="15"/>
          <w:szCs w:val="15"/>
          <w:b w:val="1"/>
          <w:bCs w:val="1"/>
          <w:color w:val="auto"/>
        </w:rPr>
        <w:t xml:space="preserve">Total square feet owned </w:t>
      </w:r>
      <w:r>
        <w:rPr>
          <w:rFonts w:ascii="Arial" w:cs="Arial" w:eastAsia="Arial" w:hAnsi="Arial"/>
          <w:sz w:val="15"/>
          <w:szCs w:val="15"/>
          <w:color w:val="auto"/>
        </w:rPr>
        <w:t>represents 100% of the square footage of properties either owned</w:t>
      </w:r>
      <w:r>
        <w:rPr>
          <w:rFonts w:ascii="Arial" w:cs="Arial" w:eastAsia="Arial" w:hAnsi="Arial"/>
          <w:sz w:val="15"/>
          <w:szCs w:val="15"/>
          <w:b w:val="1"/>
          <w:bCs w:val="1"/>
          <w:color w:val="auto"/>
        </w:rPr>
        <w:t xml:space="preserve"> </w:t>
      </w:r>
      <w:r>
        <w:rPr>
          <w:rFonts w:ascii="Arial" w:cs="Arial" w:eastAsia="Arial" w:hAnsi="Arial"/>
          <w:sz w:val="15"/>
          <w:szCs w:val="15"/>
          <w:color w:val="auto"/>
        </w:rPr>
        <w:t>directly by SLG or in which SLG has an interest (e.g.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56</w:t>
      </w:r>
    </w:p>
    <w:sectPr>
      <w:pgSz w:w="11900" w:h="16838" w:orient="portrait"/>
      <w:cols w:equalWidth="0" w:num="2">
        <w:col w:w="5500" w:space="160"/>
        <w:col w:w="5800"/>
      </w:cols>
      <w:pgMar w:left="220" w:top="338"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Letter"/>
      <w:start w:val="4"/>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3"/>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2019-12-06T18:32:33Z</dcterms:created>
  <dcterms:modified xsi:type="dcterms:W3CDTF">2019-12-06T18:32:33Z</dcterms:modified>
</cp:coreProperties>
</file>