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5, 2017 (October 3, 2017)</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908" w:orient="portrait"/>
          <w:cols w:equalWidth="0" w:num="3">
            <w:col w:w="3760" w:space="720"/>
            <w:col w:w="3140" w:space="720"/>
            <w:col w:w="3020"/>
          </w:cols>
          <w:pgMar w:left="240" w:top="544" w:right="299" w:bottom="0" w:gutter="0" w:footer="0" w:header="0"/>
          <w:type w:val="continuous"/>
        </w:sectPr>
      </w:pPr>
    </w:p>
    <w:p>
      <w:pPr>
        <w:ind w:left="106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908" w:orient="portrait"/>
          <w:cols w:equalWidth="0" w:num="1">
            <w:col w:w="11360"/>
          </w:cols>
          <w:pgMar w:left="240" w:top="544" w:right="299" w:bottom="0" w:gutter="0" w:footer="0" w:header="0"/>
          <w:type w:val="continuous"/>
        </w:sectPr>
      </w:pP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SL Green Operating Partnership, L.P.</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908" w:orient="portrait"/>
          <w:cols w:equalWidth="0" w:num="1">
            <w:col w:w="11360"/>
          </w:cols>
          <w:pgMar w:left="240" w:top="544" w:right="299" w:bottom="0"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33-167793-02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908" w:orient="portrait"/>
          <w:cols w:equalWidth="0" w:num="3">
            <w:col w:w="3760" w:space="720"/>
            <w:col w:w="3140" w:space="720"/>
            <w:col w:w="3020"/>
          </w:cols>
          <w:pgMar w:left="240" w:top="544" w:right="299" w:bottom="0" w:gutter="0" w:footer="0" w:header="0"/>
          <w:type w:val="continuous"/>
        </w:sectPr>
      </w:pPr>
    </w:p>
    <w:p>
      <w:pPr>
        <w:ind w:left="106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908" w:orient="portrait"/>
          <w:cols w:equalWidth="0" w:num="1">
            <w:col w:w="11360"/>
          </w:cols>
          <w:pgMar w:left="240" w:top="544" w:right="299" w:bottom="0" w:gutter="0" w:footer="0" w:header="0"/>
          <w:type w:val="continuous"/>
        </w:sectPr>
      </w:pP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Reckson Operating Partnership, L.P.</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908" w:orient="portrait"/>
          <w:cols w:equalWidth="0" w:num="1">
            <w:col w:w="11360"/>
          </w:cols>
          <w:pgMar w:left="240" w:top="544" w:right="299" w:bottom="0"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1-84580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11-3233647</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908" w:orient="portrait"/>
          <w:cols w:equalWidth="0" w:num="3">
            <w:col w:w="3760" w:space="720"/>
            <w:col w:w="3140" w:space="720"/>
            <w:col w:w="3020"/>
          </w:cols>
          <w:pgMar w:left="240" w:top="544" w:right="299" w:bottom="0" w:gutter="0" w:footer="0" w:header="0"/>
          <w:type w:val="continuous"/>
        </w:sectPr>
      </w:pPr>
    </w:p>
    <w:p>
      <w:pPr>
        <w:ind w:left="106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908" w:orient="portrait"/>
          <w:cols w:equalWidth="0" w:num="1">
            <w:col w:w="11360"/>
          </w:cols>
          <w:pgMar w:left="240" w:top="544" w:right="299" w:bottom="0" w:gutter="0" w:footer="0" w:header="0"/>
          <w:type w:val="continuous"/>
        </w:sectPr>
      </w:pPr>
    </w:p>
    <w:p>
      <w:pPr>
        <w:spacing w:after="0" w:line="21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420 Lexington Avenue</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10170</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908" w:orient="portrait"/>
          <w:cols w:equalWidth="0" w:num="2">
            <w:col w:w="7460" w:space="720"/>
            <w:col w:w="3180"/>
          </w:cols>
          <w:pgMar w:left="240" w:top="544" w:right="29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First Supplemental Indenture related to 3.250% Senior Notes due 2022</w:t>
      </w:r>
    </w:p>
    <w:p>
      <w:pPr>
        <w:spacing w:after="0" w:line="225" w:lineRule="exact"/>
        <w:rPr>
          <w:sz w:val="24"/>
          <w:szCs w:val="24"/>
          <w:color w:val="auto"/>
        </w:rPr>
      </w:pPr>
    </w:p>
    <w:p>
      <w:pPr>
        <w:ind w:right="420" w:firstLine="648"/>
        <w:spacing w:after="0" w:line="342" w:lineRule="auto"/>
        <w:rPr>
          <w:sz w:val="20"/>
          <w:szCs w:val="20"/>
          <w:color w:val="auto"/>
        </w:rPr>
      </w:pPr>
      <w:r>
        <w:rPr>
          <w:rFonts w:ascii="Arial" w:cs="Arial" w:eastAsia="Arial" w:hAnsi="Arial"/>
          <w:sz w:val="16"/>
          <w:szCs w:val="16"/>
          <w:color w:val="auto"/>
        </w:rPr>
        <w:t>On October 5, 2017, SL Green Realty Corp.’s (the “Company”) operating partnership, SL Green Operating Partnership, L.P. (“SL Green OP”), issued $500,000,000 million aggregate principal amount of 3.250% Senior Notes due 2022 (the “Notes”), fully and unconditionally guaranteed by the</w:t>
      </w:r>
    </w:p>
    <w:p>
      <w:pPr>
        <w:sectPr>
          <w:pgSz w:w="11900" w:h="16908" w:orient="portrait"/>
          <w:cols w:equalWidth="0" w:num="1">
            <w:col w:w="11360"/>
          </w:cols>
          <w:pgMar w:left="240" w:top="544" w:right="299" w:bottom="0" w:gutter="0" w:footer="0" w:header="0"/>
          <w:type w:val="continuous"/>
        </w:sectPr>
      </w:pPr>
    </w:p>
    <w:bookmarkStart w:id="1" w:name="page2"/>
    <w:bookmarkEnd w:id="1"/>
    <w:p>
      <w:pPr>
        <w:spacing w:after="0" w:line="270" w:lineRule="auto"/>
        <w:rPr>
          <w:sz w:val="20"/>
          <w:szCs w:val="20"/>
          <w:color w:val="auto"/>
        </w:rPr>
      </w:pPr>
      <w:r>
        <w:rPr>
          <w:rFonts w:ascii="Arial" w:cs="Arial" w:eastAsia="Arial" w:hAnsi="Arial"/>
          <w:sz w:val="17"/>
          <w:szCs w:val="17"/>
          <w:color w:val="auto"/>
        </w:rPr>
        <w:t>Company and SL Green OP’s wholly-owned subsidiary Reckson Operating Partnership, L.P. (“Reckson” and, together with SL Green OP and the Company, the “Transaction Parties”) (the “Guarantees” and, together with the Notes, the “Securities”) in a public offering pursuant to the Transaction Parties’ Registration Statement on Form S-3 (No. 333-208621) filed with the Securities and Exchange Commission (the “Commission”), as amended. Net proceeds from the offering of the Notes, after underwriting discounts and the Transaction Parties’ estimated fees and expenses, are approximately $495.25 million. The Notes were issued pursuant to an indenture, dated as of October 5, 2017 (the “Base Indenture”), between SL Green OP and The Bank of New York Mellon, as trustee (the “Trustee”), as amended by the first supplemental indenture dated October 5, 2017 relating to the Securities (the “First Supplemental Indenture” and together with the Base Indenture, the “Indenture”), among the Transaction Parties and the Trustee. The descriptions of the Indenture and the related form of 3.250% Note contained in this report are qualified in its entirety by reference to the complete text of the Base Indenture, the First Supplemental Indenture and the form of 3.250% Note. Copies of the Base Indenture, the First Supplemental Indenture and the 3.250% Note are filed as Exhibits 4.1, 4.2 and 4.3, respectively, to this report and are incorporated herein by reference.</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Notes mature on October 15, 2022. The Notes bear interest at a rate of 3.250% per annum, computed on the basis of a 360-day year composed of twelve 30-day months and payable on April 15 and October 15 of each year, beginning on April 15, 2018.</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Notes are the senior unsecured obligations of SL Green OP and rank equally with its existing and future senior indebtedness and senior to all of its existing and future subordinated indebtedness. The Guarantees are the senior unsecured obligations of the Company and Reckson and rank equally with such entities’ existing and future senior indebtedness and senior to all of such entities’ existing and future subordinated indebtedness. The Indenture contains covenants that, among other things, limit SL Green OP and its subsidiaries’ (including Reckson) ability to incur additional indebtedness and encumber assets. The Indenture contains no limitation on the incurrence of indebtedness of the Company. These covenants are subject to a number of important limitations and exceptions.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SL Green OP has the option to redeem all or a part of the Notes, at any time or from time to time, at a redemption price equal to 100% of the principal amount of the Notes redeemed, plus a “make-whole” premium, and accrued and unpaid interest, if any, to the applicable redemption date. If the Notes are redeemed on or after September 15, 2022, the redemption price for the Notes will equal 100% of the principal amount of the Notes, plus accrued interest thereon to the redemption date.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Indenture provides for customary events of default. In the case of an event of default arising from specified events of bankruptcy or insolvency, all outstanding Notes will become due and payable immediately without further action or notice. If any other event of default under the Indenture occurs or is continuing, the Trustee or holders of at least 25% in principal amount of the then outstanding Notes may declare all the Notes to be due and payable immediately.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On October 3, 2017, the Transaction Parties entered into an Underwriting Agreement (the “Underwriting Agreement”) with Wells Fargo Securities, LLC and J.P. Morgan Securities LLC, as representatives of the underwriters listed therein, relating to the sale by SL Green OP of the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Certain of the underwriters and their affiliates have from time to time provided, and may in the future provide, various investment banking, commercial banking, financial advisory and other services to the Transaction Parties for which they have received or will receive customary fees and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Underwriting Agreement is filed as Exhibit 1.1 to this report and is incorporated herein by reference.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description of the Indenture above under Item 1.01 is incorporated by reference herein.</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80" w:hanging="77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1.1</w:t>
            </w:r>
          </w:p>
        </w:tc>
        <w:tc>
          <w:tcPr>
            <w:tcW w:w="90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as of October 3, 2017, among SL Green Realty Corp., SL Green Operating Partnership, L.P.,</w:t>
              </w:r>
            </w:hyperlink>
          </w:p>
        </w:tc>
        <w:tc>
          <w:tcPr>
            <w:tcW w:w="240" w:type="dxa"/>
            <w:vAlign w:val="bottom"/>
            <w:gridSpan w:val="4"/>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9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Reckson Operating Partnership, L.P. and Wells Fargo Securities, LLC and J.P. Morgan Securities LLC, as representatives of the</w:t>
              </w:r>
            </w:hyperlink>
          </w:p>
        </w:tc>
        <w:tc>
          <w:tcPr>
            <w:tcW w:w="6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several underwriters listed therein.</w:t>
              </w:r>
            </w:hyperlink>
          </w:p>
        </w:tc>
        <w:tc>
          <w:tcPr>
            <w:tcW w:w="6760" w:type="dxa"/>
            <w:vAlign w:val="bottom"/>
            <w:gridSpan w:val="10"/>
          </w:tcPr>
          <w:p>
            <w:pPr>
              <w:spacing w:after="0"/>
              <w:rPr>
                <w:sz w:val="17"/>
                <w:szCs w:val="17"/>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4.1</w:t>
            </w:r>
          </w:p>
        </w:tc>
        <w:tc>
          <w:tcPr>
            <w:tcW w:w="9260" w:type="dxa"/>
            <w:vAlign w:val="bottom"/>
            <w:gridSpan w:val="1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Indenture, dated as of October 5, 2017, between SL Green Operating Partnership, L.P. and The Bank of New York Mellon, as</w:t>
              </w:r>
            </w:hyperlink>
          </w:p>
        </w:tc>
      </w:tr>
      <w:tr>
        <w:trPr>
          <w:trHeight w:val="196"/>
        </w:trPr>
        <w:tc>
          <w:tcPr>
            <w:tcW w:w="1220" w:type="dxa"/>
            <w:vAlign w:val="bottom"/>
          </w:tcPr>
          <w:p>
            <w:pPr>
              <w:spacing w:after="0"/>
              <w:rPr>
                <w:sz w:val="17"/>
                <w:szCs w:val="17"/>
                <w:color w:val="auto"/>
              </w:rPr>
            </w:pPr>
          </w:p>
        </w:tc>
        <w:tc>
          <w:tcPr>
            <w:tcW w:w="9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Trustee.</w:t>
              </w:r>
            </w:hyperlink>
          </w:p>
        </w:tc>
        <w:tc>
          <w:tcPr>
            <w:tcW w:w="220" w:type="dxa"/>
            <w:vAlign w:val="bottom"/>
            <w:gridSpan w:val="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4.2</w:t>
            </w:r>
          </w:p>
        </w:tc>
        <w:tc>
          <w:tcPr>
            <w:tcW w:w="92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First Supplemental Indenture, dated as of October 5, 2017, among SL Green Realty Corp., SL Green Operating Partnership, L.P.</w:t>
              </w:r>
            </w:hyperlink>
          </w:p>
        </w:tc>
      </w:tr>
      <w:tr>
        <w:trPr>
          <w:trHeight w:val="196"/>
        </w:trPr>
        <w:tc>
          <w:tcPr>
            <w:tcW w:w="1220" w:type="dxa"/>
            <w:vAlign w:val="bottom"/>
          </w:tcPr>
          <w:p>
            <w:pPr>
              <w:spacing w:after="0"/>
              <w:rPr>
                <w:sz w:val="17"/>
                <w:szCs w:val="17"/>
                <w:color w:val="auto"/>
              </w:rPr>
            </w:pPr>
          </w:p>
        </w:tc>
        <w:tc>
          <w:tcPr>
            <w:tcW w:w="9260" w:type="dxa"/>
            <w:vAlign w:val="bottom"/>
            <w:gridSpan w:val="13"/>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and Reckson Operating Partnership, L.P. and The Bank of New York Mellon, as Trustee, to the Indenture, dated as of October 5,</w:t>
              </w:r>
            </w:hyperlink>
          </w:p>
        </w:tc>
      </w:tr>
      <w:tr>
        <w:trPr>
          <w:trHeight w:val="196"/>
        </w:trPr>
        <w:tc>
          <w:tcPr>
            <w:tcW w:w="12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2017, between SL Green Operating Partnership, L.P. and The Bank of New York Mellon, as Trustee.</w:t>
              </w:r>
            </w:hyperlink>
          </w:p>
        </w:tc>
        <w:tc>
          <w:tcPr>
            <w:tcW w:w="19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4.3</w:t>
            </w:r>
          </w:p>
        </w:tc>
        <w:tc>
          <w:tcPr>
            <w:tcW w:w="926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Form of 3.250% Note (included in the First Supplemental Indenture filed as Exhibit 4.2 of this Form 8-K).</w:t>
              </w:r>
            </w:hyperlink>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5.1</w:t>
            </w:r>
          </w:p>
        </w:tc>
        <w:tc>
          <w:tcPr>
            <w:tcW w:w="768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Opinion of Ballard Spahr LLP.</w:t>
              </w:r>
            </w:hyperlink>
          </w:p>
        </w:tc>
        <w:tc>
          <w:tcPr>
            <w:tcW w:w="1580" w:type="dxa"/>
            <w:vAlign w:val="bottom"/>
            <w:gridSpan w:val="5"/>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5.2</w:t>
            </w:r>
          </w:p>
        </w:tc>
        <w:tc>
          <w:tcPr>
            <w:tcW w:w="40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Opinion of Skadden, Arps, Slate, Meagher &amp; Flom LLP.</w:t>
              </w:r>
            </w:hyperlink>
          </w:p>
        </w:tc>
        <w:tc>
          <w:tcPr>
            <w:tcW w:w="5180" w:type="dxa"/>
            <w:vAlign w:val="bottom"/>
            <w:gridSpan w:val="8"/>
          </w:tcPr>
          <w:p>
            <w:pPr>
              <w:spacing w:after="0"/>
              <w:rPr>
                <w:sz w:val="24"/>
                <w:szCs w:val="2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40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Consent of Ballard Spahr LLP (included in Exhibit 5.1).</w:t>
              </w:r>
            </w:hyperlink>
          </w:p>
        </w:tc>
        <w:tc>
          <w:tcPr>
            <w:tcW w:w="5200" w:type="dxa"/>
            <w:vAlign w:val="bottom"/>
            <w:gridSpan w:val="9"/>
          </w:tcPr>
          <w:p>
            <w:pPr>
              <w:spacing w:after="0"/>
              <w:rPr>
                <w:sz w:val="24"/>
                <w:szCs w:val="2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color w:val="auto"/>
              </w:rPr>
              <w:t>23.2</w:t>
            </w:r>
          </w:p>
        </w:tc>
        <w:tc>
          <w:tcPr>
            <w:tcW w:w="59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Consent of Skadden, Arps, Slate, Meagher &amp; Flom LLP (included in Exhibit 5.2).</w:t>
              </w:r>
            </w:hyperlink>
          </w:p>
        </w:tc>
        <w:tc>
          <w:tcPr>
            <w:tcW w:w="3340" w:type="dxa"/>
            <w:vAlign w:val="bottom"/>
            <w:gridSpan w:val="7"/>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SL GREEN REALTY CORP., its general partner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RECKSON OPERATING PARTNERSHIP, L.P.</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WYOMING ACQUISITION GP LLC, its general partner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Matthew J. DiLiberto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2017</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729"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3.250% Senior Notes due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October 3,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SL Green Operating Partnership, L.P., a Delaware limited partnership (“</w:t>
      </w:r>
      <w:r>
        <w:rPr>
          <w:rFonts w:ascii="Arial" w:cs="Arial" w:eastAsia="Arial" w:hAnsi="Arial"/>
          <w:sz w:val="16"/>
          <w:szCs w:val="16"/>
          <w:u w:val="single" w:color="auto"/>
          <w:color w:val="auto"/>
        </w:rPr>
        <w:t>SLG OP</w:t>
      </w:r>
      <w:r>
        <w:rPr>
          <w:rFonts w:ascii="Arial" w:cs="Arial" w:eastAsia="Arial" w:hAnsi="Arial"/>
          <w:sz w:val="16"/>
          <w:szCs w:val="16"/>
          <w:color w:val="auto"/>
        </w:rPr>
        <w:t>”), the sole general partner of which is SL Green Realty Corp.,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which qualifies for federal income tax purposes as a real estate investment trust pursuant to Sections 856 through 860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and Reckson Operating Partnership, L.P., a Delaware limited partnership (“</w:t>
      </w:r>
      <w:r>
        <w:rPr>
          <w:rFonts w:ascii="Arial" w:cs="Arial" w:eastAsia="Arial" w:hAnsi="Arial"/>
          <w:sz w:val="16"/>
          <w:szCs w:val="16"/>
          <w:u w:val="single" w:color="auto"/>
          <w:color w:val="auto"/>
        </w:rPr>
        <w:t>Reckson OP</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Guarantors</w:t>
      </w:r>
      <w:r>
        <w:rPr>
          <w:rFonts w:ascii="Arial" w:cs="Arial" w:eastAsia="Arial" w:hAnsi="Arial"/>
          <w:sz w:val="16"/>
          <w:szCs w:val="16"/>
          <w:color w:val="auto"/>
        </w:rPr>
        <w:t>”), the sole general partner of which is Wyoming Acquisition GP LLC, a Delaware limited liability company (“</w:t>
      </w:r>
      <w:r>
        <w:rPr>
          <w:rFonts w:ascii="Arial" w:cs="Arial" w:eastAsia="Arial" w:hAnsi="Arial"/>
          <w:sz w:val="16"/>
          <w:szCs w:val="16"/>
          <w:u w:val="single" w:color="auto"/>
          <w:color w:val="auto"/>
        </w:rPr>
        <w:t>Wyoming</w:t>
      </w:r>
      <w:r>
        <w:rPr>
          <w:rFonts w:ascii="Arial" w:cs="Arial" w:eastAsia="Arial" w:hAnsi="Arial"/>
          <w:sz w:val="16"/>
          <w:szCs w:val="16"/>
          <w:color w:val="auto"/>
        </w:rPr>
        <w:t xml:space="preserve">”), each wishes to confirm as follows its agreement with Wells Fargo Securities, LLC, J.P. Morgan Securities LLC and each of the other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which term shall also include any underwriter substituted as hereinafter provided in Section 13 hereof), for whom Wells Fargo Securities, LLC and J.P. Morgan Securities LLC are acting as Representatives (in such capacity,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with respect to the issuance and sale by SLG OP and the purchase by the Underwriters of an aggregate of $500,000,000 principal amount of the SLG OP’s 3.250% Senior Notes due 2022 (the “</w:t>
      </w:r>
      <w:r>
        <w:rPr>
          <w:rFonts w:ascii="Arial" w:cs="Arial" w:eastAsia="Arial" w:hAnsi="Arial"/>
          <w:sz w:val="16"/>
          <w:szCs w:val="16"/>
          <w:u w:val="single" w:color="auto"/>
          <w:color w:val="auto"/>
        </w:rPr>
        <w:t>Notes</w:t>
      </w:r>
      <w:r>
        <w:rPr>
          <w:rFonts w:ascii="Arial" w:cs="Arial" w:eastAsia="Arial" w:hAnsi="Arial"/>
          <w:sz w:val="16"/>
          <w:szCs w:val="16"/>
          <w:color w:val="auto"/>
        </w:rPr>
        <w:t>”), which will be fully and unconditionally guaranteed on a senior unsecured basis by the Guarantors (each such guarantee, a “</w:t>
      </w:r>
      <w:r>
        <w:rPr>
          <w:rFonts w:ascii="Arial" w:cs="Arial" w:eastAsia="Arial" w:hAnsi="Arial"/>
          <w:sz w:val="16"/>
          <w:szCs w:val="16"/>
          <w:u w:val="single" w:color="auto"/>
          <w:color w:val="auto"/>
        </w:rPr>
        <w:t>Guarantee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Guarantees</w:t>
      </w:r>
      <w:r>
        <w:rPr>
          <w:rFonts w:ascii="Arial" w:cs="Arial" w:eastAsia="Arial" w:hAnsi="Arial"/>
          <w:sz w:val="16"/>
          <w:szCs w:val="16"/>
          <w:color w:val="auto"/>
        </w:rPr>
        <w:t>”) in accordance with the terms of the Indenture (as defined below). The Notes and the Guarantees are referred to collectively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SLG OP, the Company and Reckson OP are referred to collectively herein as the “</w:t>
      </w:r>
      <w:r>
        <w:rPr>
          <w:rFonts w:ascii="Arial" w:cs="Arial" w:eastAsia="Arial" w:hAnsi="Arial"/>
          <w:sz w:val="16"/>
          <w:szCs w:val="16"/>
          <w:u w:val="single" w:color="auto"/>
          <w:color w:val="auto"/>
        </w:rPr>
        <w:t>SLG Parties</w:t>
      </w:r>
      <w:r>
        <w:rPr>
          <w:rFonts w:ascii="Arial" w:cs="Arial" w:eastAsia="Arial" w:hAnsi="Arial"/>
          <w:sz w:val="16"/>
          <w:szCs w:val="16"/>
          <w:color w:val="auto"/>
        </w:rPr>
        <w:t>” and each individually as an “</w:t>
      </w:r>
      <w:r>
        <w:rPr>
          <w:rFonts w:ascii="Arial" w:cs="Arial" w:eastAsia="Arial" w:hAnsi="Arial"/>
          <w:sz w:val="16"/>
          <w:szCs w:val="16"/>
          <w:u w:val="single" w:color="auto"/>
          <w:color w:val="auto"/>
        </w:rPr>
        <w:t>SLG Party</w:t>
      </w:r>
      <w:r>
        <w:rPr>
          <w:rFonts w:ascii="Arial" w:cs="Arial" w:eastAsia="Arial" w:hAnsi="Arial"/>
          <w:sz w:val="16"/>
          <w:szCs w:val="16"/>
          <w:color w:val="auto"/>
        </w:rPr>
        <w:t>.”</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Securities will be issued pursuant to an indenture to be dated as of the Closing Date (as defined in Section 4(b))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among SLG OP and The Bank of New York Mellon,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 forms and terms of the Securities will be established pursuant to a First Supplemental Indenture, to be dated as of the Closing Date, among the SLG Parties and the Trustee (the “</w:t>
      </w:r>
      <w:r>
        <w:rPr>
          <w:rFonts w:ascii="Arial" w:cs="Arial" w:eastAsia="Arial" w:hAnsi="Arial"/>
          <w:sz w:val="17"/>
          <w:szCs w:val="17"/>
          <w:u w:val="single" w:color="auto"/>
          <w:color w:val="auto"/>
        </w:rPr>
        <w:t>First Supplemental Indenture</w:t>
      </w:r>
      <w:r>
        <w:rPr>
          <w:rFonts w:ascii="Arial" w:cs="Arial" w:eastAsia="Arial" w:hAnsi="Arial"/>
          <w:sz w:val="17"/>
          <w:szCs w:val="17"/>
          <w:color w:val="auto"/>
        </w:rPr>
        <w:t>” and, together with the Base Indenture as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as provided for in Section 14.01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Base Indenture. The Notes will be issued only in book-entry form in the name of Cede &amp; Co., as nominee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pursuant to a letter of representations, dated as of September 27, 2017.</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SLG Parties have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registration statement on Form S-3ASR (File No. 333-208621), including a prospectus, relating to, among other securities, the Securities and the offering thereof from time to time in accordance with Rule 415 under the Securities Act.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included in the Registration Statement in the form in which it was most recently filed with the Commission on or prior to the date of this Agreement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preliminary prospectus supplement dated October 3, 2017 relating to the Securities and used prior to the filing of the Prospectus (as defined below) (the “</w:t>
      </w:r>
      <w:r>
        <w:rPr>
          <w:rFonts w:ascii="Arial" w:cs="Arial" w:eastAsia="Arial" w:hAnsi="Arial"/>
          <w:sz w:val="16"/>
          <w:szCs w:val="16"/>
          <w:u w:val="single" w:color="auto"/>
          <w:color w:val="auto"/>
        </w:rPr>
        <w:t>Preliminary Prospectus Supplement</w:t>
      </w:r>
      <w:r>
        <w:rPr>
          <w:rFonts w:ascii="Arial" w:cs="Arial" w:eastAsia="Arial" w:hAnsi="Arial"/>
          <w:sz w:val="16"/>
          <w:szCs w:val="16"/>
          <w:color w:val="auto"/>
        </w:rPr>
        <w:t>”), is hereinafter referred to as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The Base Prospectus, as supplemented by the prospectus supplement dated October 3, 2017, relating to the Securities in the form first used (or made available upon request of purchasers pursuant to Rule 173 under the Securities Act) in connection with confirmation of sales of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is hereinafter referred to as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the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 For purposes of this Agreement, all references to the Registration Statement, the Preliminary Prospectus, any Issuer Free Writing Prospectus (as defined below), or the Prospectus or any amendment or supplement to any of the foregoing shall be deemed to include the copy filed with the Commission pursuant to its Electronic Data Gathering, Analysis and Retrieval system or any successor system thereto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16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At or prior to the time when sales of the Securities were first made (the “</w:t>
      </w:r>
      <w:r>
        <w:rPr>
          <w:rFonts w:ascii="Arial" w:cs="Arial" w:eastAsia="Arial" w:hAnsi="Arial"/>
          <w:sz w:val="18"/>
          <w:szCs w:val="18"/>
          <w:u w:val="single" w:color="auto"/>
          <w:color w:val="auto"/>
        </w:rPr>
        <w:t>Time of Sale</w:t>
      </w:r>
      <w:r>
        <w:rPr>
          <w:rFonts w:ascii="Arial" w:cs="Arial" w:eastAsia="Arial" w:hAnsi="Arial"/>
          <w:sz w:val="18"/>
          <w:szCs w:val="18"/>
          <w:color w:val="auto"/>
        </w:rPr>
        <w:t>”), the SLG Parties have prepared the following information (collectively,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Securities Act) listed on Schedule II hereto as constituting part of the Time of Sale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4" w:name="page5"/>
    <w:bookmarkEnd w:id="4"/>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the Time of Sale Information and the Prospectus shall be deemed to mean and include all such financial statements and schedules and other information of each of the Company, SLG OP and Reckson OP which are incorporated by reference in the Registration Statement, the Time of Sale Information and the Prospectus, as the case may be, at or prior to the date of this Agreement.</w:t>
      </w:r>
    </w:p>
    <w:p>
      <w:pPr>
        <w:spacing w:after="0" w:line="187"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means a corporation, partnership or limited liability company, a majority of the outstanding voting or economic interests of which are owned or controlled, directly or indirectly, by the Company, SLG OP, Reckson OP or by one or more other Subsidiaries of the Company, SLG OP or Reckson OP, but not including the Joint Venture Entities (as defined below) or SC Office Portfolio LLC. 11 West 34th Street LLC, 7 Renaissance LLC, Devash LLC, 1080 Amsterdam Venture LLC, 141 Fifth Avenue JV LLC, 16 COURT STREET JV LLC, 1745 Broadway Realty Corp., 379 West Broadway Owner LLC, 609 PARTNERS, LLC, 717 GFC OWNER, LLC, 800 Third Avenue Associates LLC, 919 Ground Lease LLC, 919 JV LLC, Meadows Office</w:t>
      </w:r>
    </w:p>
    <w:p>
      <w:pPr>
        <w:spacing w:after="0" w:line="2" w:lineRule="exact"/>
        <w:rPr>
          <w:sz w:val="20"/>
          <w:szCs w:val="20"/>
          <w:color w:val="auto"/>
        </w:rPr>
      </w:pPr>
    </w:p>
    <w:p>
      <w:pPr>
        <w:ind w:right="160" w:firstLine="8"/>
        <w:spacing w:after="0" w:line="287" w:lineRule="auto"/>
        <w:tabs>
          <w:tab w:leader="none" w:pos="365" w:val="left"/>
        </w:tabs>
        <w:numPr>
          <w:ilvl w:val="0"/>
          <w:numId w:val="2"/>
        </w:numPr>
        <w:rPr>
          <w:rFonts w:ascii="Arial" w:cs="Arial" w:eastAsia="Arial" w:hAnsi="Arial"/>
          <w:sz w:val="16"/>
          <w:szCs w:val="16"/>
          <w:color w:val="auto"/>
        </w:rPr>
      </w:pPr>
      <w:r>
        <w:rPr>
          <w:rFonts w:ascii="Arial" w:cs="Arial" w:eastAsia="Arial" w:hAnsi="Arial"/>
          <w:sz w:val="16"/>
          <w:szCs w:val="16"/>
          <w:color w:val="auto"/>
        </w:rPr>
        <w:t>LLC, Jericho Plaza Owner LP, OS Meadows LLC, SLG 100 Park LLC, RT TRI-STATE LLC, 600 Lexington JV LLC, 280 Park Venture LLC, 110 E 42nd Mezz II LP, 10 East 53rd REIT LLC, Eastside Investors LLC, Green JS 1552 LLC, 141 Fifth Avenue Retail II LLC, Green Naftali Beekman LLC, 33 Beekman LLC, North 3rd RU Investor LLC, Green 521 Fifth Avenue LLC, 21 East 66th Street Associates, L.L.C., Schurland LLC, Green JS 155 LLC, 10E53 JV LP, 521 Fifth Avenue Corp, 600 Lexington Realty Corp, 280 Park Cleaning LLC, 280 Park Administration LLC, Metropolitan 919 3rd Avenue LLC, 919 Property Manager LLC, 21-25 West 34th Air Rights JV LLC, 27-29 West 34th Air Rights JV LLC, 530 Broadway Holdings LLC, Green JS 650 LLC, Green JS 121 LLC, 175-225 Third JV LLC, 55W46 JV LLC, 719 Seventh Owner LLC, 719 Seventh TIC 1 Owner LLC, 719 Seventh TIC 2 Owner LLC, 11 Madison JV LLC, 333 East 22 JV LLC, 400 E57 JV LLC, 76 ELEVENTH MEZZ A OWNER LP, One Vanderbilt Mezz LLC, 102 Greene Venture LLC and 605 WEST 42ND STREET HOLDINGS LP are each a “Joint Venture Entity” and together, the “Joint Venture Entities.”</w:t>
      </w:r>
    </w:p>
    <w:p>
      <w:pPr>
        <w:spacing w:after="0" w:line="170" w:lineRule="exact"/>
        <w:rPr>
          <w:rFonts w:ascii="Arial" w:cs="Arial" w:eastAsia="Arial" w:hAnsi="Arial"/>
          <w:sz w:val="16"/>
          <w:szCs w:val="16"/>
          <w:color w:val="auto"/>
        </w:rPr>
      </w:pPr>
    </w:p>
    <w:p>
      <w:pPr>
        <w:ind w:right="240" w:firstLine="656"/>
        <w:spacing w:after="0" w:line="277"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SLG Parties</w:t>
      </w:r>
      <w:r>
        <w:rPr>
          <w:rFonts w:ascii="Arial" w:cs="Arial" w:eastAsia="Arial" w:hAnsi="Arial"/>
          <w:sz w:val="18"/>
          <w:szCs w:val="18"/>
          <w:color w:val="auto"/>
        </w:rPr>
        <w:t>. Each of the SLG Parties, jointly and severally, represents, warrants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as of the date hereof, as of the Time of Sale and as of the Closing Date:</w:t>
      </w:r>
    </w:p>
    <w:p>
      <w:pPr>
        <w:spacing w:after="0" w:line="170" w:lineRule="exact"/>
        <w:rPr>
          <w:sz w:val="20"/>
          <w:szCs w:val="20"/>
          <w:color w:val="auto"/>
        </w:rPr>
      </w:pPr>
    </w:p>
    <w:p>
      <w:pPr>
        <w:ind w:right="80" w:firstLine="656"/>
        <w:spacing w:after="0" w:line="272" w:lineRule="auto"/>
        <w:tabs>
          <w:tab w:leader="none" w:pos="1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has been issued by the Commission, and each Preliminary Prospectus, at the time of filing thereof, complied in all material respects with the Securities Act and did not contain, at the time of filing thereof, any untrue statement of a material fact or omit to state a material fact required to be stated therein or necessary in order to make the statements therein, in the light of the circumstances under which they were made, not misleading; provided that the SLG Parties make no representations and warranties with respect to any statements or omissions made in reliance upon and in conformity with information relating to any Underwriter furnished to the SLG Parties in writing by any Underwriter expressly for use in any Preliminary Prospectus, it being understood and agreed that the only such information furnished by any Representative consists of the information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2"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contain any untrue statement of a material fact or omit to state a material fact necessary in order to make the statements therein, in the light of the circumstances under which they were made, not misleading; provided that the SLG Parties make no representations and warranties with respect to any statements or omissions made in reliance upon and in conformity with information relating to any Underwriter furnished to the SLG Parties in writing by any Underwriter expressly for use in such Time of Sale Information, it being understood and agreed that the only such information furnished by any Representative consists of the information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77" w:lineRule="exact"/>
        <w:rPr>
          <w:rFonts w:ascii="Arial" w:cs="Arial" w:eastAsia="Arial" w:hAnsi="Arial"/>
          <w:sz w:val="17"/>
          <w:szCs w:val="17"/>
          <w:color w:val="auto"/>
        </w:rPr>
      </w:pPr>
    </w:p>
    <w:p>
      <w:pPr>
        <w:ind w:firstLine="656"/>
        <w:spacing w:after="0" w:line="286" w:lineRule="auto"/>
        <w:tabs>
          <w:tab w:leader="none" w:pos="1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None of the SLG Parties, nor any of the affiliates (as such term is defined in Rule 501 under the Securities Act) (each, an “</w:t>
      </w:r>
      <w:r>
        <w:rPr>
          <w:rFonts w:ascii="Arial" w:cs="Arial" w:eastAsia="Arial" w:hAnsi="Arial"/>
          <w:sz w:val="16"/>
          <w:szCs w:val="16"/>
          <w:u w:val="single" w:color="auto"/>
          <w:color w:val="auto"/>
        </w:rPr>
        <w:t>Affiliate</w:t>
      </w:r>
      <w:r>
        <w:rPr>
          <w:rFonts w:ascii="Arial" w:cs="Arial" w:eastAsia="Arial" w:hAnsi="Arial"/>
          <w:sz w:val="16"/>
          <w:szCs w:val="16"/>
          <w:color w:val="auto"/>
        </w:rPr>
        <w:t>”), or any person acting on any of their behalf (other than the Underwriters, as to whom each of the SLG Parties makes no representation or warranty), has prepared, made, used, authorized, approved or distributed and none will prepare, make, use, authorize, approve or distribute any written communication that constitutes an offer to sell or solicitation of an offer to buy the Securities (each such communication by any SLG Party or any Affiliate (other than a communication referred to in clauses (i), (ii) and (iii) below)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other than (i) any document not constituting a prospectus pursuant to Section 2(a)(10)(a) of the Securities Act or Rule 134 under the Securities Act, (ii) the Preliminary Prospectus, (iii) the Prospectus, (iv) documents constituting the Time of Sale Information and (v) any electronic road show or other written communications, in each case approved in writing in advance by the Representatives. Each such Issuer Free Writing Prospectus complied in all material respects with the Securities Act, and does not or will not conflict with information contained in the Registration Statement, any Preliminary Prospectus or the Prospectus, has been or will be (within the time period specified in Rule 433 under the Securities Act) filed in accordance with the Securities Act (to the extent required thereby) and, when taken together with the Time of Sale Information filed prior to first use of such Issuer Free Writing Prospectus, did not, as of the Time of Sale, contain any untrue statement of a material fact or omit to state a material fact necessary in order to make the statements therein, in the light of the circumstances under which they were made, not misleading; provided that the SLG Parties make no representations and warranties with respect to any statements in or omissions made in reliance upon and in conformity with information relating to any Underwriter furnished to the SLG Parties in writing by any Underwriter expressly for use in any Preliminary Prospectus, it being understood and agreed that the only such information furnished by any Representative consists of the information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68" w:lineRule="exact"/>
        <w:rPr>
          <w:rFonts w:ascii="Arial" w:cs="Arial" w:eastAsia="Arial" w:hAnsi="Arial"/>
          <w:sz w:val="16"/>
          <w:szCs w:val="16"/>
          <w:color w:val="auto"/>
        </w:rPr>
      </w:pPr>
    </w:p>
    <w:p>
      <w:pPr>
        <w:ind w:right="140" w:firstLine="656"/>
        <w:spacing w:after="0" w:line="273"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SLG OP meets the requirements for use of Form S-3 under the Securities Act as of the applicable effective date of the Registration Statement and any amendment thereto, as of the applicable filing date of the Prospectus Supplement and any amendments thereto and will meet such requirements as of the Closing Date; the Registration Statement is an “automatic shelf registration statement,” as defined under Rule 405 of the Securities Act, that has been filed with the Commission not earlier than three years prior to the date hereof; such Registration Statement and any post-effective amendment thereto became effective upon filing and no notice of objection of the Commission to the use of such registration statement or any post-effective amendment thereto pursuant to Rule 401(g)(2) under the Securities Act has been received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SLG Parties. No order suspending the effectiveness of the Registration Statement has been issued by the Commission and no proceeding for that purpose or pursuant to Section 8A of the Securities Act against any SLG Party or related to the offering has been initiated or threatened by the Commission; as of the applicable effective date of the Registration Statement and any amendment thereto, the Registration Statement and any amendment thereto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w:t>
      </w:r>
    </w:p>
    <w:p>
      <w:pPr>
        <w:sectPr>
          <w:pgSz w:w="11900" w:h="16932" w:orient="portrait"/>
          <w:cols w:equalWidth="0" w:num="1">
            <w:col w:w="11420"/>
          </w:cols>
          <w:pgMar w:left="240" w:top="125" w:right="239" w:bottom="0" w:gutter="0" w:footer="0" w:header="0"/>
        </w:sectPr>
      </w:pPr>
    </w:p>
    <w:bookmarkStart w:id="5" w:name="page6"/>
    <w:bookmarkEnd w:id="5"/>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to be stated therein or necessary in order to make the statements therein, in the light of the circumstances under which they were made, not misleading; provided that the SLG Parties make no representations and warranties with respect to (i) that part of the Registration Statement that constitutes the Statements of Eligibility and Qualification (Forms T-1) of the Trustee under the Trust Indenture Act or (ii) any statements or omissions made in reliance upon and in conformity with information relating to any Representative furnished to the SLG Parties in writing by such Representative expressly for use in the Registration Statement and the Prospectus and any amendment or supplement thereto, it being understood and agreed that the only such information furnished by any Representative consists of the information described as such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78" w:lineRule="exact"/>
        <w:rPr>
          <w:sz w:val="20"/>
          <w:szCs w:val="20"/>
          <w:color w:val="auto"/>
        </w:rPr>
      </w:pPr>
    </w:p>
    <w:p>
      <w:pPr>
        <w:ind w:right="180" w:firstLine="656"/>
        <w:spacing w:after="0" w:line="302" w:lineRule="auto"/>
        <w:tabs>
          <w:tab w:leader="none" w:pos="1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Prospectus and the Time of Sale Information, when they became effective or were filed with the Commission, as the case may be, complied in all material respects with the requirements of the Securities Act or the Exchange Act, as applicable, and none of such documents contained any untrue statement of a material fact or omitted to state a material fact required to be stated therein or necessary to make the statements therein, in the light of the circumstances under which they were made, not misleading.</w:t>
      </w:r>
    </w:p>
    <w:p>
      <w:pPr>
        <w:spacing w:after="0" w:line="154" w:lineRule="exact"/>
        <w:rPr>
          <w:rFonts w:ascii="Arial" w:cs="Arial" w:eastAsia="Arial" w:hAnsi="Arial"/>
          <w:sz w:val="16"/>
          <w:szCs w:val="16"/>
          <w:color w:val="auto"/>
        </w:rPr>
      </w:pPr>
    </w:p>
    <w:p>
      <w:pPr>
        <w:ind w:firstLine="656"/>
        <w:spacing w:after="0" w:line="291" w:lineRule="auto"/>
        <w:tabs>
          <w:tab w:leader="none" w:pos="130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formed and is validly existing as a corporation in good standing under the laws of the State of Maryland, is duly qualified to do business and is in good standing as a foreign corporation in each jurisdiction in which its ownership or lease of property and other assets or the conduct of its business requires such qualification, except where the failure to so qualify will not have a material adverse effect on the condition, financial or otherwise, business, prospects, operations, management, consolidated financial position, net worth, stockholders’ equity or results of operations of the SLG Parties, their Subsidiaries and the Joint Venture Entities considered as one enterprise or on the use or value of the Properties (as hereinafter defined) as a whole (collectively,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has all power and authority necessary to own, lease and operate its properties and other assets, to conduct the business in which it is engaged, and to enter into and perform its obligations under this Agreement to which it is a party.</w:t>
      </w:r>
    </w:p>
    <w:p>
      <w:pPr>
        <w:spacing w:after="0" w:line="167" w:lineRule="exact"/>
        <w:rPr>
          <w:rFonts w:ascii="Arial" w:cs="Arial" w:eastAsia="Arial" w:hAnsi="Arial"/>
          <w:sz w:val="16"/>
          <w:szCs w:val="16"/>
          <w:color w:val="auto"/>
        </w:rPr>
      </w:pPr>
    </w:p>
    <w:p>
      <w:pPr>
        <w:ind w:right="380" w:firstLine="656"/>
        <w:spacing w:after="0" w:line="264" w:lineRule="auto"/>
        <w:tabs>
          <w:tab w:leader="none" w:pos="1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each of the Registration Statement, the Time of Sale Information and the Prospectus, and all of the issued capital stock of the Company has been duly and validly authorized and issued, is fully paid and non-assessable, has been offered and sold in compliance with all applicable laws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without limitation, federal or state securities laws) and not in violation of the preemptive or other similar rights of any security holder of the Company, and conforms to the description thereof contained in each of the Registration Statement, the Time of Sale Information and the Prospectus. Except as disclosed in the Registration Statement, the Time of Sale Information and the Prospectus, (i) no shares of capital stock of the Company are reserved for any purpose other than pursuant to conversion, exchange or redemption of equity interests in SLG OP (“</w:t>
      </w:r>
      <w:r>
        <w:rPr>
          <w:rFonts w:ascii="Arial" w:cs="Arial" w:eastAsia="Arial" w:hAnsi="Arial"/>
          <w:sz w:val="17"/>
          <w:szCs w:val="17"/>
          <w:u w:val="single" w:color="auto"/>
          <w:color w:val="auto"/>
        </w:rPr>
        <w:t>Units</w:t>
      </w:r>
      <w:r>
        <w:rPr>
          <w:rFonts w:ascii="Arial" w:cs="Arial" w:eastAsia="Arial" w:hAnsi="Arial"/>
          <w:sz w:val="17"/>
          <w:szCs w:val="17"/>
          <w:color w:val="auto"/>
        </w:rPr>
        <w:t>”), (ii) except for the Units, there are no outstanding securities convertible into or exchangeable for any shares of capital stock of the Company, and (iii) there are no outstanding options, rights (preemptive or otherwise) or warrants to purchase or subscribe for shares of capital stock or any other securities of the Company.</w:t>
      </w:r>
    </w:p>
    <w:p>
      <w:pPr>
        <w:spacing w:after="0" w:line="178" w:lineRule="exact"/>
        <w:rPr>
          <w:sz w:val="20"/>
          <w:szCs w:val="20"/>
          <w:color w:val="auto"/>
        </w:rPr>
      </w:pPr>
    </w:p>
    <w:p>
      <w:pPr>
        <w:ind w:firstLine="656"/>
        <w:spacing w:after="0" w:line="291"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SLG OP has been duly formed and is validly existing as a limited partnership in good standing under the laws of the State of Delaware, is duly qualified to do business and is in good standing as a foreign limited partnership in each jurisdiction in which its ownership or lease of property and other assets or the conduct of its business requires such qualification, except where the failure to so qualify will not have a Material Adverse Effect, and has all power and authority necessary to own, lease and operate its properties and other assets, to conduct the business in which it is engaged and to enter into and perform its obligations under this Agreement to which it is a party. The Company is the sole general partner of SLG OP. The Agreement of Limited Partnership of SLG OP, as amended (the “</w:t>
      </w:r>
      <w:r>
        <w:rPr>
          <w:rFonts w:ascii="Arial" w:cs="Arial" w:eastAsia="Arial" w:hAnsi="Arial"/>
          <w:sz w:val="16"/>
          <w:szCs w:val="16"/>
          <w:u w:val="single" w:color="auto"/>
          <w:color w:val="auto"/>
        </w:rPr>
        <w:t>SLG OP Agreement</w:t>
      </w:r>
      <w:r>
        <w:rPr>
          <w:rFonts w:ascii="Arial" w:cs="Arial" w:eastAsia="Arial" w:hAnsi="Arial"/>
          <w:sz w:val="16"/>
          <w:szCs w:val="16"/>
          <w:color w:val="auto"/>
        </w:rPr>
        <w:t>”), is in full force and effect, and the aggregate percentage interests of the Company and outside limited partners in SLG OP are substantially as set forth in each of the Registration Statement, the Time of Sale Information and the Prospectus.</w:t>
      </w:r>
    </w:p>
    <w:p>
      <w:pPr>
        <w:spacing w:after="0" w:line="167" w:lineRule="exact"/>
        <w:rPr>
          <w:rFonts w:ascii="Arial" w:cs="Arial" w:eastAsia="Arial" w:hAnsi="Arial"/>
          <w:sz w:val="16"/>
          <w:szCs w:val="16"/>
          <w:color w:val="auto"/>
        </w:rPr>
      </w:pPr>
    </w:p>
    <w:p>
      <w:pPr>
        <w:ind w:right="60" w:firstLine="656"/>
        <w:spacing w:after="0" w:line="293" w:lineRule="auto"/>
        <w:tabs>
          <w:tab w:leader="none" w:pos="131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Reckson OP has been duly formed and is validly existing as a limited partnership in good standing under the laws of the State of Delaware, is duly qualified to do business and is in good standing as a foreign limited partnership in each jurisdiction in which its ownership or lease of property and other assets or the conduct of its business requires such qualification, except where the failure to so qualify will not have a Material Adverse Effect, and has all power and authority necessary to own, lease and operate its properties and other assets, to conduct the business in which it is engaged. Wyoming, a wholly-owned subsidiary of SLG OP is the sole general partner of Reckson OP, and SLG OP owns 100% of the limited partner interests of Reckson OP. The Agreement of Limited Partnership of Reckson OP, as amended (the “</w:t>
      </w:r>
      <w:r>
        <w:rPr>
          <w:rFonts w:ascii="Arial" w:cs="Arial" w:eastAsia="Arial" w:hAnsi="Arial"/>
          <w:sz w:val="16"/>
          <w:szCs w:val="16"/>
          <w:u w:val="single" w:color="auto"/>
          <w:color w:val="auto"/>
        </w:rPr>
        <w:t>Reckson OP Agreement</w:t>
      </w:r>
      <w:r>
        <w:rPr>
          <w:rFonts w:ascii="Arial" w:cs="Arial" w:eastAsia="Arial" w:hAnsi="Arial"/>
          <w:sz w:val="16"/>
          <w:szCs w:val="16"/>
          <w:color w:val="auto"/>
        </w:rPr>
        <w:t>”), is in full force and effect.</w:t>
      </w:r>
    </w:p>
    <w:p>
      <w:pPr>
        <w:spacing w:after="0" w:line="164" w:lineRule="exact"/>
        <w:rPr>
          <w:rFonts w:ascii="Arial" w:cs="Arial" w:eastAsia="Arial" w:hAnsi="Arial"/>
          <w:sz w:val="16"/>
          <w:szCs w:val="16"/>
          <w:color w:val="auto"/>
        </w:rPr>
      </w:pPr>
    </w:p>
    <w:p>
      <w:pPr>
        <w:ind w:firstLine="656"/>
        <w:spacing w:after="0" w:line="293"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issued and outstanding Units have been duly authorized and validly issued and have been offered and sold or exchanged in compliance in all material respects with all applicable laws (including, without limitation, federal or state securities laws) and not in violation of the preemptive or other similar rights of any security holder of SLG OP. Except as disclosed in the Registration Statement, the Time of Sale Information and the Prospectus, no Units are reserved for any purpose and there are no outstanding securities convertible into or exchangeable for any Units and no outstanding options, rights (preemptive or otherwise) or warrants to purchase or subscribe for Units or other securities of SLG OP. The terms of the Units conform in all material respects to statements and descriptions related thereto contained in each of the Registration Statement, the Time of Sale Information and the Prospectus.</w:t>
      </w:r>
    </w:p>
    <w:p>
      <w:pPr>
        <w:spacing w:after="0" w:line="164" w:lineRule="exact"/>
        <w:rPr>
          <w:rFonts w:ascii="Arial" w:cs="Arial" w:eastAsia="Arial" w:hAnsi="Arial"/>
          <w:sz w:val="16"/>
          <w:szCs w:val="16"/>
          <w:color w:val="auto"/>
        </w:rPr>
      </w:pPr>
    </w:p>
    <w:p>
      <w:pPr>
        <w:ind w:right="160" w:firstLine="656"/>
        <w:spacing w:after="0" w:line="27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statements in the Registration Statement, the Time of Sale Information and the Prospectus under the headings “Material United States Federal Income Tax Consequences,”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Notes” and “Underwriting” accurately and fairly summarize the matters therein described.</w:t>
      </w:r>
    </w:p>
    <w:p>
      <w:pPr>
        <w:spacing w:after="0" w:line="225" w:lineRule="exact"/>
        <w:rPr>
          <w:sz w:val="20"/>
          <w:szCs w:val="20"/>
          <w:color w:val="auto"/>
        </w:rPr>
      </w:pPr>
    </w:p>
    <w:p>
      <w:pPr>
        <w:ind w:right="340" w:firstLine="656"/>
        <w:spacing w:after="0" w:line="259" w:lineRule="auto"/>
        <w:tabs>
          <w:tab w:leader="none" w:pos="1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SLG OP and Reckson OP are the only Subsidiaries that constitute a “</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of the Company (as such term is defined in Rule 1-02 of Regulation S-X). The only Subsidiaries of the Company are (a) the Subsidiaries listed in Exhibit 21.1 to the Company’s Form 10-K for the year ended December 31, 2016 and (b) certain other Subsidiaries which, when considered in the aggregate as a single Subsidiary, do not constitute a “</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as defined in Rule 1-02 of Regulation S-X.</w:t>
      </w:r>
    </w:p>
    <w:p>
      <w:pPr>
        <w:spacing w:after="0" w:line="186" w:lineRule="exact"/>
        <w:rPr>
          <w:rFonts w:ascii="Arial" w:cs="Arial" w:eastAsia="Arial" w:hAnsi="Arial"/>
          <w:sz w:val="18"/>
          <w:szCs w:val="18"/>
          <w:color w:val="auto"/>
        </w:rPr>
      </w:pPr>
    </w:p>
    <w:p>
      <w:pPr>
        <w:ind w:right="60" w:firstLine="656"/>
        <w:spacing w:after="0" w:line="297"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Notes have been duly and validly authorized for issuance and sale to each of the Underwriters and, when executed and authenticated in accordance with the provisions of the Indenture and delivered against payment therefor as provided herein, will have been duly executed and delivered by SLG OP and will constitute the legal, valid and binding obligations of SLG OP entitled to benefits of the Indenture (subject, as to the enforcement of remedies, to applicable bankruptcy, reorganization, insolvency, moratorium or other laws affecting creditors’ rights generally from time to time in effect and to general principles of equity). The Notes conform or will conform in all material respects to all statements and descriptions related thereto contained in the</w:t>
      </w:r>
    </w:p>
    <w:p>
      <w:pPr>
        <w:sectPr>
          <w:pgSz w:w="11900" w:h="16941" w:orient="portrait"/>
          <w:cols w:equalWidth="0" w:num="1">
            <w:col w:w="11420"/>
          </w:cols>
          <w:pgMar w:left="240" w:top="125" w:right="239" w:bottom="0" w:gutter="0" w:footer="0" w:header="0"/>
        </w:sectPr>
      </w:pPr>
    </w:p>
    <w:bookmarkStart w:id="6" w:name="page7"/>
    <w:bookmarkEnd w:id="6"/>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Registration Statement, the Time of Sale Information and the Prospectus. The form of the global note to be used to evidence the Notes will, at the Closing Date, be in due and proper form and will comply with all applicable legal requirements.</w:t>
      </w:r>
    </w:p>
    <w:p>
      <w:pPr>
        <w:spacing w:after="0" w:line="170" w:lineRule="exact"/>
        <w:rPr>
          <w:sz w:val="20"/>
          <w:szCs w:val="20"/>
          <w:color w:val="auto"/>
        </w:rPr>
      </w:pPr>
    </w:p>
    <w:p>
      <w:pPr>
        <w:ind w:right="80" w:firstLine="656"/>
        <w:spacing w:after="0" w:line="255"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Guarantees have been duly and validly authorized for issuance and, when the Notes are executed and authenticated in accordance with the provisions of the Indenture and delivered against payment therefor as provided herein, will constitute the legal, valid and binding obligations of the Guarantors entitled to benefits of the Indenture (subject, as to the enforcement of remedies, to applicable bankruptcy, reorganization, insolvency, moratorium or other laws affecting creditors’ rights generally from time to time in effect and to general principles of equity). The Guarantees conform or will conform in all material respects to all statements and descriptions related thereto contained in the Registration Statement, the Time of Sale Information and the Prospectus.</w:t>
      </w:r>
    </w:p>
    <w:p>
      <w:pPr>
        <w:spacing w:after="0" w:line="193" w:lineRule="exact"/>
        <w:rPr>
          <w:rFonts w:ascii="Arial" w:cs="Arial" w:eastAsia="Arial" w:hAnsi="Arial"/>
          <w:sz w:val="18"/>
          <w:szCs w:val="18"/>
          <w:color w:val="auto"/>
        </w:rPr>
      </w:pPr>
    </w:p>
    <w:p>
      <w:pPr>
        <w:ind w:right="80" w:firstLine="656"/>
        <w:spacing w:after="0" w:line="269" w:lineRule="auto"/>
        <w:tabs>
          <w:tab w:leader="none" w:pos="1628"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This Agreement has been duly and validly authorized, executed and delivered by each of the SLG Parties; (B) the SLG OP Agreement has been duly and validly authorized, executed and delivered by the parties thereto and is a valid and binding agreement of the 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(C) the Reckson OP Agreement has been duly and validly authorized, executed and delivered by the parties thereto and is a valid and binding agreement of the 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(D) each of the limited liability operating agreements, stockholders’ agreements or similar joint venture agreements of the Joint Venture Entities (the “</w:t>
      </w:r>
      <w:r>
        <w:rPr>
          <w:rFonts w:ascii="Arial" w:cs="Arial" w:eastAsia="Arial" w:hAnsi="Arial"/>
          <w:sz w:val="17"/>
          <w:szCs w:val="17"/>
          <w:u w:val="single" w:color="auto"/>
          <w:color w:val="auto"/>
        </w:rPr>
        <w:t>Joint Venture Agreements</w:t>
      </w:r>
      <w:r>
        <w:rPr>
          <w:rFonts w:ascii="Arial" w:cs="Arial" w:eastAsia="Arial" w:hAnsi="Arial"/>
          <w:sz w:val="17"/>
          <w:szCs w:val="17"/>
          <w:color w:val="auto"/>
        </w:rPr>
        <w:t>”) has been duly and validly authorized, executed and delivered by the parties thereto that are affiliates of the Company and is a valid and binding agreement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 enforceable against the Company in accordance with its terms, except to the extent that such enforceability may be limited by applicable bankruptcy, insolvency, reorganization or other similar laws relating to or affecting creditors’ rights and general principles of equity and except as rights to indemnity and contribution thereunder may be limited by applicable law or policies underlying such law; and (E) none of the SLG Parties or any Subsidiary that holds any interest in any of the Joint Venture Entities is in default under any of the Joint Venture Agreements nor, to the knowledge of the SLG Parties, is any third-party holder of interests in any of the Joint Venture Entities in default under any of the Joint Venture Agreements except, with respect to this clause (E), for any such default that would not have a Material Adverse Effect.</w:t>
      </w:r>
    </w:p>
    <w:p>
      <w:pPr>
        <w:spacing w:after="0" w:line="193" w:lineRule="exact"/>
        <w:rPr>
          <w:sz w:val="20"/>
          <w:szCs w:val="20"/>
          <w:color w:val="auto"/>
        </w:rPr>
      </w:pPr>
    </w:p>
    <w:p>
      <w:pPr>
        <w:ind w:right="40" w:firstLine="656"/>
        <w:spacing w:after="0" w:line="272" w:lineRule="auto"/>
        <w:tabs>
          <w:tab w:leader="none" w:pos="130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Base Indenture has been duly authorized by SLG OP, and the First Supplemental Indenture has been duly authorized by each of the SLG Parties and, assuming due authorization, execution and delivery of the Base Indenture and the First Supplemental Indenture by the Trustee, when the Base Indenture is duly executed and delivered by SLG OP and the First Supplemental Indenture is executed and delivered by each of the SLG Parties, the Indenture will constitute a legal, valid and binding instrument enforceable against the SLG Parties in accordance with its terms (subject, as to the enforcement of remedies, to applicable bankruptcy, reorganization, insolvency, moratorium or other laws relating to or affecting creditors’ rights generally from time to time in effect and to general principles of equity). The Indenture conforms or will conform in all material respects to all statements and descriptions related thereto contained in the Registration Statement, the Time of Sale Information and the Prospectus.</w:t>
      </w:r>
    </w:p>
    <w:p>
      <w:pPr>
        <w:spacing w:after="0" w:line="177" w:lineRule="exact"/>
        <w:rPr>
          <w:rFonts w:ascii="Arial" w:cs="Arial" w:eastAsia="Arial" w:hAnsi="Arial"/>
          <w:sz w:val="17"/>
          <w:szCs w:val="17"/>
          <w:color w:val="auto"/>
        </w:rPr>
      </w:pPr>
    </w:p>
    <w:p>
      <w:pPr>
        <w:ind w:firstLine="656"/>
        <w:spacing w:after="0" w:line="286"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Indenture by each of the SLG Parties, the issuance of the Notes, the granting of the Guarantees, the sale of the Securities and the consummation of any of the transactions contemplated hereby and thereby and by the Registration Statement, the Time of Sale Information and the Prospectus (A) do not and will not conflict with or result in a breach or violation of any of the terms or provisions of, or constitute (with or without the giving of notice or the passage of time, or both) a default (or give rise to any right of termination, redemption, repurchase, cancellation or acceleration) under any of the terms, conditions or provisions of any note, bond, indenture, mortgage, deed of trust, lease, license, contract, loan agreement or other agreement or instrument to which any of the SLG Parties is a party or by which any of the SLG Parties is bound or to which any of the Properties or other assets of any of the SLG Parties is subject, (B) will not result in any violation of any of the provisions of the charter, by-laws, certificate of limited partnership, agreement of limited partnership or other organizational document of any of the SLG Parties or Joint Venture Entities, or (C) will not result in any violation of any statute or any order, writ, injunction, decree, rule or regulation of any court or governmental agency or body having jurisdiction over any of the SLG Parties, Subsidiaries, Joint Venture Entities or any of the Properties, except, with respect to subsections (A) and (C), for any such breach or violation that would not have a Material Adverse Effect. Except for such consents, approvals, authorizations, registrations or qualifications as have been obtained or made by the SLG Parties and are in full force and effect under the Securities Act, and except as may be required by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and applicable state securities laws in connection with the purchase and distribution of the Securities by the Representatives, no consent, approval, authorization or order of, or filing or registration with, any such court or governmental agency or body is required for the execution, delivery and performance of this Agreement by the SLG Parties and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consummation of the transactions contemplated hereby and in the Indenture and by the Registration Statement, the Time of Sale Information and the Prospectus.</w:t>
      </w:r>
    </w:p>
    <w:p>
      <w:pPr>
        <w:spacing w:after="0" w:line="170" w:lineRule="exact"/>
        <w:rPr>
          <w:sz w:val="20"/>
          <w:szCs w:val="20"/>
          <w:color w:val="auto"/>
        </w:rPr>
      </w:pPr>
    </w:p>
    <w:p>
      <w:pPr>
        <w:ind w:right="40" w:firstLine="656"/>
        <w:spacing w:after="0" w:line="287" w:lineRule="auto"/>
        <w:tabs>
          <w:tab w:leader="none" w:pos="13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disclosed in the Prospectus or as may be entered into from time to time in connection with investments for which consideration is paid in equity securities of the Company or SLG OP,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other than pursuant to (i) the Contribution Agreement and related Registration Rights Agreement, each dated October 25, 2010, among Devash LLC, Eretz LLC, SLG OP and the Company, (ii) the Contribution Agreement and related Registration Rights Agreement, each dated November 10, 2011, among Almah Mezz LLC, Almah Mezz Owner LLC, Eretz LLC, SLG OP and the Company, (iii) that certain Sale-Purchase Agreement dated as of September 28, 2011 between SL Green Realty Acquisition, LLC as purchaser and the sellers named therein and the related Registration Rights Agreement dated January 31, 2011, (iv) the Contribution Agreement, dated April 27, 2012, among 304 Park Avenue South Limited Liability Company, 304 PAS Owner LLC and the Company and the related Registration Rights Agreement, dated June 1, 2012, between 304 Park Avenue South Limited Liability Company and the Company, (v) that certain Side Letter, dated as of July 21, 2014, between SP Eastside Holdings LLC, Green Eastside Member LLC, 752 Development Fee LLC, 752 Madison Owner 2</w:t>
      </w:r>
    </w:p>
    <w:p>
      <w:pPr>
        <w:sectPr>
          <w:pgSz w:w="11900" w:h="16930" w:orient="portrait"/>
          <w:cols w:equalWidth="0" w:num="1">
            <w:col w:w="11420"/>
          </w:cols>
          <w:pgMar w:left="240" w:top="125" w:right="239" w:bottom="0" w:gutter="0" w:footer="0" w:header="0"/>
        </w:sectPr>
      </w:pPr>
    </w:p>
    <w:bookmarkStart w:id="7" w:name="page8"/>
    <w:bookmarkEnd w:id="7"/>
    <w:p>
      <w:pPr>
        <w:spacing w:after="0" w:line="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LLC, 752 Madison Owner 3 LLC, as amended by that certain Side Letter dated January 15, 2015 between the parties to the foregoing Side Letter and the Company and SLG OP, as amended, (vi) that certain Registration Rights Agreement, dated as of December 5, 2014, between the Company, SLG OP and WG 1745 Internal LLC, (vii) the Registration Rights Agreement, dated as of June 11, 2015 among SLG OP, the Company, a named individual and a named trust.</w:t>
      </w:r>
    </w:p>
    <w:p>
      <w:pPr>
        <w:spacing w:after="0" w:line="147" w:lineRule="exact"/>
        <w:rPr>
          <w:sz w:val="20"/>
          <w:szCs w:val="20"/>
          <w:color w:val="auto"/>
        </w:rPr>
      </w:pPr>
    </w:p>
    <w:p>
      <w:pPr>
        <w:ind w:right="80" w:firstLine="656"/>
        <w:spacing w:after="0" w:line="259"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described in the Prospectus, no SLG Party has sold or issued any securities during the six-month period preceding the date of the Prospectus, including any sales pursuant to Rule 144A under, or Regulations D or S of, the Securities Act, other than securities issued pursuant to employee benefit plans, qualified stock options plans or other employee compensation plans or pursuant to outstanding options, rights or warrants, that would be required to be integrated with the sale of the Securities.</w:t>
      </w:r>
    </w:p>
    <w:p>
      <w:pPr>
        <w:spacing w:after="0" w:line="186" w:lineRule="exact"/>
        <w:rPr>
          <w:rFonts w:ascii="Arial" w:cs="Arial" w:eastAsia="Arial" w:hAnsi="Arial"/>
          <w:sz w:val="18"/>
          <w:szCs w:val="18"/>
          <w:color w:val="auto"/>
        </w:rPr>
      </w:pPr>
    </w:p>
    <w:p>
      <w:pPr>
        <w:ind w:right="60" w:firstLine="656"/>
        <w:spacing w:after="0" w:line="291" w:lineRule="auto"/>
        <w:tabs>
          <w:tab w:leader="none" w:pos="13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Except as would not have a Material Adverse Effect, none of the SLG Parties, Subsidiaries, Joint Venture Entities or Properties (as defined below) has sustained, since the date of the latest financial statements included or incorporated by reference in the Registration Statement, the Time of Sale Information and the Prospectus with respect to any such entity, any loss or interference with its business from fire, explosion, flood or other calamity, whether or not covered by insurance, or from any labor dispute or court or governmental action, order or decree, other than as set forth or contemplated in the Registration Statement, the Time of Sale Information and the Prospectus; and (ii) since the date of the latest financial statements included or incorporated by reference in the Registration Statement, the Time of Sale Information and the Prospectus, there has not been any material change in the capital stock or long-term debt of any of the SLG Parties or any material adverse change, or any development involving a prospective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material adverse change, in or affecting any of the Properties or the condition, financial or otherwise, or in the business, prospects, operations, management, financial position, net worth, stockholders’ equity or results of operations, whether or not arising from transactions in the ordinary course of business, of the SLG Parties, Subsidiaries and Joint Venture Entities considered as one enterprise or in the use or value of the Properties as a whole, other than as set forth or contemplated in the Registration Statement, the Time of Sale Information and the Prospectus.</w:t>
      </w:r>
    </w:p>
    <w:p>
      <w:pPr>
        <w:spacing w:after="0" w:line="171" w:lineRule="exact"/>
        <w:rPr>
          <w:sz w:val="20"/>
          <w:szCs w:val="20"/>
          <w:color w:val="auto"/>
        </w:rPr>
      </w:pPr>
    </w:p>
    <w:p>
      <w:pPr>
        <w:ind w:firstLine="656"/>
        <w:spacing w:after="0" w:line="284" w:lineRule="auto"/>
        <w:tabs>
          <w:tab w:leader="none" w:pos="13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and supporting schedules) of (A) the Company, included in, or incorporated by reference into, the Registration Statement, the Time of Sale Information and the Prospectus (i) present fairly the financial condition, the results of operations, the statements of cash flows and the statements of equity and other information purported to be shown thereby of the Company and its consolidated Subsidiaries, at the dates and for the periods indicated and (ii) have been prepared in conformity with generally accepted accounting principles applied on a consistent basis throughout the periods involved, (B) SLG OP, included in, or incorporated by reference into, the Registration Statement, the Time of Sale Information and the Prospectus (i) present fairly the financial condition, the results of operations, the statements of cash flows and the statements of capital and other information purported to be shown thereby of SLG OP and its consolidated Subsidiaries, at the dates and for the periods indicated and (ii) have been prepared in conformity with generally accepted accounting principles applied on a consistent basis throughout the periods involved, and (C) Reckson OP, included in, or incorporated by reference into, the Registration Statement, the Time of Sale Information and the Prospectus (i) present fairly the financial condition, the results of operations, the statements of cash flows and the statements of capital and other information purported to be shown thereby of Reckson OP and its consolidated Subsidiaries, at the dates and for the periods indicated and (ii) have been prepared in conformity with generally accepted accounting principles applied on a consistent basis throughout the periods involved. The summary and selected financial data included in, or incorporated by reference into, the Registration Statement, the Time of Sale Information and the Prospectus present fairly the information shown therein as at the respective dates and for the respective periods specified, and the summary and selected financial data have been presented on a basis consistent with the financial statements so set forth in the Registration Statement, the Time of Sale Information and the Prospectus and other financial information. The pro forma financial information, if any, included in, or incorporated by reference into, the Time of Sale Information and the Prospectus has been prepared in accordance with the applicable requirements of the Securities Act with respect to pro forma financial information and includes all adjustments necessary to present fairly the pro forma financial position of the Company at the respective dates indicated and the results of operations for the respective periods specified. No other financial statements (or schedules) of the Company, any predecessor of the Company, Reckson OP or any predecessor of Reckson OP, as applicable, are required by the Securities Act to be included or incorporated by reference in the Registration Statement, the Prospectus or the Time of Sale Information. The other financial and statistical information and data included in, or incorporated by reference in, the Registration Statement, the Time of Sale Information or the Prospectus, historical and pro forma, have been derived from the financial records of the Company (or its predecessors), SLG OP (or its predecessors) or Reckson OP (or its predecessors), as applicable, and, in all material respects, have been prepared on a basis consistent with such books and records of the Company (or its predecessors), SLG OP (or its predecessors) or Reckson OP (or its predecessors), as applicable.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24" w:lineRule="exact"/>
        <w:rPr>
          <w:sz w:val="20"/>
          <w:szCs w:val="20"/>
          <w:color w:val="auto"/>
        </w:rPr>
      </w:pPr>
    </w:p>
    <w:p>
      <w:pPr>
        <w:ind w:right="120" w:firstLine="656"/>
        <w:spacing w:after="0" w:line="255"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Ernst &amp; Young LLP, who has certified the financial statements and supporting schedules included in, or incorporated by reference into, the Registration Statement, the Time of Sale Information and the Prospectus, (A) whose reports appear in (i) the Company’s and SLG OP’s combined Annual Report on Form 10-K for the year ended December 31, 2016 and (ii) Reckson OP’s Annual Report on Form 10-K for the fiscal year ended December 31, 2016, each of which is incorporated by reference into the Registration Statement, the Time of Sale Information and the Prospectus, and (B) and who has delivered the initial letter referred to in Section 6(h) hereof, are, and during the periods covered by such reports, were, independent public accountants as required by the Securities Act.</w:t>
      </w:r>
    </w:p>
    <w:p>
      <w:pPr>
        <w:spacing w:after="0" w:line="193" w:lineRule="exact"/>
        <w:rPr>
          <w:rFonts w:ascii="Arial" w:cs="Arial" w:eastAsia="Arial" w:hAnsi="Arial"/>
          <w:sz w:val="18"/>
          <w:szCs w:val="18"/>
          <w:color w:val="auto"/>
        </w:rPr>
      </w:pPr>
    </w:p>
    <w:p>
      <w:pPr>
        <w:ind w:right="20" w:firstLine="656"/>
        <w:spacing w:after="0" w:line="287" w:lineRule="auto"/>
        <w:tabs>
          <w:tab w:leader="none" w:pos="13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SLG OP and Reckson OP, directly or indirectly, or any Joint Venture Entity in which any of the Company or SLG OP, directly or indirectly, owns an interest, as the case may be, has good and marketable title fee or leasehold, as the case may be, to each of the interests in the properties and the other assets described in the Registration Statement, the Time of Sale Information and the Prospectus as being directly or indirectly owned by SLG OP, Reckson OP or the applicable Joint Venture Entity, respectively, (the “</w:t>
      </w:r>
      <w:r>
        <w:rPr>
          <w:rFonts w:ascii="Arial" w:cs="Arial" w:eastAsia="Arial" w:hAnsi="Arial"/>
          <w:sz w:val="16"/>
          <w:szCs w:val="16"/>
          <w:u w:val="single" w:color="auto"/>
          <w:color w:val="auto"/>
        </w:rPr>
        <w:t>Properties</w:t>
      </w:r>
      <w:r>
        <w:rPr>
          <w:rFonts w:ascii="Arial" w:cs="Arial" w:eastAsia="Arial" w:hAnsi="Arial"/>
          <w:sz w:val="16"/>
          <w:szCs w:val="16"/>
          <w:color w:val="auto"/>
        </w:rPr>
        <w:t>”), in each case free and clear of all liens, encumbrances, claims, security interests and defects, other than those referred to in the Registration Statement, the Time of Sale Information and the Prospectus or those which would not have a Material Adverse Effect; (B) except as otherwise described in the Registration Statement, the Time of Sale Information and the Prospectus, none of the SLG Parties, Subsidiaries or Joint Venture Entities is in default under (i) any of the mortgages or other security documents or other agreements encumbering or otherwise recorded against the Properties, or (ii) any ground lease, sublease or operating sublease relating to any of the Properties, and no SLG Party knows of any event which, but for the passage of time or the giving of notice, or both, would constitute a default under any of such documents or agreements except with respect to (i) and (ii) immediately above any such default that would not have a Material Adverse Effect; (C) except as otherwise described in the Registration Statement, the Time of Sale Information and the Prospectus, no tenant of any of the Properties is in default under any space leases (as lessor or</w:t>
      </w:r>
    </w:p>
    <w:p>
      <w:pPr>
        <w:sectPr>
          <w:pgSz w:w="11900" w:h="16926" w:orient="portrait"/>
          <w:cols w:equalWidth="0" w:num="1">
            <w:col w:w="11420"/>
          </w:cols>
          <w:pgMar w:left="240" w:top="125" w:right="239" w:bottom="0" w:gutter="0" w:footer="0" w:header="0"/>
        </w:sectPr>
      </w:pPr>
    </w:p>
    <w:bookmarkStart w:id="8" w:name="page9"/>
    <w:bookmarkEnd w:id="8"/>
    <w:p>
      <w:pPr>
        <w:jc w:val="both"/>
        <w:ind w:right="220"/>
        <w:spacing w:after="0" w:line="288" w:lineRule="auto"/>
        <w:rPr>
          <w:sz w:val="20"/>
          <w:szCs w:val="20"/>
          <w:color w:val="auto"/>
        </w:rPr>
      </w:pPr>
      <w:r>
        <w:rPr>
          <w:rFonts w:ascii="Arial" w:cs="Arial" w:eastAsia="Arial" w:hAnsi="Arial"/>
          <w:sz w:val="16"/>
          <w:szCs w:val="16"/>
          <w:color w:val="auto"/>
        </w:rPr>
        <w:t>lessee, as the case may be) relating to the Properties except any such default that would not have a Material Adverse Effect; (D) to the knowledge of any of the SLG Parties, each of the Properties complies with all applicable codes, laws and regulations (including, without limitation, building and zoning codes, laws and regulations and laws relating to access to the Properties), except for such failures to comply that would not have a Material Adverse Effect; and</w:t>
      </w:r>
    </w:p>
    <w:p>
      <w:pPr>
        <w:ind w:right="520" w:firstLine="8"/>
        <w:spacing w:after="0" w:line="261" w:lineRule="auto"/>
        <w:tabs>
          <w:tab w:leader="none" w:pos="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SLG Party has knowledge of any pending or threatened condemnation proceedings, zoning change or other proceeding or action that will in any material manner affect the size of, use of, improvements on, construction on or access to the Properties.</w:t>
      </w:r>
    </w:p>
    <w:p>
      <w:pPr>
        <w:spacing w:after="0" w:line="183" w:lineRule="exact"/>
        <w:rPr>
          <w:rFonts w:ascii="Arial" w:cs="Arial" w:eastAsia="Arial" w:hAnsi="Arial"/>
          <w:sz w:val="18"/>
          <w:szCs w:val="18"/>
          <w:color w:val="auto"/>
        </w:rPr>
      </w:pPr>
    </w:p>
    <w:p>
      <w:pPr>
        <w:ind w:right="600" w:firstLine="656"/>
        <w:spacing w:after="0" w:line="342" w:lineRule="auto"/>
        <w:tabs>
          <w:tab w:leader="none" w:pos="130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mortgages and deeds of trust which encumber the Properties are not convertible into equity securities of the entity owning such Property and said mortgages and deeds of trust are not cross-defaulted or cross-collateralized with any property other than other Properties.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79"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SLG OP or Reckson OP, as applicable, directly or indirectly, has obtained title insurance on the fee or leasehold interests, as the case may be, in each of the Properties, in an amount at least equal to the purchase price of each such Property, or, if SLG OP or Reckson OP, as applicable, owns less than 100% of such Property, then its proportionate share of the purchase price of such Property. SLG OP or Reckson OP, as applicable, has purchased for the benefit of any mortgage lender, title insurance in an amount equal to the amount of mortgage indebtedness.</w:t>
      </w:r>
    </w:p>
    <w:p>
      <w:pPr>
        <w:spacing w:after="0" w:line="171" w:lineRule="exact"/>
        <w:rPr>
          <w:rFonts w:ascii="Arial" w:cs="Arial" w:eastAsia="Arial" w:hAnsi="Arial"/>
          <w:sz w:val="17"/>
          <w:szCs w:val="17"/>
          <w:color w:val="auto"/>
        </w:rPr>
      </w:pPr>
    </w:p>
    <w:p>
      <w:pPr>
        <w:ind w:right="120" w:firstLine="656"/>
        <w:spacing w:after="0" w:line="285" w:lineRule="auto"/>
        <w:tabs>
          <w:tab w:leader="none" w:pos="13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Prospectus or as would not result in a Material Adverse Effect: (A) to the knowledge of the SLG Parties, the operations of the SLG Parties, the Joint Venture Entities and the Properties are in compliance with all Environmental Laws (as defined below) and all requirements of applicable permits, licenses, approvals and other authorizations issued pursuant to Environmental Laws; (B) to the knowledge of the SLG Parties, none of the SLG Parties, any Joint Venture Entity or any Property has caused or suffered to occur any Release (as defined below) of any Hazardous Substance (as defined below) into the Environment (as defined below) on, in, under or from any Property, and no condition exists on, in, under or adjacent to any Property that could result in the incurrence of liabilities under, or any violations of, any Environmental Law or give rise to the imposition of any Lien (as defined below), under any Environmental Law; (C) none of the SLG Parties or any Joint Venture Entity has received any written notice of a claim under or pursuant to any Environmental Law or under common law pertaining to Hazardous Substances on, in, under or originating from any Property; (D) none of the SLG Parties has actual knowledge of, or received any written notice from any Governmental Authority (as defined below) claiming any violation of any Environmental Law or a determination to undertake and/or request the investigation, remediation, clean-up or removal of any Hazardous Substance released into the Environment on, in, under or from any Property; and (E) no Property is included or, to the knowledge of the SLG Parties, proposed for inclusion on the National Priorities List issued pursuant to CERCLA (as defined below) by the United States Environmental Protection Agency (the “</w:t>
      </w:r>
      <w:r>
        <w:rPr>
          <w:rFonts w:ascii="Arial" w:cs="Arial" w:eastAsia="Arial" w:hAnsi="Arial"/>
          <w:sz w:val="16"/>
          <w:szCs w:val="16"/>
          <w:u w:val="single" w:color="auto"/>
          <w:color w:val="auto"/>
        </w:rPr>
        <w:t>EPA</w:t>
      </w:r>
      <w:r>
        <w:rPr>
          <w:rFonts w:ascii="Arial" w:cs="Arial" w:eastAsia="Arial" w:hAnsi="Arial"/>
          <w:sz w:val="16"/>
          <w:szCs w:val="16"/>
          <w:color w:val="auto"/>
        </w:rPr>
        <w:t>”) or on the Comprehensive Environmental Response, Compensation, and Liability Information System database maintained by the EPA, and none of the SLG Parties has actual knowledge that any Property has otherwise been identified in a published writing by the EPA as a potential CERCLA removal, remedial or response site or, to the knowledge of the SLG Parties, is included on any similar list of potentially contaminated sites pursuant to any other Environmental Law.</w:t>
      </w:r>
    </w:p>
    <w:p>
      <w:pPr>
        <w:spacing w:after="0" w:line="178"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shall include any hazardous substance, hazardous waste, toxic substance, pollutant or hazardous material, including, without limitation, oil, petroleum or any petroleum-derived substance or waste, asbestos or asbestos-containing materials, PCBs, pesticides, explosives, radioactive materials, dioxins, urea formaldehyde insulation or any constituent of any such substance, pollutant or waste which is subject to regulation under any Environmental Law (including, without limitation, materials listed in the United States Department of Transportation Optional Hazardous Material Table, 49 C.F.R. § 172.101, or in the EPA’s List of Hazardous Substances and Reportable Quantities, 40 C.F.R. Part 302); “</w:t>
      </w:r>
      <w:r>
        <w:rPr>
          <w:rFonts w:ascii="Arial" w:cs="Arial" w:eastAsia="Arial" w:hAnsi="Arial"/>
          <w:sz w:val="16"/>
          <w:szCs w:val="16"/>
          <w:u w:val="single" w:color="auto"/>
          <w:color w:val="auto"/>
        </w:rPr>
        <w:t>Environment</w:t>
      </w:r>
      <w:r>
        <w:rPr>
          <w:rFonts w:ascii="Arial" w:cs="Arial" w:eastAsia="Arial" w:hAnsi="Arial"/>
          <w:sz w:val="16"/>
          <w:szCs w:val="16"/>
          <w:color w:val="auto"/>
        </w:rPr>
        <w:t>” shall mean any surface water, drinking water, ground water, land surface, subsurface strata, river sediment, buildings, structures, and ambient, workplace and indoor and outdoor air; “</w:t>
      </w:r>
      <w:r>
        <w:rPr>
          <w:rFonts w:ascii="Arial" w:cs="Arial" w:eastAsia="Arial" w:hAnsi="Arial"/>
          <w:sz w:val="16"/>
          <w:szCs w:val="16"/>
          <w:u w:val="single" w:color="auto"/>
          <w:color w:val="auto"/>
        </w:rPr>
        <w:t>Environmental Law</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 seq</w:t>
      </w:r>
      <w:r>
        <w:rPr>
          <w:rFonts w:ascii="Arial" w:cs="Arial" w:eastAsia="Arial" w:hAnsi="Arial"/>
          <w:sz w:val="16"/>
          <w:szCs w:val="16"/>
          <w:color w:val="auto"/>
        </w:rPr>
        <w:t>.) (“</w:t>
      </w:r>
      <w:r>
        <w:rPr>
          <w:rFonts w:ascii="Arial" w:cs="Arial" w:eastAsia="Arial" w:hAnsi="Arial"/>
          <w:sz w:val="16"/>
          <w:szCs w:val="16"/>
          <w:u w:val="single" w:color="auto"/>
          <w:color w:val="auto"/>
        </w:rPr>
        <w:t>CERCLA</w:t>
      </w:r>
      <w:r>
        <w:rPr>
          <w:rFonts w:ascii="Arial" w:cs="Arial" w:eastAsia="Arial" w:hAnsi="Arial"/>
          <w:sz w:val="16"/>
          <w:szCs w:val="16"/>
          <w:color w:val="auto"/>
        </w:rPr>
        <w:t>”), the Resource Conservation and Recovery Act of 1976, as amended (42 U.S.C.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8"/>
        <w:spacing w:after="0" w:line="270" w:lineRule="auto"/>
        <w:tabs>
          <w:tab w:leader="none" w:pos="1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6901,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Clean Air Act, as amended (42 U.S.C. § 7401,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Clean Water Act, as amended (33 U.S.C. § 1251,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Toxic Substances Control Act, as amended (15 U.S.C. §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Occupational Safety and Health Act of 1970, as amended (29 U.S.C. § 651,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Hazardous Materials Transportation Act, as amended (49 U.S.C. § 1801, </w:t>
      </w:r>
      <w:r>
        <w:rPr>
          <w:rFonts w:ascii="Arial" w:cs="Arial" w:eastAsia="Arial" w:hAnsi="Arial"/>
          <w:sz w:val="17"/>
          <w:szCs w:val="17"/>
          <w:i w:val="1"/>
          <w:iCs w:val="1"/>
          <w:color w:val="auto"/>
        </w:rPr>
        <w:t>et seq</w:t>
      </w:r>
      <w:r>
        <w:rPr>
          <w:rFonts w:ascii="Arial" w:cs="Arial" w:eastAsia="Arial" w:hAnsi="Arial"/>
          <w:sz w:val="17"/>
          <w:szCs w:val="17"/>
          <w:color w:val="auto"/>
        </w:rPr>
        <w:t>.), and all other federal, state and local laws, ordinances, regulations, rules and orders relating to the protection of the environments or of human health from environmental effects;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federal, state or local governmental office, agency or authority having the duty or authority to promulgate, implement or enforce any Environmental Law; “</w:t>
      </w:r>
      <w:r>
        <w:rPr>
          <w:rFonts w:ascii="Arial" w:cs="Arial" w:eastAsia="Arial" w:hAnsi="Arial"/>
          <w:sz w:val="17"/>
          <w:szCs w:val="17"/>
          <w:u w:val="single" w:color="auto"/>
          <w:color w:val="auto"/>
        </w:rPr>
        <w:t>Lien</w:t>
      </w:r>
      <w:r>
        <w:rPr>
          <w:rFonts w:ascii="Arial" w:cs="Arial" w:eastAsia="Arial" w:hAnsi="Arial"/>
          <w:sz w:val="17"/>
          <w:szCs w:val="17"/>
          <w:color w:val="auto"/>
        </w:rPr>
        <w:t>” shall mean, with respect to any Property, any mortgage, deed of trust, pledge, security interest, lien, encumbrance, penalty, fine, charge, assessment, judgment or other liability in, on or affecting such Property; and “</w:t>
      </w:r>
      <w:r>
        <w:rPr>
          <w:rFonts w:ascii="Arial" w:cs="Arial" w:eastAsia="Arial" w:hAnsi="Arial"/>
          <w:sz w:val="17"/>
          <w:szCs w:val="17"/>
          <w:u w:val="single" w:color="auto"/>
          <w:color w:val="auto"/>
        </w:rPr>
        <w:t>Release</w:t>
      </w:r>
      <w:r>
        <w:rPr>
          <w:rFonts w:ascii="Arial" w:cs="Arial" w:eastAsia="Arial" w:hAnsi="Arial"/>
          <w:sz w:val="17"/>
          <w:szCs w:val="17"/>
          <w:color w:val="auto"/>
        </w:rPr>
        <w:t>” shall mean any spilling, leaking, pumping, pouring, emitting, emptying, discharging, injecting, escaping, leaching, dumping, emanating or disposing of any Hazardous Substance into the Environment, including, without limitation, the abandonment or discard of barrels, containers, tanks (including, without limitation, underground storage tanks) or other receptacles containing or previously containing any Hazardous Substance.</w:t>
      </w:r>
    </w:p>
    <w:p>
      <w:pPr>
        <w:spacing w:after="0" w:line="177" w:lineRule="exact"/>
        <w:rPr>
          <w:rFonts w:ascii="Arial" w:cs="Arial" w:eastAsia="Arial" w:hAnsi="Arial"/>
          <w:sz w:val="17"/>
          <w:szCs w:val="17"/>
          <w:color w:val="auto"/>
        </w:rPr>
      </w:pPr>
    </w:p>
    <w:p>
      <w:pPr>
        <w:jc w:val="both"/>
        <w:ind w:right="160" w:firstLine="656"/>
        <w:spacing w:after="0" w:line="259" w:lineRule="auto"/>
        <w:tabs>
          <w:tab w:leader="none" w:pos="1279"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None of the environmental consultants which prepared environmental and asbestos inspection reports with respect to any of the Properties was employed for such purpose on a contingent basis or has any substantial interest in the SLG Parties, any of their Subsidiaries or any of the Joint Venture Entities, and none of them nor any of their directors, officers or employees is connected with any of the SLG Parties or any of their Subsidiaries as a promoter, selling agent, voting trustee, director, officer or employee.</w:t>
      </w:r>
    </w:p>
    <w:p>
      <w:pPr>
        <w:spacing w:after="0" w:line="186" w:lineRule="exact"/>
        <w:rPr>
          <w:rFonts w:ascii="Arial" w:cs="Arial" w:eastAsia="Arial" w:hAnsi="Arial"/>
          <w:sz w:val="18"/>
          <w:szCs w:val="18"/>
          <w:color w:val="auto"/>
        </w:rPr>
      </w:pPr>
    </w:p>
    <w:p>
      <w:pPr>
        <w:ind w:firstLine="656"/>
        <w:spacing w:after="0" w:line="271" w:lineRule="auto"/>
        <w:tabs>
          <w:tab w:leader="none" w:pos="1299" w:val="left"/>
        </w:tabs>
        <w:numPr>
          <w:ilvl w:val="1"/>
          <w:numId w:val="16"/>
        </w:numPr>
        <w:rPr>
          <w:rFonts w:ascii="Arial" w:cs="Arial" w:eastAsia="Arial" w:hAnsi="Arial"/>
          <w:sz w:val="17"/>
          <w:szCs w:val="17"/>
          <w:color w:val="auto"/>
        </w:rPr>
      </w:pPr>
      <w:r>
        <w:rPr>
          <w:rFonts w:ascii="Arial" w:cs="Arial" w:eastAsia="Arial" w:hAnsi="Arial"/>
          <w:sz w:val="17"/>
          <w:szCs w:val="17"/>
          <w:color w:val="auto"/>
        </w:rPr>
        <w:t>Except as described or referred to in the Registration Statement, the Time of Sale Information and the Prospectus, each of the SLG Parties, their Subsidiaries and the Joint Venture Entities are insured by licensed insurers against such losses and risks and in such amounts and covering such risks as are customary in the businesses in which they are engaged or propose to engage after giving effect to the transactions described in the Registration Statement, the Time of Sale Information and the Prospectus; each of the SLG Parties, their Subsidiaries and the Joint Venture Entities are in compliance with the terms of such insurance policies and instruments in all material respects; and none of the SLG Parties has any reason to believe that it, any Subsidiary or any Joint Venture Entity will not be able to renew its existing insurance coverage as and when such coverage expires or to obtain similar coverage (to the extent that such renewal is available on a commercially reasonable basis) from similar insurers as may be necessary to continue their business at a cost that would not have a Material Adverse Effect.</w:t>
      </w:r>
    </w:p>
    <w:p>
      <w:pPr>
        <w:spacing w:after="0" w:line="178" w:lineRule="exact"/>
        <w:rPr>
          <w:rFonts w:ascii="Arial" w:cs="Arial" w:eastAsia="Arial" w:hAnsi="Arial"/>
          <w:sz w:val="17"/>
          <w:szCs w:val="17"/>
          <w:color w:val="auto"/>
        </w:rPr>
      </w:pPr>
    </w:p>
    <w:p>
      <w:pPr>
        <w:ind w:right="200" w:firstLine="656"/>
        <w:spacing w:after="0" w:line="342" w:lineRule="auto"/>
        <w:tabs>
          <w:tab w:leader="none" w:pos="1306"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of the SLG Parties, their Subsidiaries and the Joint Venture Entities (i) owns or possesses adequate rights to use all material patents, patent applications, trademarks, service marks, trade names, trademark registrations, service mark registrations, copyrights and licenses necessary for the</w:t>
      </w:r>
    </w:p>
    <w:p>
      <w:pPr>
        <w:sectPr>
          <w:pgSz w:w="11900" w:h="16838" w:orient="portrait"/>
          <w:cols w:equalWidth="0" w:num="1">
            <w:col w:w="11400"/>
          </w:cols>
          <w:pgMar w:left="240" w:top="125" w:right="259" w:bottom="0" w:gutter="0" w:footer="0" w:header="0"/>
        </w:sectPr>
      </w:pPr>
    </w:p>
    <w:bookmarkStart w:id="9" w:name="page10"/>
    <w:bookmarkEnd w:id="9"/>
    <w:p>
      <w:pPr>
        <w:ind w:right="400"/>
        <w:spacing w:after="0" w:line="308" w:lineRule="auto"/>
        <w:rPr>
          <w:sz w:val="20"/>
          <w:szCs w:val="20"/>
          <w:color w:val="auto"/>
        </w:rPr>
      </w:pPr>
      <w:r>
        <w:rPr>
          <w:rFonts w:ascii="Arial" w:cs="Arial" w:eastAsia="Arial" w:hAnsi="Arial"/>
          <w:sz w:val="17"/>
          <w:szCs w:val="17"/>
          <w:color w:val="auto"/>
        </w:rPr>
        <w:t>conduct of its business and (ii) has no reason to believe that the conduct of its business will conflict with, and has not received any notice of any claim of conflict with, any such rights of others, except in the case of clauses (i) and (ii) as would not have a Material Adverse Effect.</w:t>
      </w:r>
    </w:p>
    <w:p>
      <w:pPr>
        <w:spacing w:after="0" w:line="147" w:lineRule="exact"/>
        <w:rPr>
          <w:sz w:val="20"/>
          <w:szCs w:val="20"/>
          <w:color w:val="auto"/>
        </w:rPr>
      </w:pPr>
    </w:p>
    <w:p>
      <w:pPr>
        <w:ind w:right="280" w:firstLine="656"/>
        <w:spacing w:after="0" w:line="264" w:lineRule="auto"/>
        <w:tabs>
          <w:tab w:leader="none" w:pos="1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Time of Sale Information and the Prospectus, there are no actions, suits or proceedings by or before any court or Governmental Authority pending to which any of the SLG Parties, their Subsidiaries or any Joint Venture Entity is a party or of which any of the Properties or assets of any of the SLG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Subsidiaries or Joint Venture Entities is the subject which, if determined adversely to such entities, might have a Material Adverse Effect, and to the knowledge of any of the SLG Parties, no such proceedings are threatened or contemplated by court or Governmental Authority or threatened by others.</w:t>
      </w:r>
    </w:p>
    <w:p>
      <w:pPr>
        <w:spacing w:after="0" w:line="124" w:lineRule="exact"/>
        <w:rPr>
          <w:sz w:val="20"/>
          <w:szCs w:val="20"/>
          <w:color w:val="auto"/>
        </w:rPr>
      </w:pPr>
    </w:p>
    <w:p>
      <w:pPr>
        <w:ind w:right="20" w:firstLine="656"/>
        <w:spacing w:after="0" w:line="259" w:lineRule="auto"/>
        <w:tabs>
          <w:tab w:leader="none" w:pos="13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contracts or other documents which are required to be described in the Registration Statement, the Time of Sale Information or the Prospectus or filed as exhibits to the Registration Statement by the Securities Act or the Exchange Act, which have not been described in the Registration Statement, the Time of Sale Information and the Prospectus or filed as exhibits to the Registration Statement or incorporated therein by reference as permitted by the Securities Act.</w:t>
      </w:r>
    </w:p>
    <w:p>
      <w:pPr>
        <w:spacing w:after="0" w:line="186" w:lineRule="exact"/>
        <w:rPr>
          <w:rFonts w:ascii="Arial" w:cs="Arial" w:eastAsia="Arial" w:hAnsi="Arial"/>
          <w:sz w:val="18"/>
          <w:szCs w:val="18"/>
          <w:color w:val="auto"/>
        </w:rPr>
      </w:pPr>
    </w:p>
    <w:p>
      <w:pPr>
        <w:ind w:right="40" w:firstLine="656"/>
        <w:spacing w:after="0" w:line="286" w:lineRule="auto"/>
        <w:tabs>
          <w:tab w:leader="none" w:pos="12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relationship, direct or indirect, exists between or among any of the SLG Parties, their Subsidiaries or any Joint Venture Entity on the one hand, and the directors, officers, stockholders, customers or suppliers of the SLG Parties, their Subsidiaries or any Joint Venture Entity on the other hand, which would be required by the Securities Act to be described (other than as disclosed in the Registration Statement or the Prospectus).</w:t>
      </w:r>
    </w:p>
    <w:p>
      <w:pPr>
        <w:spacing w:after="0" w:line="165" w:lineRule="exact"/>
        <w:rPr>
          <w:rFonts w:ascii="Arial" w:cs="Arial" w:eastAsia="Arial" w:hAnsi="Arial"/>
          <w:sz w:val="17"/>
          <w:szCs w:val="17"/>
          <w:color w:val="auto"/>
        </w:rPr>
      </w:pPr>
    </w:p>
    <w:p>
      <w:pPr>
        <w:ind w:right="40" w:firstLine="656"/>
        <w:spacing w:after="0" w:line="255" w:lineRule="auto"/>
        <w:tabs>
          <w:tab w:leader="none" w:pos="1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SLG Party is in compliance in all material respects with all applicable provisions of the Employee Retirement Income Security Act of 1974, as amended, including the regulations and published interpretations thereunder (“</w:t>
      </w:r>
      <w:r>
        <w:rPr>
          <w:rFonts w:ascii="Arial" w:cs="Arial" w:eastAsia="Arial" w:hAnsi="Arial"/>
          <w:sz w:val="18"/>
          <w:szCs w:val="18"/>
          <w:u w:val="single" w:color="auto"/>
          <w:color w:val="auto"/>
        </w:rPr>
        <w:t>ERISA</w:t>
      </w:r>
      <w:r>
        <w:rPr>
          <w:rFonts w:ascii="Arial" w:cs="Arial" w:eastAsia="Arial" w:hAnsi="Arial"/>
          <w:sz w:val="18"/>
          <w:szCs w:val="18"/>
          <w:color w:val="auto"/>
        </w:rPr>
        <w:t>”); no “</w:t>
      </w:r>
      <w:r>
        <w:rPr>
          <w:rFonts w:ascii="Arial" w:cs="Arial" w:eastAsia="Arial" w:hAnsi="Arial"/>
          <w:sz w:val="18"/>
          <w:szCs w:val="18"/>
          <w:u w:val="single" w:color="auto"/>
          <w:color w:val="auto"/>
        </w:rPr>
        <w:t>reportable event</w:t>
      </w:r>
      <w:r>
        <w:rPr>
          <w:rFonts w:ascii="Arial" w:cs="Arial" w:eastAsia="Arial" w:hAnsi="Arial"/>
          <w:sz w:val="18"/>
          <w:szCs w:val="18"/>
          <w:color w:val="auto"/>
        </w:rPr>
        <w:t>” (as defined in ERISA) has occurred with respect to any “</w:t>
      </w:r>
      <w:r>
        <w:rPr>
          <w:rFonts w:ascii="Arial" w:cs="Arial" w:eastAsia="Arial" w:hAnsi="Arial"/>
          <w:sz w:val="18"/>
          <w:szCs w:val="18"/>
          <w:u w:val="single" w:color="auto"/>
          <w:color w:val="auto"/>
        </w:rPr>
        <w:t>pension plan</w:t>
      </w:r>
      <w:r>
        <w:rPr>
          <w:rFonts w:ascii="Arial" w:cs="Arial" w:eastAsia="Arial" w:hAnsi="Arial"/>
          <w:sz w:val="18"/>
          <w:szCs w:val="18"/>
          <w:color w:val="auto"/>
        </w:rPr>
        <w:t>” (as defined in ERISA) for which any SLG Party would have any liability; no SLG Party has incurred or expects to incur liability under (i) Title IV of ERISA with respect to termination of, or withdrawal from, any “pension plan” or (ii) Sections 412 or 4971 of the Code; each “pension plan” for which any SLG Party would have any liability that is intended to be qualified under Section 401(a) of the Code is so qualified in all material respects and nothing has occurred, whether by action or by failure to act, which would cause the loss of such qualification, except where the failure to be so qualified would not have a Material Adverse Effect.</w:t>
      </w:r>
    </w:p>
    <w:p>
      <w:pPr>
        <w:spacing w:after="0" w:line="189" w:lineRule="exact"/>
        <w:rPr>
          <w:rFonts w:ascii="Arial" w:cs="Arial" w:eastAsia="Arial" w:hAnsi="Arial"/>
          <w:sz w:val="18"/>
          <w:szCs w:val="18"/>
          <w:color w:val="auto"/>
        </w:rPr>
      </w:pPr>
    </w:p>
    <w:p>
      <w:pPr>
        <w:ind w:right="120" w:firstLine="656"/>
        <w:spacing w:after="0" w:line="277" w:lineRule="auto"/>
        <w:tabs>
          <w:tab w:leader="none" w:pos="1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labor disturbance by the employees of any SLG Parties, their Subsidiaries or any Joint Venture Entity exists or, to the knowledge of the Transaction Entities, is imminent in either case which might have a Material Adverse Effect.</w:t>
      </w:r>
    </w:p>
    <w:p>
      <w:pPr>
        <w:spacing w:after="0" w:line="170" w:lineRule="exact"/>
        <w:rPr>
          <w:rFonts w:ascii="Arial" w:cs="Arial" w:eastAsia="Arial" w:hAnsi="Arial"/>
          <w:sz w:val="18"/>
          <w:szCs w:val="18"/>
          <w:color w:val="auto"/>
        </w:rPr>
      </w:pPr>
    </w:p>
    <w:p>
      <w:pPr>
        <w:ind w:right="20" w:firstLine="656"/>
        <w:spacing w:after="0" w:line="276" w:lineRule="auto"/>
        <w:tabs>
          <w:tab w:leader="none" w:pos="1327"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the SLG Parties, their Subsidiaries and any Joint Venture Entity has filed all federal, state and local income and franchise tax returns required to be filed through the date hereof (after giving effect to any extension granted or otherwise permitted) and has paid all taxes due thereon or otherwise due and payable, except as would not reasonably be expected to have a Material Adverse Effect, and no tax deficiency has been determined adversely to any of the SLG Parties, their Subsidiaries or any Joint Venture Entity which has had a Material Adverse Effect (nor does any SLG Party have any knowledge of any tax deficiency which, if determined adversely to it might have a Material Adverse Effect).</w:t>
      </w:r>
    </w:p>
    <w:p>
      <w:pPr>
        <w:spacing w:after="0" w:line="172" w:lineRule="exact"/>
        <w:rPr>
          <w:rFonts w:ascii="Arial" w:cs="Arial" w:eastAsia="Arial" w:hAnsi="Arial"/>
          <w:sz w:val="17"/>
          <w:szCs w:val="17"/>
          <w:color w:val="auto"/>
        </w:rPr>
      </w:pPr>
    </w:p>
    <w:p>
      <w:pPr>
        <w:ind w:right="40" w:firstLine="656"/>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all times since August 14, 1997, the Company has been and upon the sale of the Securities will continue to be, organized and operated in conformity with the requirements for qualification and taxation of the Company as a real estate investment trust (“</w:t>
      </w:r>
      <w:r>
        <w:rPr>
          <w:rFonts w:ascii="Arial" w:cs="Arial" w:eastAsia="Arial" w:hAnsi="Arial"/>
          <w:sz w:val="18"/>
          <w:szCs w:val="18"/>
          <w:u w:val="single" w:color="auto"/>
          <w:color w:val="auto"/>
        </w:rPr>
        <w:t>REIT</w:t>
      </w:r>
      <w:r>
        <w:rPr>
          <w:rFonts w:ascii="Arial" w:cs="Arial" w:eastAsia="Arial" w:hAnsi="Arial"/>
          <w:sz w:val="18"/>
          <w:szCs w:val="18"/>
          <w:color w:val="auto"/>
        </w:rPr>
        <w:t>”) under the Code and the proposed method of operation of the Company as described in the Registration Statement, the Time of Sale Information and the Prospectus will enable the Company to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meet the requirements for qualification and taxation as a REIT under the Code, and no actions have been taken or will be taken (or not taken which are required to be taken) which would cause such qualification or method of taxation to be lost. At all times since their respective formations, each of SLG OP, Wyoming and Reckson OP has been classified for taxation under the Code as either (1) a partnership and not as (a) an association taxable as a corporation or</w:t>
      </w:r>
    </w:p>
    <w:p>
      <w:pPr>
        <w:jc w:val="both"/>
        <w:ind w:right="320" w:firstLine="8"/>
        <w:spacing w:after="0" w:line="302"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“publicly traded partnership” taxable as a corporation under Section 7704(a) of the Code or (2) in the case of Wyoming, and Reckson OP, only, as an entity disregarded as an entity separate from SLG OP for U.S. federal income tax purposes under Treasury Regulation Section 301.7701-3, and no actions have been taken or will be taken (or not taken which are required to be taken) which would cause such qualification or classification to be lost.</w:t>
      </w:r>
    </w:p>
    <w:p>
      <w:pPr>
        <w:spacing w:after="0" w:line="155" w:lineRule="exact"/>
        <w:rPr>
          <w:rFonts w:ascii="Arial" w:cs="Arial" w:eastAsia="Arial" w:hAnsi="Arial"/>
          <w:sz w:val="16"/>
          <w:szCs w:val="16"/>
          <w:color w:val="auto"/>
        </w:rPr>
      </w:pPr>
    </w:p>
    <w:p>
      <w:pPr>
        <w:ind w:right="60" w:firstLine="656"/>
        <w:spacing w:after="0" w:line="312" w:lineRule="auto"/>
        <w:tabs>
          <w:tab w:leader="none" w:pos="129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and the Prospectus, neither SLG OP nor Reckson OP is currently prohibited, directly or indirectly, from paying any distributions to the Company to the extent permitted by applicable law, from making any other distribution on SLG OP’s or Reckson OP’s partnership interest, as applicable, or from repaying the Company for any loans or advances made by the Company to SLG OP or Reckson OP.</w:t>
      </w:r>
    </w:p>
    <w:p>
      <w:pPr>
        <w:spacing w:after="0" w:line="146" w:lineRule="exact"/>
        <w:rPr>
          <w:rFonts w:ascii="Arial" w:cs="Arial" w:eastAsia="Arial" w:hAnsi="Arial"/>
          <w:sz w:val="16"/>
          <w:szCs w:val="16"/>
          <w:color w:val="auto"/>
        </w:rPr>
      </w:pPr>
    </w:p>
    <w:p>
      <w:pPr>
        <w:ind w:right="40" w:firstLine="656"/>
        <w:spacing w:after="0" w:line="255" w:lineRule="auto"/>
        <w:tabs>
          <w:tab w:leader="none" w:pos="13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Since the date as of which information is given in the Registration Statement or the Time of Sale Information through the date hereof, and except as may otherwise be disclosed in, or contemplated by, the Registration Statement, the Time of Sale Information and the Prospectus, no Transaction Entity has (a) issued or granted any securities, other than with respect to grants of securities pursuant to Equity Plans (as hereinafter defined), (b) incurred any liability or obligation, direct or contingent, other than liabilities and obligations which were incurred in the ordinary course of business, (c) entered into any transaction not in the ordinary course of business or (d) except for regular quarterly dividends on the Company’s common stock, par value $0.01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and preferred stock, and regular distributions on the Units, declared or paid any dividend or distribution on its capital stock, Units or other form of ownership interests.</w:t>
      </w:r>
    </w:p>
    <w:p>
      <w:pPr>
        <w:spacing w:after="0" w:line="189" w:lineRule="exact"/>
        <w:rPr>
          <w:rFonts w:ascii="Arial" w:cs="Arial" w:eastAsia="Arial" w:hAnsi="Arial"/>
          <w:sz w:val="18"/>
          <w:szCs w:val="18"/>
          <w:color w:val="auto"/>
        </w:rPr>
      </w:pPr>
    </w:p>
    <w:p>
      <w:pPr>
        <w:ind w:firstLine="656"/>
        <w:spacing w:after="0" w:line="291"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Time of Sale Information and the Prospectus, with respect to stock options or other equity incentive grants (collectively, “</w:t>
      </w:r>
      <w:r>
        <w:rPr>
          <w:rFonts w:ascii="Arial" w:cs="Arial" w:eastAsia="Arial" w:hAnsi="Arial"/>
          <w:sz w:val="16"/>
          <w:szCs w:val="16"/>
          <w:u w:val="single" w:color="auto"/>
          <w:color w:val="auto"/>
        </w:rPr>
        <w:t>Awards</w:t>
      </w:r>
      <w:r>
        <w:rPr>
          <w:rFonts w:ascii="Arial" w:cs="Arial" w:eastAsia="Arial" w:hAnsi="Arial"/>
          <w:sz w:val="16"/>
          <w:szCs w:val="16"/>
          <w:color w:val="auto"/>
        </w:rPr>
        <w:t>”) granted subsequent to the adoption of the Sarbanes-Oxley Act on July 31, 2002 pursuant to the employee benefit plans, qualified stock option plans, dividend reinvestment plans or other employee compensation plans of any of the SLG Parties or their Subsidiaries (the “</w:t>
      </w:r>
      <w:r>
        <w:rPr>
          <w:rFonts w:ascii="Arial" w:cs="Arial" w:eastAsia="Arial" w:hAnsi="Arial"/>
          <w:sz w:val="16"/>
          <w:szCs w:val="16"/>
          <w:u w:val="single" w:color="auto"/>
          <w:color w:val="auto"/>
        </w:rPr>
        <w:t>Equity Plans</w:t>
      </w:r>
      <w:r>
        <w:rPr>
          <w:rFonts w:ascii="Arial" w:cs="Arial" w:eastAsia="Arial" w:hAnsi="Arial"/>
          <w:sz w:val="16"/>
          <w:szCs w:val="16"/>
          <w:color w:val="auto"/>
        </w:rPr>
        <w:t>”), (i) no stock options have been granted with an exercise price based upon a price of the Common Shares of the Company on a date occurring prior to either (A) the business day immediately preceding the date of approval of such grant or (B) the date of approval of such grant, (ii) each such grant was made in accordance with the material terms of the Equity Plans, the Exchange Act and all other applicable laws and regulatory rules or requirements, and (iii) each such grant has been properly accounted for in accordance with generally accepted accounting principles in the financial</w:t>
      </w:r>
    </w:p>
    <w:p>
      <w:pPr>
        <w:sectPr>
          <w:pgSz w:w="11900" w:h="16838" w:orient="portrait"/>
          <w:cols w:equalWidth="0" w:num="1">
            <w:col w:w="11420"/>
          </w:cols>
          <w:pgMar w:left="240" w:top="125" w:right="239" w:bottom="0" w:gutter="0" w:footer="0" w:header="0"/>
        </w:sectPr>
      </w:pPr>
    </w:p>
    <w:bookmarkStart w:id="10" w:name="page11"/>
    <w:bookmarkEnd w:id="10"/>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statements (including the related notes) of the SLG Parties and disclosed in each of SLG Parties’ filings with the Commission to the extent required to be disclosed.</w:t>
      </w:r>
    </w:p>
    <w:p>
      <w:pPr>
        <w:spacing w:after="0" w:line="170" w:lineRule="exact"/>
        <w:rPr>
          <w:sz w:val="20"/>
          <w:szCs w:val="20"/>
          <w:color w:val="auto"/>
        </w:rPr>
      </w:pPr>
    </w:p>
    <w:p>
      <w:pPr>
        <w:ind w:right="80" w:firstLine="656"/>
        <w:spacing w:after="0" w:line="264" w:lineRule="auto"/>
        <w:tabs>
          <w:tab w:leader="none" w:pos="1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SLG Party (i) makes and keeps accurate books and records and (ii) maintains internal accounting controls which provide reasonable assurance that (A) transactions are executed in accordance with management’s authorization, (B) transactions are recorded as necessary to permit preparation of its financial statements and to maintain accountability for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assets, (C) access to its assets is permitted only in accordance with management’s authorization, (D) the reported accountability for its assets is compared with existing assets at reasonable intervals and (E) 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w:t>
      </w:r>
    </w:p>
    <w:p>
      <w:pPr>
        <w:spacing w:after="0" w:line="187" w:lineRule="exact"/>
        <w:rPr>
          <w:sz w:val="20"/>
          <w:szCs w:val="20"/>
          <w:color w:val="auto"/>
        </w:rPr>
      </w:pPr>
    </w:p>
    <w:p>
      <w:pPr>
        <w:ind w:right="20" w:firstLine="656"/>
        <w:spacing w:after="0" w:line="271" w:lineRule="auto"/>
        <w:tabs>
          <w:tab w:leader="none" w:pos="1299"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None of the SLG Parties, their Subsidiaries or any Joint Venture Entity (i) is in violation of its charter, by-laws, certificate of limited partnership, agreement of limited partnership or other similar organizational document, except, with respect to any Joint Venture Entity, for any such violation which would not have a Material Adverse Effect, (ii) is in default, and no event has occurred which, with notice or lapse of time or both, would constitute a default (or give rise to any right of termination, redemption, repurchase, cancellation or acceleration), in the due performance or observance of any term, covenant or condition contained in any material indenture, mortgage, deed of trust, loan agreement or other agreement or instrument to which it is a party or by which it is bound or to which any of the Properties or any of its other properties or assets is subject, except for any such default which would not have a Material Adverse Effect, or (iii) is in violation of any law, ordinance, governmental rule, regulation or court decree to which it or the Properties or any of its other properties or assets may be subject except for any such violation which would not have a Material Adverse Effect.</w:t>
      </w:r>
    </w:p>
    <w:p>
      <w:pPr>
        <w:spacing w:after="0" w:line="178" w:lineRule="exact"/>
        <w:rPr>
          <w:rFonts w:ascii="Arial" w:cs="Arial" w:eastAsia="Arial" w:hAnsi="Arial"/>
          <w:sz w:val="17"/>
          <w:szCs w:val="17"/>
          <w:color w:val="auto"/>
        </w:rPr>
      </w:pPr>
    </w:p>
    <w:p>
      <w:pPr>
        <w:ind w:right="80" w:firstLine="656"/>
        <w:spacing w:after="0" w:line="284" w:lineRule="auto"/>
        <w:tabs>
          <w:tab w:leader="none" w:pos="1299"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None of the SLG Parties, their subsidiaries or any Joint Venture Entity, nor any director, officer, agent, employee or other person associated with or acting on behalf of such entity, has (A) used any corporate funds for any unlawful contribution, gift, entertainment or other unlawful expense relating to political activity, (B)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(C) made any direct or indirect unlawful payment to any foreign or domestic government official or employee from corporate funds,</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violated or is in violation of any provision of the Foreign Corrupt Practices Act of 1977, or any applicable law or regulation implementing the OECD</w:t>
      </w:r>
    </w:p>
    <w:p>
      <w:pPr>
        <w:spacing w:after="0" w:line="20" w:lineRule="exact"/>
        <w:rPr>
          <w:rFonts w:ascii="Arial" w:cs="Arial" w:eastAsia="Arial" w:hAnsi="Arial"/>
          <w:sz w:val="17"/>
          <w:szCs w:val="17"/>
          <w:color w:val="auto"/>
        </w:rPr>
      </w:pPr>
    </w:p>
    <w:p>
      <w:pPr>
        <w:jc w:val="both"/>
        <w:ind w:right="60"/>
        <w:spacing w:after="0" w:line="255" w:lineRule="auto"/>
        <w:rPr>
          <w:rFonts w:ascii="Arial" w:cs="Arial" w:eastAsia="Arial" w:hAnsi="Arial"/>
          <w:sz w:val="17"/>
          <w:szCs w:val="17"/>
          <w:color w:val="auto"/>
        </w:rPr>
      </w:pPr>
      <w:r>
        <w:rPr>
          <w:rFonts w:ascii="Arial" w:cs="Arial" w:eastAsia="Arial" w:hAnsi="Arial"/>
          <w:sz w:val="18"/>
          <w:szCs w:val="18"/>
          <w:color w:val="auto"/>
        </w:rPr>
        <w:t>Convention on Combating Bribery of Foreign Public Officials in International Business Transactions, or committed an offence under the Bribery Act 2010 of the United Kingdom, or any other applicable anti-bribery or anti-corruption laws; or (E) made any bribe, rebate, payoff, influence payment, kickback or other unlawful payment.</w:t>
      </w:r>
    </w:p>
    <w:p>
      <w:pPr>
        <w:spacing w:after="0" w:line="190" w:lineRule="exact"/>
        <w:rPr>
          <w:rFonts w:ascii="Arial" w:cs="Arial" w:eastAsia="Arial" w:hAnsi="Arial"/>
          <w:sz w:val="17"/>
          <w:szCs w:val="17"/>
          <w:color w:val="auto"/>
        </w:rPr>
      </w:pPr>
    </w:p>
    <w:p>
      <w:pPr>
        <w:ind w:firstLine="656"/>
        <w:spacing w:after="0" w:line="255" w:lineRule="auto"/>
        <w:tabs>
          <w:tab w:leader="none" w:pos="129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operations of the SLG Parties and their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SLG Parties or any of their subsidiaries conducts business, the rules and regulations thereunder and any related or similar rules, regulations or guidelines issued, administered or enforced by any government or regulatory agency (collectively, the “Anti-Money Laundering Laws”) and no action, suit or proceeding by or before any court or governmental or regulatory agency, authority or body or any arbitrator involving the SLG Parties or any of its subsidiaries with respect to any Anti-Money Laundering Laws is pending or, to the knowledge of the SLG Party, threatened.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91" w:lineRule="auto"/>
        <w:tabs>
          <w:tab w:leader="none" w:pos="1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None of the SLG Parties, their subsidiaries or any Joint Venture Entity, nor any director, officer, agent, and to the knowledge of the SLG Parties, no employee or other person associated with or acting on behalf of such entity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SLG Parties will not directly or indirectly use the proceeds of this offering, or lend, contribute or otherwise make available such proceeds to any subsidiary, joint venture partner or other person or entity for the purpose of financing the activities of any person that, at the time of such funding, is subject to any Sanctions.</w:t>
      </w:r>
    </w:p>
    <w:p>
      <w:pPr>
        <w:spacing w:after="0" w:line="167" w:lineRule="exact"/>
        <w:rPr>
          <w:rFonts w:ascii="Arial" w:cs="Arial" w:eastAsia="Arial" w:hAnsi="Arial"/>
          <w:sz w:val="16"/>
          <w:szCs w:val="16"/>
          <w:color w:val="auto"/>
        </w:rPr>
      </w:pPr>
    </w:p>
    <w:p>
      <w:pPr>
        <w:ind w:firstLine="656"/>
        <w:spacing w:after="0" w:line="257" w:lineRule="auto"/>
        <w:tabs>
          <w:tab w:leader="none" w:pos="13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the SLG Parties, their Subsidiaries or any Joint Venture Entity, nor any director, officer, agent, and to the knowledge of the SLG Parties, no employee or other person associated with or acting on behalf of such entity, has (A) used any corporate funds for any unlawful contribution, gift, entertainment or other unlawful expense relating to political activity, (B) made any direct or indirect unlawful payment to any foreign or domestic government official or employee from corporate funds, (C) violated or is in violation of any provision of the Foreign Corrupt Practices Act of 1977, or (D) made any bribe, rebate, payoff, influence payment, kickback or other unlawful payment.</w:t>
      </w:r>
    </w:p>
    <w:p>
      <w:pPr>
        <w:spacing w:after="0" w:line="188" w:lineRule="exact"/>
        <w:rPr>
          <w:rFonts w:ascii="Arial" w:cs="Arial" w:eastAsia="Arial" w:hAnsi="Arial"/>
          <w:sz w:val="18"/>
          <w:szCs w:val="18"/>
          <w:color w:val="auto"/>
        </w:rPr>
      </w:pPr>
    </w:p>
    <w:p>
      <w:pPr>
        <w:ind w:right="100" w:firstLine="656"/>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None of the SLG Parties is, and after giving effect to the offering and sale of the Securities and the application of the proceeds thereof as described in the Registration Statement, the Time of Sale Information and the Prospectus none will be, an “investment company” within the meaning of such term under the Investment Company Act of 1940, as amended, and the rules and regulations of the Commission thereunder.</w:t>
      </w:r>
    </w:p>
    <w:p>
      <w:pPr>
        <w:spacing w:after="0" w:line="165" w:lineRule="exact"/>
        <w:rPr>
          <w:rFonts w:ascii="Arial" w:cs="Arial" w:eastAsia="Arial" w:hAnsi="Arial"/>
          <w:sz w:val="17"/>
          <w:szCs w:val="17"/>
          <w:color w:val="auto"/>
        </w:rPr>
      </w:pPr>
    </w:p>
    <w:p>
      <w:pPr>
        <w:ind w:firstLine="656"/>
        <w:spacing w:after="0" w:line="259" w:lineRule="auto"/>
        <w:tabs>
          <w:tab w:leader="none" w:pos="12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than this Agreement and as set forth in the Registration Statement, the Time of Sale Information and the Prospectus under the heading “Underwriting,” there are no contracts, agreements or understandings between any SLG Party nor any of their subsidiaries and any person that would give rise to a valid claim against any SLG Party or the Underwriters for a brokerage commission, finder’s fee or other like payment with respect to the consummation of the transactions contemplated by this Agreement.</w:t>
      </w:r>
    </w:p>
    <w:p>
      <w:pPr>
        <w:spacing w:after="0" w:line="186" w:lineRule="exact"/>
        <w:rPr>
          <w:rFonts w:ascii="Arial" w:cs="Arial" w:eastAsia="Arial" w:hAnsi="Arial"/>
          <w:sz w:val="18"/>
          <w:szCs w:val="18"/>
          <w:color w:val="auto"/>
        </w:rPr>
      </w:pPr>
    </w:p>
    <w:p>
      <w:pPr>
        <w:ind w:right="160" w:firstLine="656"/>
        <w:spacing w:after="0" w:line="277" w:lineRule="auto"/>
        <w:tabs>
          <w:tab w:leader="none" w:pos="12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SLG Parties intend to apply the net proceeds from the sale of the Securities in accordance with the description set forth in the Time of Sale Information and the Prospectus under the caption “Use of Proceeds.”</w:t>
      </w:r>
    </w:p>
    <w:p>
      <w:pPr>
        <w:spacing w:after="0" w:line="170" w:lineRule="exact"/>
        <w:rPr>
          <w:rFonts w:ascii="Arial" w:cs="Arial" w:eastAsia="Arial" w:hAnsi="Arial"/>
          <w:sz w:val="18"/>
          <w:szCs w:val="18"/>
          <w:color w:val="auto"/>
        </w:rPr>
      </w:pPr>
    </w:p>
    <w:p>
      <w:pPr>
        <w:ind w:right="100" w:firstLine="656"/>
        <w:spacing w:after="0" w:line="342" w:lineRule="auto"/>
        <w:tabs>
          <w:tab w:leader="none" w:pos="13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the SLG Parties, their Subsidiaries and the Joint Venture Entities possess such permits, certificates, franchises, licenses, approvals, consents and other 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federal, state, local or foreign regulatory agencies or</w:t>
      </w:r>
    </w:p>
    <w:p>
      <w:pPr>
        <w:sectPr>
          <w:pgSz w:w="11900" w:h="16975" w:orient="portrait"/>
          <w:cols w:equalWidth="0" w:num="1">
            <w:col w:w="11420"/>
          </w:cols>
          <w:pgMar w:left="240" w:top="125" w:right="239" w:bottom="0" w:gutter="0" w:footer="0" w:header="0"/>
        </w:sectPr>
      </w:pPr>
    </w:p>
    <w:bookmarkStart w:id="11" w:name="page12"/>
    <w:bookmarkEnd w:id="11"/>
    <w:p>
      <w:pPr>
        <w:spacing w:after="0" w:line="10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bodies necessary to the ownership of the Properties or any of its other properties or assets or to conduct the business now operated by them except where failure to possess any such Governmental Licenses would not result in a Material Adverse Effect; the SLG Parties, their Subsidiaries and the Joint Venture Entities are in compliance with the terms and conditions of all such Governmental Licenses, except where the failure to comply would not, singly or in the aggregate, result in a Material Adverse Effect; all of the Governmental Licenses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are valid and in full force and effect, except when the invalidity of such Governmental Licenses or the failure of such Governmental Licenses to be in full force and effect would not result in a Material Adverse Effect; and none of the SLG Parties, their Subsidiaries or the Joint Venture Entities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87" w:lineRule="exact"/>
        <w:rPr>
          <w:sz w:val="20"/>
          <w:szCs w:val="20"/>
          <w:color w:val="auto"/>
        </w:rPr>
      </w:pPr>
    </w:p>
    <w:p>
      <w:pPr>
        <w:ind w:right="100" w:firstLine="656"/>
        <w:spacing w:after="0" w:line="259" w:lineRule="auto"/>
        <w:tabs>
          <w:tab w:leader="none" w:pos="12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 of the SLG Parties, nor any of their respective trustees, directors, officers, members or controlling persons, has taken or will take, directly or indirectly, any action resulting in a violation of Regulation M under the Exchange Act, or designed to cause or result in, or that has constituted or that reasonably might be expected to constitute, the stabilization or manipulation of the price of any security of the Company to facilitate the sale or resale of the Securities.</w:t>
      </w:r>
    </w:p>
    <w:p>
      <w:pPr>
        <w:spacing w:after="0" w:line="186" w:lineRule="exact"/>
        <w:rPr>
          <w:rFonts w:ascii="Arial" w:cs="Arial" w:eastAsia="Arial" w:hAnsi="Arial"/>
          <w:sz w:val="18"/>
          <w:szCs w:val="18"/>
          <w:color w:val="auto"/>
        </w:rPr>
      </w:pPr>
    </w:p>
    <w:p>
      <w:pPr>
        <w:ind w:firstLine="656"/>
        <w:spacing w:after="0" w:line="272" w:lineRule="auto"/>
        <w:tabs>
          <w:tab w:leader="none" w:pos="1299"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of the SLG Parties has established and maintains disclosure controls and procedures (as such term is defined in Rule 13a-15 under the Exchange Act), which (i) are designed to ensure that (A) the material information relating to such SLG Party, as applicable, including its consolidated subsidiaries, is made known to each of such SLG Party’s, as applicable, principal executive officer and principal financial officer by others within those entities, particularly during the preparation of the Registration Statement, the Time of Sale Information and the Prospectus and (B) the information required to be disclosed by such SLG Party, as applicable, in the reports that it files or submits under the Exchange Act is recorded, processed, summarized and reported, within the time periods specified in the Commission’s rules and forms; (ii) have been evaluated for effectiveness as of the date hereof; and (iii) are effective in all material respects to perform the functions for which they were established.</w:t>
      </w:r>
    </w:p>
    <w:p>
      <w:pPr>
        <w:spacing w:after="0" w:line="177" w:lineRule="exact"/>
        <w:rPr>
          <w:rFonts w:ascii="Arial" w:cs="Arial" w:eastAsia="Arial" w:hAnsi="Arial"/>
          <w:sz w:val="17"/>
          <w:szCs w:val="17"/>
          <w:color w:val="auto"/>
        </w:rPr>
      </w:pPr>
    </w:p>
    <w:p>
      <w:pPr>
        <w:ind w:firstLine="656"/>
        <w:spacing w:after="0" w:line="293" w:lineRule="auto"/>
        <w:tabs>
          <w:tab w:leader="none" w:pos="13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its evaluation of its internal control over financial reporting, the Company is not aware of (i) any significant deficiency or material weakness in the design or operation of internal control over financial reporting which is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Subject to the foregoing, there have been no significant changes in internal control over financial reporting or in other factors that could significantly affect the Company’s internal control over financial reporting, including any corrective actions with regard to significant deficiencies and material weaknesses since the end of the Company’s most recent audited fiscal year.</w:t>
      </w:r>
    </w:p>
    <w:p>
      <w:pPr>
        <w:spacing w:after="0" w:line="165" w:lineRule="exact"/>
        <w:rPr>
          <w:sz w:val="20"/>
          <w:szCs w:val="20"/>
          <w:color w:val="auto"/>
        </w:rPr>
      </w:pPr>
    </w:p>
    <w:p>
      <w:pPr>
        <w:ind w:right="100" w:firstLine="656"/>
        <w:spacing w:after="0" w:line="293" w:lineRule="auto"/>
        <w:tabs>
          <w:tab w:leader="none" w:pos="12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its evaluation of its internal control over financial reporting, Reckson OP is not aware of (i) any significant deficiency or material weakness in the design or operation of internal control over financial reporting which is reasonably likely to adversely affect Reckson OP’s ability to record, process, summarize and report financial information; or (ii) any fraud, whether or not material, that involves management or other employees who have a significant role in Reckson OP’s internal control over financial reporting. Subject to the foregoing, there have been no significant changes in internal control over financial reporting or in other factors that could significantly affect internal control over Reckson OP’s financial reporting, including any corrective actions with regard to significant deficiencies and material weaknesses since the end of Reckson OP’s most recent audited fiscal year.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3"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its evaluation of its internal control over financial reporting, SLG OP is not aware of (i) any significant deficiency or material weakness in the design or operation of internal control over financial reporting which is reasonably likely to adversely affect SLG OP’s ability to record, process, summarize and report financial information; or (ii) any fraud, whether or not material, that involves management or other employees who have a significant role in SLG OP’s internal control over financial reporting. Subject to the foregoing, there have been no significant changes in internal control over financial reporting or in other factors that could significantly affect internal control over SLG OP’s financial reporting, including any corrective actions with regard to significant deficiencies and material weaknesses since the end of SLG OP’s most recent audited fiscal year.</w:t>
      </w:r>
    </w:p>
    <w:p>
      <w:pPr>
        <w:spacing w:after="0" w:line="178" w:lineRule="exact"/>
        <w:rPr>
          <w:rFonts w:ascii="Arial" w:cs="Arial" w:eastAsia="Arial" w:hAnsi="Arial"/>
          <w:sz w:val="17"/>
          <w:szCs w:val="17"/>
          <w:color w:val="auto"/>
        </w:rPr>
      </w:pPr>
    </w:p>
    <w:p>
      <w:pPr>
        <w:jc w:val="both"/>
        <w:ind w:right="120" w:firstLine="656"/>
        <w:spacing w:after="0" w:line="264" w:lineRule="auto"/>
        <w:tabs>
          <w:tab w:leader="none" w:pos="1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SLG Parties or any of the SLG Parties’ trustees or officers, in their capacities as such, to comply in all material respects with the provisions of the Sarbanes-Oxley Act of 2002 and the rules and regulations promulgated in connection therewith, to the extent such rules and regulations are applicable.</w:t>
      </w:r>
    </w:p>
    <w:p>
      <w:pPr>
        <w:spacing w:after="0" w:line="181" w:lineRule="exact"/>
        <w:rPr>
          <w:rFonts w:ascii="Arial" w:cs="Arial" w:eastAsia="Arial" w:hAnsi="Arial"/>
          <w:sz w:val="18"/>
          <w:szCs w:val="18"/>
          <w:color w:val="auto"/>
        </w:rPr>
      </w:pPr>
    </w:p>
    <w:p>
      <w:pPr>
        <w:ind w:firstLine="656"/>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time of filing of the Registration Statement and any amendment thereto, at the earliest time thereafter that the SLG Parties or any offering participant made a bona fide offer (within the meaning of Rule 164(h)(2) under the Securities Act) of the Securities and at the date hereof, each of the SLG Parties was not and is not an “ineligible issuer” and the Company was and is a “well-known seasoned issuer,” in each case as defined in Rule 405 under the Securities Act.</w:t>
      </w:r>
    </w:p>
    <w:p>
      <w:pPr>
        <w:spacing w:after="0" w:line="187" w:lineRule="exact"/>
        <w:rPr>
          <w:sz w:val="20"/>
          <w:szCs w:val="20"/>
          <w:color w:val="auto"/>
        </w:rPr>
      </w:pPr>
    </w:p>
    <w:p>
      <w:pPr>
        <w:ind w:firstLine="656"/>
        <w:spacing w:after="0" w:line="257"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Purchase and Sale of the Securities</w:t>
      </w:r>
      <w:r>
        <w:rPr>
          <w:rFonts w:ascii="Arial" w:cs="Arial" w:eastAsia="Arial" w:hAnsi="Arial"/>
          <w:sz w:val="18"/>
          <w:szCs w:val="18"/>
          <w:color w:val="auto"/>
        </w:rPr>
        <w:t>. On the basis of the representations and warranties contained in, and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the SLG Parties agree to sell to the several Underwriters the Securities. Each Underwriter, on the basis of the representations and warranties contained in, and subject to the terms and conditions of, this Agreement, severally and not jointly, agrees to purchase from the SLG Parties the aggregate principal amount of the Securities set forth opposite their names in Schedule I hereto, at a purchase price equal to 99.293% of the principal amount thereof.</w:t>
      </w:r>
    </w:p>
    <w:p>
      <w:pPr>
        <w:spacing w:after="0" w:line="188" w:lineRule="exact"/>
        <w:rPr>
          <w:sz w:val="20"/>
          <w:szCs w:val="20"/>
          <w:color w:val="auto"/>
        </w:rPr>
      </w:pPr>
    </w:p>
    <w:p>
      <w:pPr>
        <w:jc w:val="both"/>
        <w:ind w:firstLine="656"/>
        <w:spacing w:after="0" w:line="259" w:lineRule="auto"/>
        <w:tabs>
          <w:tab w:leader="none" w:pos="1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SLG Parties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SLG Parties acknowledge and agree that the Underwriters may offer and sell the Securities to or through any affiliate of an Underwriter and that any such affiliate may offer and sell the Securities purchased by it to or through any Underwriter.</w:t>
      </w:r>
    </w:p>
    <w:p>
      <w:pPr>
        <w:spacing w:after="0" w:line="186" w:lineRule="exact"/>
        <w:rPr>
          <w:rFonts w:ascii="Arial" w:cs="Arial" w:eastAsia="Arial" w:hAnsi="Arial"/>
          <w:sz w:val="18"/>
          <w:szCs w:val="18"/>
          <w:color w:val="auto"/>
        </w:rPr>
      </w:pPr>
    </w:p>
    <w:p>
      <w:pPr>
        <w:ind w:right="120" w:firstLine="656"/>
        <w:spacing w:after="0" w:line="302"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Delivery of and payment for the Securities shall be made at the office of Skadden, Arps, Slate, Meagher &amp; Flom LLP, Four Times Square, New York, New York 10036, at 9:00 A.M., local time, on October 5, 2017, or at such other date or place as shall be determined by agreement between the Representatives and the SLG Parties. This date and time are sometimes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On the Closing Date, SLG OP shall deliver or cause to be delivered certificates representing the Notes to the Representatives against payment of the purchase price by wire transfer of same-day funds.</w:t>
      </w:r>
    </w:p>
    <w:p>
      <w:pPr>
        <w:sectPr>
          <w:pgSz w:w="11900" w:h="16945" w:orient="portrait"/>
          <w:cols w:equalWidth="0" w:num="1">
            <w:col w:w="11400"/>
          </w:cols>
          <w:pgMar w:left="240" w:top="125" w:right="259" w:bottom="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The certificates for the Notes shall be in such denominations and registered in the name of Cede &amp; Co., as nominee of the Depositary, pursuant to the DTC Agreement, and shall be made available for inspection not 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than one full business day prior to the Closing Date at a location in New York, New York as the Representatives may designate. Time shall be of the essence, and delivery at the time and place specified pursuant to this Agreement is a further condition of the obligation of the Underwriters hereunder.</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It is understood that each Underwriter has authorized the Representatives, for its account, to accept delivery of, receipt for, and make payment of the purchase price for, the Securities it has agreed to purchase. Wells Fargo Securities, LLC and J.P. Morgan Securities LLC, individually and not as representatives of the Underwriters, may (but shall not be obligated to) make payment of the purchase price for the Securities, to be purchased by any Underwriter whose funds have not been received by the Closing Date, but such payment shall not relieve such Underwriter from its obligations hereunder.</w:t>
      </w:r>
    </w:p>
    <w:p>
      <w:pPr>
        <w:spacing w:after="0" w:line="154"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Further Agreements of the SLG Parties</w:t>
      </w:r>
      <w:r>
        <w:rPr>
          <w:rFonts w:ascii="Arial" w:cs="Arial" w:eastAsia="Arial" w:hAnsi="Arial"/>
          <w:sz w:val="18"/>
          <w:szCs w:val="18"/>
          <w:color w:val="auto"/>
        </w:rPr>
        <w:t>. Each of the SLG Parties hereby agrees, jointly and severally, that:</w:t>
      </w:r>
    </w:p>
    <w:p>
      <w:pPr>
        <w:spacing w:after="0" w:line="225" w:lineRule="exact"/>
        <w:rPr>
          <w:sz w:val="20"/>
          <w:szCs w:val="20"/>
          <w:color w:val="auto"/>
        </w:rPr>
      </w:pPr>
    </w:p>
    <w:p>
      <w:pPr>
        <w:ind w:right="60" w:firstLine="656"/>
        <w:spacing w:after="0" w:line="291" w:lineRule="auto"/>
        <w:tabs>
          <w:tab w:leader="none" w:pos="1294" w:val="left"/>
        </w:tabs>
        <w:numPr>
          <w:ilvl w:val="0"/>
          <w:numId w:val="30"/>
        </w:numPr>
        <w:rPr>
          <w:rFonts w:ascii="Arial" w:cs="Arial" w:eastAsia="Arial" w:hAnsi="Arial"/>
          <w:sz w:val="16"/>
          <w:szCs w:val="16"/>
          <w:color w:val="auto"/>
        </w:rPr>
      </w:pPr>
      <w:r>
        <w:rPr>
          <w:rFonts w:ascii="Arial" w:cs="Arial" w:eastAsia="Arial" w:hAnsi="Arial"/>
          <w:sz w:val="16"/>
          <w:szCs w:val="16"/>
          <w:color w:val="auto"/>
        </w:rPr>
        <w:t>SLG OP will file the final Prospectus with the Commission within the time periods specified by Rule 424(b) and Rule 430A, 430B or 430C under the Securities Act, will file any Issuer Free Writing Prospectus (including the Term Sheet in the form of Schedule II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Supplement and for so long as the delivery of a prospectus is required in connection with the offering or sale of the Securities; and the Company will furnish copies of the Prospectus and each Issuer Free Writing Prospectus (to the extent not previously delivered) to the Representatives in New York City prior to 10:00 A.M., New York City time, on the business day next succeeding the date of this Agreement in such quantities as the Representatives may reasonably request.</w:t>
      </w:r>
    </w:p>
    <w:p>
      <w:pPr>
        <w:spacing w:after="0" w:line="167" w:lineRule="exact"/>
        <w:rPr>
          <w:rFonts w:ascii="Arial" w:cs="Arial" w:eastAsia="Arial" w:hAnsi="Arial"/>
          <w:sz w:val="16"/>
          <w:szCs w:val="16"/>
          <w:color w:val="auto"/>
        </w:rPr>
      </w:pPr>
    </w:p>
    <w:p>
      <w:pPr>
        <w:ind w:right="640" w:firstLine="656"/>
        <w:spacing w:after="0" w:line="27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SLG OP will pay the registration fees for this offering within the time period required by Rule 456(b)(1)(i) under the Securities Act (without giving effect to the proviso therein) and in any event prior to the Closing Date.</w:t>
      </w:r>
    </w:p>
    <w:p>
      <w:pPr>
        <w:spacing w:after="0" w:line="170" w:lineRule="exact"/>
        <w:rPr>
          <w:rFonts w:ascii="Arial" w:cs="Arial" w:eastAsia="Arial" w:hAnsi="Arial"/>
          <w:sz w:val="18"/>
          <w:szCs w:val="18"/>
          <w:color w:val="auto"/>
        </w:rPr>
      </w:pPr>
    </w:p>
    <w:p>
      <w:pPr>
        <w:ind w:right="20" w:firstLine="656"/>
        <w:spacing w:after="0" w:line="293" w:lineRule="auto"/>
        <w:tabs>
          <w:tab w:leader="none" w:pos="1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or distributing any Issuer Free Writing Prospectus, the SLG Parties will furnish to the Underwriters and counsel to the Underwriters a copy of the proposed Issuer Free Writing Prospectus for review and will not make, prepare, use, authorize, approve or distribute any such Issuer Free Writing Prospectus to which the Underwriters reasonably object. Without the prior written consent of the Underwriters, none of the SLG Parties have given, and none of the SLG Parties will give, to any prospective purchaser of the Securities any written information concerning the offering of the Securities other than materials contained in, or incorporated by reference into, the Registration Statement, the Time of Sale Information or Prospectus or any other offering materials prepared by or with the prior written consent of the Representatives.</w:t>
      </w:r>
    </w:p>
    <w:p>
      <w:pPr>
        <w:spacing w:after="0" w:line="164" w:lineRule="exact"/>
        <w:rPr>
          <w:rFonts w:ascii="Arial" w:cs="Arial" w:eastAsia="Arial" w:hAnsi="Arial"/>
          <w:sz w:val="16"/>
          <w:szCs w:val="16"/>
          <w:color w:val="auto"/>
        </w:rPr>
      </w:pPr>
    </w:p>
    <w:p>
      <w:pPr>
        <w:ind w:right="180" w:firstLine="656"/>
        <w:spacing w:after="0" w:line="308"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SLG Parties will furnish to each of the Representatives and to counsel for the Underwriters, without charge, (A) a conformed copy of the Registration Statement, as originally filed and each amendment thereto, in each case including all exhibits and consents filed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the aforementioned documents furnished to the Representatives will be identical to the electronically transmitted copies thereof filed with the Commission pursuant to EDGAR, except to the extent permitted by Regulation 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65" w:lineRule="exact"/>
        <w:rPr>
          <w:sz w:val="20"/>
          <w:szCs w:val="20"/>
          <w:color w:val="auto"/>
        </w:rPr>
      </w:pPr>
    </w:p>
    <w:p>
      <w:pPr>
        <w:ind w:right="20" w:firstLine="656"/>
        <w:spacing w:after="0" w:line="271" w:lineRule="auto"/>
        <w:tabs>
          <w:tab w:leader="none" w:pos="1307"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SLG Parties will not amend or supplement the Registration Statement, the Time of Sale Information or the Prospectus, other than by filing documents under the Exchange Act that are incorporated by reference therein, without the prior written consent of the Representatives, such consent not to be unreasonably withheld or delayed; provided, however, that prior to the completion of the distribution of the Securities by the Underwriters (as determined by the Representatives), the SLG Parties will not file any document under the Exchange Act that is incorporated by reference in the Registration Statement, the Time of Sale Information or the Prospectus unless, prior to such proposed filing, the SLG Parties have furnished each Representatives with a copy of such document for their review and each Representative has not reasonably objected to the filing of such document. The SLG Parties will promptly advise the Representatives when any document filed under the Exchange Act that is incorporated by reference in the Registration Statement, the Time of Sale Information or the Prospectus shall have been filed with the Commission.</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During the Prospectus Delivery Period, the Company will advise the Representatives promptly, and confirm such advice in writing,</w:t>
      </w:r>
    </w:p>
    <w:p>
      <w:pPr>
        <w:spacing w:after="0" w:line="34" w:lineRule="exact"/>
        <w:rPr>
          <w:rFonts w:ascii="Arial" w:cs="Arial" w:eastAsia="Arial" w:hAnsi="Arial"/>
          <w:sz w:val="17"/>
          <w:szCs w:val="17"/>
          <w:color w:val="auto"/>
        </w:rPr>
      </w:pPr>
    </w:p>
    <w:p>
      <w:pPr>
        <w:ind w:firstLine="8"/>
        <w:spacing w:after="0" w:line="267" w:lineRule="auto"/>
        <w:tabs>
          <w:tab w:leader="none" w:pos="2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any post-effective amendment to the Registration Statement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w:t>
      </w:r>
    </w:p>
    <w:p>
      <w:pPr>
        <w:sectPr>
          <w:pgSz w:w="11900" w:h="16838" w:orient="portrait"/>
          <w:cols w:equalWidth="0" w:num="1">
            <w:col w:w="11420"/>
          </w:cols>
          <w:pgMar w:left="240" w:top="125" w:right="239" w:bottom="55"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3" w:name="page14"/>
    <w:bookmarkEnd w:id="13"/>
    <w:p>
      <w:pPr>
        <w:jc w:val="both"/>
        <w:ind w:right="520"/>
        <w:spacing w:after="0" w:line="264" w:lineRule="auto"/>
        <w:rPr>
          <w:sz w:val="20"/>
          <w:szCs w:val="20"/>
          <w:color w:val="auto"/>
        </w:rPr>
      </w:pPr>
      <w:r>
        <w:rPr>
          <w:rFonts w:ascii="Arial" w:cs="Arial" w:eastAsia="Arial" w:hAnsi="Arial"/>
          <w:sz w:val="18"/>
          <w:szCs w:val="18"/>
          <w:color w:val="auto"/>
        </w:rPr>
        <w:t>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w:t>
      </w:r>
    </w:p>
    <w:p>
      <w:pPr>
        <w:spacing w:after="0" w:line="181" w:lineRule="exact"/>
        <w:rPr>
          <w:sz w:val="20"/>
          <w:szCs w:val="20"/>
          <w:color w:val="auto"/>
        </w:rPr>
      </w:pPr>
    </w:p>
    <w:p>
      <w:pPr>
        <w:ind w:right="40" w:firstLine="656"/>
        <w:spacing w:after="0" w:line="270" w:lineRule="auto"/>
        <w:tabs>
          <w:tab w:leader="none" w:pos="131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at any time prior to the completion of the sale of the Securities by each Underwriter (as determined by the Representatives), any event occurs as a result of which the Registration Statement, the Time of Sale Information or the Prospectus, as then amended or supplemented, would include any untrue statement of a material fact or omit to state any material fact necessary to make the statements therein (in the case of the Prospectus, in the light of the circumstances under which they were made) not misleading, or if it should be necessary to amend or supplement the Registration Statement, the Time of Sale Information or the Prospectus to comply with applicable law, the SLG Parties will promptly (i) notify the Underwriters of any such event so that any use of the Registration Statement, the Time of Sale Information or the Prospectus may cease until it is amended or supplemented; (ii) subject to the requirements of Section 3(c), prepare an amendment or supplement that will correct such statement or omission or effect such compliance; and (iii) supply any supplemented or amended Registration Statement, the Time of Sale Information or the Prospectus to each Underwriter and counsel for the Underwriters without charge in such quantities as they may reasonably request.</w:t>
      </w:r>
    </w:p>
    <w:p>
      <w:pPr>
        <w:spacing w:after="0" w:line="181" w:lineRule="exact"/>
        <w:rPr>
          <w:rFonts w:ascii="Arial" w:cs="Arial" w:eastAsia="Arial" w:hAnsi="Arial"/>
          <w:sz w:val="17"/>
          <w:szCs w:val="17"/>
          <w:color w:val="auto"/>
        </w:rPr>
      </w:pPr>
    </w:p>
    <w:p>
      <w:pPr>
        <w:ind w:right="40" w:firstLine="656"/>
        <w:spacing w:after="0" w:line="273" w:lineRule="auto"/>
        <w:tabs>
          <w:tab w:leader="none" w:pos="13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SLG Parties will arrange, if necessary, for the qualification of the Securities for sale by the Underwriters under the laws of such jurisdictions as the Representatives may designate and will maintain such qualifications in effect so long as required for the sale of the Securities; provided that in no event shall any SLG Party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An SLG Party will promptly advise the Representatives of the receipt by an SLG Party of any notification with respect to the suspension of the qualification of the Securities for sale in any jurisdiction or the initiation or threatening of any proceeding for such purpose.</w:t>
      </w:r>
    </w:p>
    <w:p>
      <w:pPr>
        <w:spacing w:after="0" w:line="178" w:lineRule="exact"/>
        <w:rPr>
          <w:rFonts w:ascii="Arial" w:cs="Arial" w:eastAsia="Arial" w:hAnsi="Arial"/>
          <w:sz w:val="17"/>
          <w:szCs w:val="17"/>
          <w:color w:val="auto"/>
        </w:rPr>
      </w:pPr>
    </w:p>
    <w:p>
      <w:pPr>
        <w:ind w:right="120" w:firstLine="656"/>
        <w:spacing w:after="0" w:line="259" w:lineRule="auto"/>
        <w:tabs>
          <w:tab w:leader="none" w:pos="13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and the Underwriters as soon as reasonably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6"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SLG Parties will cooperate with the Representatives and use its best efforts to permit the Securities to be eligible for clearance and settlement through the Depositary.</w:t>
      </w:r>
    </w:p>
    <w:p>
      <w:pPr>
        <w:spacing w:after="0" w:line="170"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SLG Parties will comply with all applicable securities and other laws, rules and regulations, including, without limitation, the Sarbanes-Oxley Act, and use their best efforts to cause their directors and officers, in their capacities as such, to comply with such laws, rules and regulations, including, without limitation, the provisions of the Sarbanes-Oxley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656"/>
        <w:spacing w:after="0" w:line="277"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SLG Parties will prepare a final term sheet, containing solely a description of the Securities and the offering thereof, in the form approved by you and attached as Schedule II hereto.</w:t>
      </w:r>
    </w:p>
    <w:p>
      <w:pPr>
        <w:spacing w:after="0" w:line="170" w:lineRule="exact"/>
        <w:rPr>
          <w:rFonts w:ascii="Arial" w:cs="Arial" w:eastAsia="Arial" w:hAnsi="Arial"/>
          <w:sz w:val="18"/>
          <w:szCs w:val="18"/>
          <w:color w:val="auto"/>
        </w:rPr>
      </w:pPr>
    </w:p>
    <w:p>
      <w:pPr>
        <w:ind w:right="140" w:firstLine="656"/>
        <w:spacing w:after="0" w:line="276"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a period of five years following the Closing Date, the relevant SLG Parties will furnish to the Representatives, upon request, copies of all materials furnished by Reckson OP and SLG OP to their respective partners or by the Company to its stockholders and all public reports and all reports and financial statements furnished by Reckson OP, SLG OP or the Company to the principal national securities exchange upon which the Securities may be listed pursuant to requirements of or agreements with such exchange or to the Commission pursuant to the Exchange Act or any rule or regulation of the Commission thereunder, unless filed with the Commission and publicly available on EDGAR.</w:t>
      </w:r>
    </w:p>
    <w:p>
      <w:pPr>
        <w:spacing w:after="0" w:line="172" w:lineRule="exact"/>
        <w:rPr>
          <w:rFonts w:ascii="Arial" w:cs="Arial" w:eastAsia="Arial" w:hAnsi="Arial"/>
          <w:sz w:val="17"/>
          <w:szCs w:val="17"/>
          <w:color w:val="auto"/>
        </w:rPr>
      </w:pPr>
    </w:p>
    <w:p>
      <w:pPr>
        <w:ind w:right="100" w:firstLine="656"/>
        <w:spacing w:after="0" w:line="308" w:lineRule="auto"/>
        <w:tabs>
          <w:tab w:leader="none" w:pos="13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take such steps as shall be necessary to ensure that none of the SLG Parties shall become an “investment company” within the meaning of such term under the Investment Company Act of 1940, as amended, and the rules and regulations of the Commission thereunder.</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will use its best efforts to continue to meet the requirements to qualify as a REIT under the Code.</w:t>
      </w:r>
    </w:p>
    <w:p>
      <w:pPr>
        <w:spacing w:after="0" w:line="225" w:lineRule="exact"/>
        <w:rPr>
          <w:rFonts w:ascii="Arial" w:cs="Arial" w:eastAsia="Arial" w:hAnsi="Arial"/>
          <w:sz w:val="18"/>
          <w:szCs w:val="18"/>
          <w:color w:val="auto"/>
        </w:rPr>
      </w:pPr>
    </w:p>
    <w:p>
      <w:pPr>
        <w:ind w:firstLine="656"/>
        <w:spacing w:after="0" w:line="270" w:lineRule="auto"/>
        <w:tabs>
          <w:tab w:leader="none" w:pos="13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for the authorization of actions permitted to be taken by the Representatives as contemplated herein or in the Registration Statement, the Time of Sale Information or the Prospectus, none of the SLG Parties will (a) take, directly or indirectly, any action designed to cause or to result in, or that might reasonably be expected to constitute, the stabilization or manipulation of the price of any security of the SLG Parties to facilitate the sale or resale of the Securities, and (b) until the Closing Date, (i) sell, bid for or purchase the Securities or pay any person any compensation for soliciting purchases of the Securities or (ii) pay or agree to pay to any person any compensation for soliciting another to purchase any other securities of any of the SLG Parties, except, in the case of clause (ii), pursuant to the At-the-Market Equity Offering Sales Agreement, dated March 20, 2015, between the Company, SLG OP and Merrill Lynch, Pierce, Fenner &amp; Smith Incorporated, the At-the-Market Equity Offering Sales Agreement, dated March 20, 2015, between the Company, SLG OP and Deutsche Bank Securities Inc., the At-the-Market Equity Offering Sales Agreement, dated March 20, 2015, between the Company, SLG OP and BNY Mellon Capital Markets, LLC and the At-the-Market Equity Offering Sales Agreement, dated March 20, 2015, between the Company, SLG OP and Mitsubishi UFJ Securities (USA), Inc.</w:t>
      </w:r>
    </w:p>
    <w:p>
      <w:pPr>
        <w:spacing w:after="0" w:line="177" w:lineRule="exact"/>
        <w:rPr>
          <w:rFonts w:ascii="Arial" w:cs="Arial" w:eastAsia="Arial" w:hAnsi="Arial"/>
          <w:sz w:val="17"/>
          <w:szCs w:val="17"/>
          <w:color w:val="auto"/>
        </w:rPr>
      </w:pPr>
    </w:p>
    <w:p>
      <w:pPr>
        <w:ind w:right="80" w:firstLine="656"/>
        <w:spacing w:after="0" w:line="276" w:lineRule="auto"/>
        <w:tabs>
          <w:tab w:leader="none" w:pos="13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Prior to the Closing Date, the SLG Parties will not, without the prior written consent of each of the Representatives (which consent may be withheld at the sole discretion of each Representative), directly or 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issued or guaranteed by any of the SLG Parties or securities exchangeable for or convertible into any such debt securities (other than as contemplated by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721" w:gutter="0" w:footer="0" w:header="0"/>
        </w:sectPr>
      </w:pPr>
    </w:p>
    <w:bookmarkStart w:id="14" w:name="page15"/>
    <w:bookmarkEnd w:id="14"/>
    <w:p>
      <w:pPr>
        <w:spacing w:after="0" w:line="79" w:lineRule="exact"/>
        <w:rPr>
          <w:sz w:val="20"/>
          <w:szCs w:val="20"/>
          <w:color w:val="auto"/>
        </w:rPr>
      </w:pPr>
    </w:p>
    <w:p>
      <w:pPr>
        <w:ind w:right="120" w:firstLine="656"/>
        <w:spacing w:after="0" w:line="277" w:lineRule="auto"/>
        <w:tabs>
          <w:tab w:leader="none" w:pos="13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SLG Parties will, pursuant to reasonable procedures developed in good faith, retain copies of each Issuer Free Writing Prospectus that is not filed with the Commission in accordance with Rule 433 under the Securities Act.</w:t>
      </w:r>
    </w:p>
    <w:p>
      <w:pPr>
        <w:spacing w:after="0" w:line="170" w:lineRule="exact"/>
        <w:rPr>
          <w:sz w:val="20"/>
          <w:szCs w:val="20"/>
          <w:color w:val="auto"/>
        </w:rPr>
      </w:pPr>
    </w:p>
    <w:p>
      <w:pPr>
        <w:ind w:right="220" w:firstLine="656"/>
        <w:spacing w:after="0" w:line="284"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SLG Parties jointly and severally agree to pay (a) the costs incident to the authorization, issuance, sale and delivery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any taxes payable in that connection; (b) the costs incident to the preparation, and delivery of this Agreement, the Indenture and any other related documents in connection with the offering, purchase, issuance, sale and delivery of the Securities, as the case may be; (c) the costs incident to the preparation, printing, filing and distribution of the materials contained in the Registration Statement, the Time of Sale Information and the Prospectus and each amendment or supplement to either of them, as may, in each case, be reasonably requested for use in connection with the offering and sale of the Securities; (d) the filing fees, if any, incident to securing any required review by FINRA of the terms of sale of the issuance; (e) any applicable listing fees;</w:t>
      </w:r>
    </w:p>
    <w:p>
      <w:pPr>
        <w:spacing w:after="0" w:line="4" w:lineRule="exact"/>
        <w:rPr>
          <w:rFonts w:ascii="Arial" w:cs="Arial" w:eastAsia="Arial" w:hAnsi="Arial"/>
          <w:sz w:val="16"/>
          <w:szCs w:val="16"/>
          <w:color w:val="auto"/>
        </w:rPr>
      </w:pPr>
    </w:p>
    <w:p>
      <w:pPr>
        <w:ind w:right="100" w:firstLine="8"/>
        <w:spacing w:after="0" w:line="288" w:lineRule="auto"/>
        <w:tabs>
          <w:tab w:leader="none" w:pos="2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fees and expenses of qualifying the Securities under the securities laws of the several jurisdictions as provided in Section 3(h) and of preparing, printing and distributing a Blue Sky Memorandum (including related reasonable fees and expenses of counsel to the Underwriters); (g) the costs of preparing certificates for the issuance; (h) all other costs and expenses incident to the performance of the obligations of the SLG Parties under this Agreement; (i) the costs and charges of any trustee, transfer agent and registrar; (j) any expenses incurred by the SLG Parties in connection with a “road show” presentation to potential investors, if any; and (k) the fees and disbursements of the Company’s counsel and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expressly provided in this Section 4, Section 8 and Section 10, the Underwriters shall pay their own costs and expenses, including the costs and expenses of their counsel, and any transfer taxes on the Securities which they may sell and the expenses of advertising any offering of the Securities made by the Underwriters.</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ind w:right="120" w:firstLine="656"/>
        <w:spacing w:after="0" w:line="285" w:lineRule="auto"/>
        <w:tabs>
          <w:tab w:leader="none" w:pos="129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SLG Parties and not incorporated by reference into the Registration Statement and any press release issued by the SLG Parties) other than (i) a free writing prospectus that, solely as a result of use by such underwriter, would not trigger an obligation to file such free writing prospectus with the Commission pursuant to Rule 433, (ii) any Issuer Free Writing Prospectus or prepared pursuant to Section 1(c) or</w:t>
      </w:r>
    </w:p>
    <w:p>
      <w:pPr>
        <w:spacing w:after="0" w:line="2" w:lineRule="exact"/>
        <w:rPr>
          <w:rFonts w:ascii="Arial" w:cs="Arial" w:eastAsia="Arial" w:hAnsi="Arial"/>
          <w:sz w:val="16"/>
          <w:szCs w:val="16"/>
          <w:color w:val="auto"/>
        </w:rPr>
      </w:pP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Section 3(c) above (including any electronic road show), or (iii) any free writing prospectus prepared by such underwriter and approved by the SLG Parties in advance in writing (each such free writing prospectus referred to in clauses (i) or (iii), an “Underwriter Free Writing Prospectus”) Notwithstanding the foregoing, the Underwriters may use a term sheet substantially in the form of Schedule II hereto without the consent of the Company.</w:t>
      </w:r>
    </w:p>
    <w:p>
      <w:pPr>
        <w:spacing w:after="0" w:line="155" w:lineRule="exact"/>
        <w:rPr>
          <w:rFonts w:ascii="Arial" w:cs="Arial" w:eastAsia="Arial" w:hAnsi="Arial"/>
          <w:sz w:val="16"/>
          <w:szCs w:val="16"/>
          <w:color w:val="auto"/>
        </w:rPr>
      </w:pPr>
    </w:p>
    <w:p>
      <w:pPr>
        <w:ind w:right="100" w:firstLine="656"/>
        <w:spacing w:after="0" w:line="277" w:lineRule="auto"/>
        <w:tabs>
          <w:tab w:leader="none" w:pos="13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SLG Parties if any such proceeding against it is initiated during the Prospectus Delivery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9"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when made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on the Closing Date, of the representations and warranties of the SLG Parties contained herein, to the accuracy of the statements of the SLG Parties and their Subsidiaries made in any certificates delivered pursuant to the provisions hereof, to the performance by each SLG Party of its obligations hereunder, and to each of the following additional terms and conditions:</w:t>
      </w:r>
    </w:p>
    <w:p>
      <w:pPr>
        <w:spacing w:after="0" w:line="187" w:lineRule="exact"/>
        <w:rPr>
          <w:sz w:val="20"/>
          <w:szCs w:val="20"/>
          <w:color w:val="auto"/>
        </w:rPr>
      </w:pPr>
    </w:p>
    <w:p>
      <w:pPr>
        <w:ind w:right="140" w:firstLine="656"/>
        <w:spacing w:after="0" w:line="279"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Supplement and each Issuer Free Writing Prospectus shall have been timely filed with the Commission under the Securities Act (in the case of a Issuer Free Writing Prospectus, to the extent required by Rule 433 under the Securities Act) and in accordance with Section 3(a) hereof.</w:t>
      </w:r>
    </w:p>
    <w:p>
      <w:pPr>
        <w:spacing w:after="0" w:line="171" w:lineRule="exact"/>
        <w:rPr>
          <w:rFonts w:ascii="Arial" w:cs="Arial" w:eastAsia="Arial" w:hAnsi="Arial"/>
          <w:sz w:val="17"/>
          <w:szCs w:val="17"/>
          <w:color w:val="auto"/>
        </w:rPr>
      </w:pPr>
    </w:p>
    <w:p>
      <w:pPr>
        <w:jc w:val="both"/>
        <w:ind w:right="60" w:firstLine="656"/>
        <w:spacing w:after="0" w:line="284" w:lineRule="auto"/>
        <w:tabs>
          <w:tab w:leader="none" w:pos="13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Subsequent to the effective date of this Agreement, there shall not have occurred (i) any material adverse change in or affecting any of the Properties or in the condition, financial or otherwise, business, prospects, operations, management, consolidated financial position, net worth, stockholders’ equity or results of operations, whether or not arising from transactions in the ordinary course of business, of the SLG Parties, their Subsidiaries and the Joint Venture Entities considered as one enterprise or on the use or value of the Properties as a whole, (ii) any change or decrease specified in the bring-down letter referred to in paragraph (h) of this Section 6 which is, in the judgment of the Representatives, so material and adverse as to make it impractical or inadvisable to proceed with the offering or delivery of the Securities as contemplated by the Registration Statement, the Time of Sale Information and the Prospectus,</w:t>
      </w:r>
    </w:p>
    <w:p>
      <w:pPr>
        <w:spacing w:after="0" w:line="4" w:lineRule="exact"/>
        <w:rPr>
          <w:rFonts w:ascii="Arial" w:cs="Arial" w:eastAsia="Arial" w:hAnsi="Arial"/>
          <w:sz w:val="16"/>
          <w:szCs w:val="16"/>
          <w:color w:val="auto"/>
        </w:rPr>
      </w:pPr>
    </w:p>
    <w:p>
      <w:pPr>
        <w:ind w:firstLine="8"/>
        <w:spacing w:after="0" w:line="268" w:lineRule="auto"/>
        <w:tabs>
          <w:tab w:leader="none" w:pos="3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downgrading, or any notice have been given of any intended or potential downgrading or of any review for a possible change that does not indicate the direction of the possible change, in the rating accorded any securities of any of the SLG Parties or any of their Subsidiaries by any “nationally recognized statistical rating organization” as such term is defined for purposes of Section 3(a)(62) under the Exchange Act, or (iv) any event or development relating to or involving any of the SLG Parties, their Subsidiaries, the Joint Venture Entities, or any partner, officer, director or trustee thereof, which makes any statement of a material fact made in the Prospectus untrue or which, in the opinion of the SLG Parties and their counsel or the Representatives and counsel to the Underwriters, requires the making of any addition to or change in the Registration Statement, the Time of Sale Information or the Prospectus in order to state a material fact required by the Securities Act or any other law to be stated therein or necessary in order to make the statements therein (in the case of the Prospectus, in the light of the circumstances under which they were made) not misleading, if amending or supplementing the Registration Statement, the Time of Sale Information or the Prospectus to reflect such event or development would, in the opinion of the Representatives, adversely affect the market for the Securities.</w:t>
      </w:r>
    </w:p>
    <w:p>
      <w:pPr>
        <w:spacing w:after="0" w:line="179" w:lineRule="exact"/>
        <w:rPr>
          <w:rFonts w:ascii="Arial" w:cs="Arial" w:eastAsia="Arial" w:hAnsi="Arial"/>
          <w:sz w:val="17"/>
          <w:szCs w:val="17"/>
          <w:color w:val="auto"/>
        </w:rPr>
      </w:pPr>
    </w:p>
    <w:p>
      <w:pPr>
        <w:ind w:right="220" w:firstLine="656"/>
        <w:spacing w:after="0" w:line="264" w:lineRule="auto"/>
        <w:tabs>
          <w:tab w:leader="none" w:pos="13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Indenture, the Securities, the Registration Statement, the Preliminary Prospectus, the Prospectus and all other legal matters relating to this Agreement and the transactions contemplated hereby shall be reasonably satisfactory to counsel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Underwriters, and the Company shall have furnished to such counsel all documents and information that they may reasonably request to enable them to pass upon such matters.</w:t>
      </w:r>
    </w:p>
    <w:p>
      <w:pPr>
        <w:spacing w:after="0" w:line="170" w:lineRule="exact"/>
        <w:rPr>
          <w:sz w:val="20"/>
          <w:szCs w:val="20"/>
          <w:color w:val="auto"/>
        </w:rPr>
      </w:pPr>
    </w:p>
    <w:p>
      <w:pPr>
        <w:ind w:right="160" w:firstLine="656"/>
        <w:spacing w:after="0" w:line="264" w:lineRule="auto"/>
        <w:tabs>
          <w:tab w:leader="none" w:pos="1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Skadden, Arps, Slate, Meagher &amp; Flom LLP shall have furnished to the Underwriters its written opinion and letter, as counsel to each of the SLG Parties, addressed to the Underwriters and dated the Closing Date, in form and substance reasonably satisfactory to the Representatives and counsel to the Underwriters,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ectPr>
          <w:pgSz w:w="11900" w:h="16918" w:orient="portrait"/>
          <w:cols w:equalWidth="0" w:num="1">
            <w:col w:w="11420"/>
          </w:cols>
          <w:pgMar w:left="240" w:top="125" w:right="239" w:bottom="0" w:gutter="0" w:footer="0" w:header="0"/>
        </w:sectPr>
      </w:pPr>
    </w:p>
    <w:bookmarkStart w:id="15" w:name="page16"/>
    <w:bookmarkEnd w:id="15"/>
    <w:p>
      <w:pPr>
        <w:ind w:right="100" w:firstLine="656"/>
        <w:spacing w:after="0" w:line="264" w:lineRule="auto"/>
        <w:tabs>
          <w:tab w:leader="none" w:pos="1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Ballard Spahr LLP shall have furnished to the Underwriters its written opinion, as Maryland counsel to the Company, addressed to the Underwriters and dated the Closing Date, in form and substance reasonably satisfactory to the Representatives and counsel to the Underwriters,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20" w:firstLine="656"/>
        <w:spacing w:after="0" w:line="264" w:lineRule="auto"/>
        <w:tabs>
          <w:tab w:leader="none" w:pos="16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Greenberg Traurig, LLP shall have furnished to the Underwriters its written opinion, as tax counsel to the SLG Parties, addressed to the Underwriters and dated the Closing Date, in form and substance reasonably satisfactory to the Representatives and counsel to the Underwriters, to the effect that:</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Commencing with its taxable year ended December 31, 2001, the Company was organized and has been operated in conformity with the requirements for qualification and taxation as a REIT under the Code and the proposed method of operation of the Company will enable the Company to continue to meet the requirements for qualification and taxation as a REIT under the Code.</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1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SLG OP is classified as a partnership and not as (a) an association taxable as a corporation or (b) a “publicly traded partnership” taxable as a corporation under Section 7704(a) of the Code.</w:t>
      </w:r>
    </w:p>
    <w:p>
      <w:pPr>
        <w:spacing w:after="0" w:line="170" w:lineRule="exact"/>
        <w:rPr>
          <w:rFonts w:ascii="Arial" w:cs="Arial" w:eastAsia="Arial" w:hAnsi="Arial"/>
          <w:sz w:val="18"/>
          <w:szCs w:val="18"/>
          <w:color w:val="auto"/>
        </w:rPr>
      </w:pPr>
    </w:p>
    <w:p>
      <w:pPr>
        <w:ind w:left="660" w:right="560" w:firstLine="645"/>
        <w:spacing w:after="0" w:line="264" w:lineRule="auto"/>
        <w:tabs>
          <w:tab w:leader="none" w:pos="19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of Reckson OP and Wyoming has at all times been classified as either a (1) a partnership and not as (a) an association taxable as a corporation or (b) a “publicly traded partnership” taxable as a corporation under Section 7704(a) of the Code or (2) as an entity disregarded as an entity separate from SLG OP under Treasury Regulation section 301.7701-3.</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195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statements contained in the Registration Statement under the caption “Material United States Federal Income Tax Consequences” that describe applicable U.S. federal income tax law, and legal conclusions with respect thereto, are correct in all material respects as of the Closing Date.</w:t>
      </w:r>
    </w:p>
    <w:p>
      <w:pPr>
        <w:spacing w:after="0" w:line="181" w:lineRule="exact"/>
        <w:rPr>
          <w:rFonts w:ascii="Arial" w:cs="Arial" w:eastAsia="Arial" w:hAnsi="Arial"/>
          <w:sz w:val="18"/>
          <w:szCs w:val="18"/>
          <w:color w:val="auto"/>
        </w:rPr>
      </w:pPr>
    </w:p>
    <w:p>
      <w:pPr>
        <w:ind w:right="80" w:firstLine="656"/>
        <w:spacing w:after="0" w:line="257" w:lineRule="auto"/>
        <w:tabs>
          <w:tab w:leader="none" w:pos="16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Underwriters shall have received from Fried, Frank, Harris, Shriver &amp; Jacobson LLP, counsel for the Underwriters, such opinion or opinions, dated the Closing Date with respect to the issuance and sale of the Securities and the Indenture, including negative assurance with respect to the Registration Statement, the Time of Sale Information and the Prospectus (as amended or supplemented at the Closing Date), and other related matters as the Representatives may reasonably require, and the SLG Parties shall have furnished to such counsel such documents as they reasonably request for the purpose of enabling them to pass upon such matters.</w:t>
      </w:r>
    </w:p>
    <w:p>
      <w:pPr>
        <w:spacing w:after="0" w:line="188" w:lineRule="exact"/>
        <w:rPr>
          <w:rFonts w:ascii="Arial" w:cs="Arial" w:eastAsia="Arial" w:hAnsi="Arial"/>
          <w:sz w:val="18"/>
          <w:szCs w:val="18"/>
          <w:color w:val="auto"/>
        </w:rPr>
      </w:pPr>
    </w:p>
    <w:p>
      <w:pPr>
        <w:ind w:right="140" w:firstLine="656"/>
        <w:spacing w:after="0" w:line="277" w:lineRule="auto"/>
        <w:tabs>
          <w:tab w:leader="none" w:pos="1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the time of execution of this Agreement, the Underwriters shall have received from Ernst &amp; Young LLP a letter in connection with its auditing of the financial statements of the Company, SLG OP and Reckson OP, in form and substance satisfactory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Registration Statement, the Time of Sale Information and the Prospectus, as of a date not more than three business days prior to the date hereof), the conclusions and findings of such firm with respect to the Company’s, SLG OP’s and Reckson OP’s financial information and other matters ordinarily covered by accountants’ “comfort letters” to underwriters in connection with registered public offerings as contemplated in the Statement on Auditing Standards No. 72.</w:t>
      </w:r>
    </w:p>
    <w:p>
      <w:pPr>
        <w:spacing w:after="0" w:line="178" w:lineRule="exact"/>
        <w:rPr>
          <w:sz w:val="20"/>
          <w:szCs w:val="20"/>
          <w:color w:val="auto"/>
        </w:rPr>
      </w:pPr>
    </w:p>
    <w:p>
      <w:pPr>
        <w:ind w:right="20" w:firstLine="656"/>
        <w:spacing w:after="0" w:line="290" w:lineRule="auto"/>
        <w:tabs>
          <w:tab w:leader="none" w:pos="16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the letter of Ernst &amp; Young LLP referred to in the preceding paragraph and delivered to the Underwriters concurrently with the execution of this Agreement (the “</w:t>
      </w:r>
      <w:r>
        <w:rPr>
          <w:rFonts w:ascii="Arial" w:cs="Arial" w:eastAsia="Arial" w:hAnsi="Arial"/>
          <w:sz w:val="16"/>
          <w:szCs w:val="16"/>
          <w:u w:val="single" w:color="auto"/>
          <w:color w:val="auto"/>
        </w:rPr>
        <w:t>initial letter</w:t>
      </w:r>
      <w:r>
        <w:rPr>
          <w:rFonts w:ascii="Arial" w:cs="Arial" w:eastAsia="Arial" w:hAnsi="Arial"/>
          <w:sz w:val="16"/>
          <w:szCs w:val="16"/>
          <w:color w:val="auto"/>
        </w:rPr>
        <w:t>”), the Company shall have furnished to the Underwriters a letter (the “</w:t>
      </w:r>
      <w:r>
        <w:rPr>
          <w:rFonts w:ascii="Arial" w:cs="Arial" w:eastAsia="Arial" w:hAnsi="Arial"/>
          <w:sz w:val="16"/>
          <w:szCs w:val="16"/>
          <w:u w:val="single" w:color="auto"/>
          <w:color w:val="auto"/>
        </w:rPr>
        <w:t>bring-down letter</w:t>
      </w:r>
      <w:r>
        <w:rPr>
          <w:rFonts w:ascii="Arial" w:cs="Arial" w:eastAsia="Arial" w:hAnsi="Arial"/>
          <w:sz w:val="16"/>
          <w:szCs w:val="16"/>
          <w:color w:val="auto"/>
        </w:rPr>
        <w:t>”) of such accountants, addressed to the Underwriters and dated the Closing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Registration Statement, the Time of Sale Information and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66" w:lineRule="exact"/>
        <w:rPr>
          <w:rFonts w:ascii="Arial" w:cs="Arial" w:eastAsia="Arial" w:hAnsi="Arial"/>
          <w:sz w:val="16"/>
          <w:szCs w:val="16"/>
          <w:color w:val="auto"/>
        </w:rPr>
      </w:pPr>
    </w:p>
    <w:p>
      <w:pPr>
        <w:ind w:right="260" w:firstLine="656"/>
        <w:spacing w:after="0" w:line="277" w:lineRule="auto"/>
        <w:tabs>
          <w:tab w:leader="none" w:pos="1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SLG Parties shall have furnished to the Underwriters a certificate, dated the Closing Date, of its, or its general partner’s, Chief Executive Officer and Chief Financial Officer (or, in the case of Reckson, Treasurer), stating that:</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19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representations, warranties and agreements of the SLG Parties in Section 1 are true and correct as of the Closing Date; the SLG Parties have complied with all their agreements contained herein; and the conditions set forth in Sections 6(a), (b) and (c) have been fulfilled;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They have carefully examined the Registration Statement, the Time of Sale Information and the Prospectus, and, in their opinion</w:t>
      </w:r>
    </w:p>
    <w:p>
      <w:pPr>
        <w:spacing w:after="0" w:line="46" w:lineRule="exact"/>
        <w:rPr>
          <w:rFonts w:ascii="Arial" w:cs="Arial" w:eastAsia="Arial" w:hAnsi="Arial"/>
          <w:sz w:val="16"/>
          <w:szCs w:val="16"/>
          <w:color w:val="auto"/>
        </w:rPr>
      </w:pPr>
    </w:p>
    <w:p>
      <w:pPr>
        <w:ind w:left="660"/>
        <w:spacing w:after="0" w:line="270" w:lineRule="auto"/>
        <w:rPr>
          <w:rFonts w:ascii="Arial" w:cs="Arial" w:eastAsia="Arial" w:hAnsi="Arial"/>
          <w:sz w:val="16"/>
          <w:szCs w:val="16"/>
          <w:color w:val="auto"/>
        </w:rPr>
      </w:pPr>
      <w:r>
        <w:rPr>
          <w:rFonts w:ascii="Arial" w:cs="Arial" w:eastAsia="Arial" w:hAnsi="Arial"/>
          <w:sz w:val="17"/>
          <w:szCs w:val="17"/>
          <w:color w:val="auto"/>
        </w:rPr>
        <w:t>(A) (1) the Registration Statement, as of the Time of Sale, or (2) the Time of Sale Information and the Prospectus, as of the Time of Sale, or (3) the Prospectus, as of the applicable Closing Date, did not and do not include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of the Registration Statement, no event has occurred which should have been set forth in a supplement or amendment to the Registration Statement, the Preliminary Prospectus, the Prospectus or any Issuer Free Writing Prospectus that has not been so set forth.</w:t>
      </w:r>
    </w:p>
    <w:p>
      <w:pPr>
        <w:spacing w:after="0" w:line="178" w:lineRule="exact"/>
        <w:rPr>
          <w:rFonts w:ascii="Arial" w:cs="Arial" w:eastAsia="Arial" w:hAnsi="Arial"/>
          <w:sz w:val="16"/>
          <w:szCs w:val="16"/>
          <w:color w:val="auto"/>
        </w:rPr>
      </w:pPr>
    </w:p>
    <w:p>
      <w:pPr>
        <w:ind w:right="20" w:firstLine="656"/>
        <w:spacing w:after="0" w:line="277" w:lineRule="auto"/>
        <w:tabs>
          <w:tab w:leader="none" w:pos="1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Closing Date, counsel for the Underwriters shall have been furnished with such documents and opinions as they may require for the purpose of enabling them to pass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16" w:name="page17"/>
    <w:bookmarkEnd w:id="16"/>
    <w:p>
      <w:pPr>
        <w:ind w:right="40"/>
        <w:spacing w:after="0" w:line="312" w:lineRule="auto"/>
        <w:rPr>
          <w:sz w:val="20"/>
          <w:szCs w:val="20"/>
          <w:color w:val="auto"/>
        </w:rPr>
      </w:pPr>
      <w:r>
        <w:rPr>
          <w:rFonts w:ascii="Arial" w:cs="Arial" w:eastAsia="Arial" w:hAnsi="Arial"/>
          <w:sz w:val="16"/>
          <w:szCs w:val="16"/>
          <w:color w:val="auto"/>
        </w:rPr>
        <w:t>upon the issuance and sale of the Securities as herein contemplated and related proceedings, or in order to evidence the accuracy of any of the representations or warranties, or the fulfillment of any of the conditions, herein contained; and all proceedings taken by the SLG Parties in connection with the issuance and sale of the Securities as herein contemplated shall be satisfactory in form and substance to the Representatives and counsel for the Underwriters.</w:t>
      </w:r>
    </w:p>
    <w:p>
      <w:pPr>
        <w:spacing w:after="0" w:line="147" w:lineRule="exact"/>
        <w:rPr>
          <w:sz w:val="20"/>
          <w:szCs w:val="20"/>
          <w:color w:val="auto"/>
        </w:rPr>
      </w:pPr>
    </w:p>
    <w:p>
      <w:pPr>
        <w:ind w:right="20" w:firstLine="656"/>
        <w:spacing w:after="0" w:line="277" w:lineRule="auto"/>
        <w:tabs>
          <w:tab w:leader="none" w:pos="16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SLG Parties shall have executed and delivered the Indenture, in form and substance reasonably satisfactory to the Representatives, and the Representatives shall have received executed copies thereof.</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656"/>
        <w:spacing w:after="0" w:line="277" w:lineRule="auto"/>
        <w:tabs>
          <w:tab w:leader="none" w:pos="1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SLG Parties shall have furnished or caused to be furnished to the Underwriters such further certificates and documents as the Representatives or counsel to the Underwriters shall have reasonably requested.</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Any certificate or document signed by any officer of the SLG Parties or any of their Subsidiaries and delivered to the Underwriters, or to counsel for the Underwriters, shall be deemed a representation and warranty by the SLG Parties to each Underwriter as to the statements made therein.</w:t>
      </w:r>
    </w:p>
    <w:p>
      <w:pPr>
        <w:spacing w:after="0" w:line="12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Effective Date of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become effective upon the execution hereof by the parties hereto.</w:t>
      </w:r>
    </w:p>
    <w:p>
      <w:pPr>
        <w:spacing w:after="0" w:line="22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7" w:lineRule="auto"/>
        <w:tabs>
          <w:tab w:leader="none" w:pos="129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SLG Parties, jointly and severally, will indemnify and hold harmless each Underwriter against any losses, claims, damages or liabilities, joint or several, to which such Underwriter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as amended or supplemented, or the omission or alleged omission to state therein a material fact required to be stated therein or necessary to make the statements therein, not misleading, or (ii) an untrue statement or alleged untrue statement of a material fact contained in the Time of Sale Information, any Preliminary Prospectus, the Prospectus or any Issuer Free Writing Prospectus, as amended or supplemented, or the omission or alleged omission to state therein a material fact required to be stated therein or necessary to make the statements therein, in the light of the circumstances under which they are made, not misleading; and will reimburse such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SLG Parties shall be liable in any such case to the extent that any such loss, claim, damage or liability arises out of or is based upon an untrue statement or alleged untrue statement or omission or alleged omission made in any Registration Statement, the Time of Sale Information, any Preliminary Prospectus, the Prospectus or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Issuer Free Writing Prospectus, as amended or supplemented, in reliance upon and in conformity with written information furnished to the SLG Parties by the Representatives expressly for use therein, which information is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sz w:val="20"/>
          <w:szCs w:val="20"/>
          <w:color w:val="auto"/>
        </w:rPr>
      </w:pPr>
    </w:p>
    <w:p>
      <w:pPr>
        <w:ind w:right="60" w:firstLine="656"/>
        <w:spacing w:after="0" w:line="268" w:lineRule="auto"/>
        <w:tabs>
          <w:tab w:leader="none" w:pos="1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Each Underwriter severally, and not jointly, will indemnify and hold harmless each of the SLG Parties against any losses, claims, damages or liabilities to which such SLG Party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as amended or supplemented, or any amendment or supplement thereto, or arise out of or are based upon the omission or alleged omission to state therein a material fact required to be stated therein or necessary to make the statements therein not misleading, or (ii) an untrue statement or alleged untrue statement of a material fact contained in the Time of Sale Information, any Preliminary Prospectus, the Prospectus or any Issuer Free Writing Prospectus as amended or supplemented or any amendment or supplement thereto, or arise out of or are based upon the omission or alleged omission to state therein a material fact required to be stated therein or necessary to make the statements therein, in the light of the circumstances under which they are made, not misleading in each case to the extent, but only to the extent, that such untrue statement or alleged untrue statement or omission or alleged omission was made in the Registration Statement, the Time of Sale Information, any Preliminary Prospectus, the Prospectus or any Issuer Free Writing Prospectus as amended or supplemented, or any such amendment or supplement in reliance upon and in conformity with written information furnished to such SLG Party by the Representatives expressly for use therein, which information is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severally, and not jointly, will reimburse the SLG Parties for any legal or other expenses reasonably incurred by the SLG Parties in connection with investigating or defending any such action or claim as such expenses are incurred.</w:t>
      </w:r>
    </w:p>
    <w:p>
      <w:pPr>
        <w:spacing w:after="0" w:line="185" w:lineRule="exact"/>
        <w:rPr>
          <w:rFonts w:ascii="Arial" w:cs="Arial" w:eastAsia="Arial" w:hAnsi="Arial"/>
          <w:sz w:val="17"/>
          <w:szCs w:val="17"/>
          <w:color w:val="auto"/>
        </w:rPr>
      </w:pPr>
    </w:p>
    <w:p>
      <w:pPr>
        <w:ind w:right="20" w:firstLine="656"/>
        <w:spacing w:after="0" w:line="286" w:lineRule="auto"/>
        <w:tabs>
          <w:tab w:leader="none" w:pos="13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an indemnifying party under such subsection, notify the indemnifying party in writing of the commencement thereof; but the omission so to notify such indemnifying party shall not relieve it from any liability which it may have to any indemnified party under such subsection except to the extent it has been materially prejudiced by such failure.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or other expenses, in each case subsequently incurred by such indemnified party, in connection with the defense thereof 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17" w:name="page18"/>
    <w:bookmarkEnd w:id="17"/>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82" w:lineRule="exact"/>
        <w:rPr>
          <w:sz w:val="20"/>
          <w:szCs w:val="20"/>
          <w:color w:val="auto"/>
        </w:rPr>
      </w:pPr>
    </w:p>
    <w:p>
      <w:pPr>
        <w:ind w:left="1320" w:hanging="664"/>
        <w:spacing w:after="0"/>
        <w:tabs>
          <w:tab w:leader="none" w:pos="13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8"/>
        <w:spacing w:after="0" w:line="266"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or (b) above in respect of any losses, claims, damages or liabilities (or actions in respect thereof) referred to therein, then each indemnifying party shall, in lieu of indemnifying such indemnified party in respect of such losses, claims, damages or liabilities (or actions in respect thereto), contribute to the amount paid or payable by such indemnified party as a result of such losses, claims, damages or liabilities (or actions in respect thereof) in such proportion as is appropriate to reflect the relative benefits received by the SLG Parties on the one hand and the Underwriters on the other from the offering of the Securities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SLG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SLG Parties on the one hand and the Underwriters on the other shall be deemed to be in the same proportion as the total net proceeds from such offering (before deducting expenses) received by the SLG Parties bear to the total underwriting discounts and commissions received by the Underwriters, in each case as set forth on in the table on the cover of the Prospectus. The relative fault shall be determined by reference, whether the untrue or alleged untrue statement of a material fact or the omission or alleged omission to state a material fact relates to information supplied by the SLG Parties on the one hand or the Underwriters on the other and the parties’ relative intent, knowledge, access to information and opportunity to correct or prevent such statement or omission. The SLG Parties and the Underwriters agree that it would not be just and equitable if contributions pursuant to this subsection (d)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Underwriters shall not be required to contribute any amount in excess of the amount by which the total price at which the applicable Notes underwritten by it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indemnifying party shall not be required to indemnify the indemnified party for any amount paid or payable by the indemnified party in the settlement of any action, proceeding or investigation without the written consent of the indemnifying party, which consent shall not be unreasonably withheld, but if settled with such consent, the indemnifying party agrees to indemnify the indemnified party against any loss, claim, damage, liability or expense by reason of such settlement. Notwithstanding the foregoing sentence, if at any time an indemnified party shall have requested an indemnifying party to reimburse the indemnified party for fees and expenses of counsel as contemplated by Section 8 hereof, the indemnifying party agrees that it shall be liable for any settlement of any proceeding effected without its written consent if (x) such settlement is entered into more than 30 days after receipt by such indemnifying party of the aforesaid request and (y) such indemnifying party shall not have reimbursed the indemnified party in accordance with such request prior to the date of such settlement.</w:t>
      </w:r>
    </w:p>
    <w:p>
      <w:pPr>
        <w:spacing w:after="0" w:line="183" w:lineRule="exact"/>
        <w:rPr>
          <w:sz w:val="20"/>
          <w:szCs w:val="20"/>
          <w:color w:val="auto"/>
        </w:rPr>
      </w:pPr>
    </w:p>
    <w:p>
      <w:pPr>
        <w:ind w:right="80" w:firstLine="656"/>
        <w:spacing w:after="0" w:line="257" w:lineRule="auto"/>
        <w:tabs>
          <w:tab w:leader="none" w:pos="1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obligations of the SLG Parties under this Section 8 shall be in addition to any liability which the SLG Parties may otherwise have and shall extend, upon the same terms and conditions, to each person, if any, who controls each Underwriter within the meaning of the Securities Act; and the obligations of each Underwriter under this Section 8 shall be in addition to any liability which such Underwriter may otherwise have and shall extend, upon the same terms and conditions, to each officer and director of the SLG Parties and to each person, if any, who controls the SLG Parties within the meaning of the Securities Act.</w:t>
      </w:r>
    </w:p>
    <w:p>
      <w:pPr>
        <w:spacing w:after="0" w:line="188" w:lineRule="exact"/>
        <w:rPr>
          <w:sz w:val="20"/>
          <w:szCs w:val="20"/>
          <w:color w:val="auto"/>
        </w:rPr>
      </w:pPr>
    </w:p>
    <w:p>
      <w:pPr>
        <w:jc w:val="both"/>
        <w:ind w:right="180" w:firstLine="656"/>
        <w:spacing w:after="0" w:line="264"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obligations of the Underwriters hereunder may be terminated by notice from the Underwriters given to and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prior to delivery of and payment for the Securities if, prior to that time, any of the following events shall have occurred or if the Underwriters shall decline to purchase the Securities for any reason permitted under this Agreement:</w:t>
      </w:r>
    </w:p>
    <w:p>
      <w:pPr>
        <w:spacing w:after="0" w:line="181" w:lineRule="exact"/>
        <w:rPr>
          <w:sz w:val="20"/>
          <w:szCs w:val="20"/>
          <w:color w:val="auto"/>
        </w:rPr>
      </w:pPr>
    </w:p>
    <w:p>
      <w:pPr>
        <w:ind w:right="80" w:firstLine="656"/>
        <w:spacing w:after="0" w:line="270" w:lineRule="auto"/>
        <w:tabs>
          <w:tab w:leader="none" w:pos="8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Any of the SLG Parties or any Property shall have sustained, since the date of the latest financial statements included in the Registration Statement, the Prospectus and any Issuer Free Writing Prospectus, any loss or interference with its business from fire, explosion, flood or other calamity, whether or not covered by insurance, or from any labor dispute or court or governmental action, order or decree, otherwise than as set forth or contemplated in the Prospectus or (ii) since the date of the latest financial statements included or incorporated by reference in the Registration Statement, the Time of Sale Information and the Prospectus there shall have been any change in the capital stock or long-term debt of any SLG Party or any change, or any development involving a prospective change, in or affecting any Property or the general affairs, management, financial position, stockholders’ equity or results of operations of any SLG Party, otherwise than as set forth or contemplated in the Registration Statement, the Time of Sale Information and the Prospectus, the effect of which, in any such case described in clause (i) or (ii), is, in the judgment of the Representatives, so material and adverse as to make it impracticable or inadvisable to proceed with the offering or the delivery of the Securities being delivered on the Closing Date on the terms and in the manner contemplated in the Registration Statement, the Time of Sale Information and the Prospectus;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312" w:lineRule="auto"/>
        <w:tabs>
          <w:tab w:leader="none" w:pos="130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have occurred any of the following: (i) trading in securities generally on the New York Stock Exchange or the NYSE American LLC or in the over-the-counter market, or trading in any securities issued or guaranteed by any of the SLG Parties on any exchange or in the over-the-counter market, shall have been suspended or minimum or maximum prices shall have been</w:t>
      </w:r>
    </w:p>
    <w:p>
      <w:pPr>
        <w:sectPr>
          <w:pgSz w:w="11900" w:h="16952" w:orient="portrait"/>
          <w:cols w:equalWidth="0" w:num="1">
            <w:col w:w="11400"/>
          </w:cols>
          <w:pgMar w:left="240" w:top="125" w:right="259" w:bottom="0" w:gutter="0" w:footer="0" w:header="0"/>
        </w:sectPr>
      </w:pPr>
    </w:p>
    <w:bookmarkStart w:id="18" w:name="page19"/>
    <w:bookmarkEnd w:id="18"/>
    <w:p>
      <w:pPr>
        <w:spacing w:after="0" w:line="5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established on any such exchange or such market by the Commission, FINRA or such exchange or by any other regulatory body or governmental authority having jurisdiction, (ii) a banking moratorium shall have been declared by Federal or New York state authorities or a material disruption in commercial banking or securities settlement or clearance services in the United States has occurred, (iii) the United States shall have become engaged in hostilities, there shall have been an escalation in hostilities involving the United States or there shall have been a declaration of a national emergency or war by the United States, or (iv) there shall have occurred any other calamity or crisis or any change or development involving a prospective substantial change in general economic, political or financial conditions (or the effect of international conditions on the financial markets in the United States shall be such) as to make it, in the sole judgment of the Representatives impracticable or inadvisable to proceed with the offering or the delivery of the Securities being delivered on the Closing Date on the terms and in the manner contemplated in the Registration Statement, the Time of Sale Information and the Prospectus; or</w:t>
      </w:r>
    </w:p>
    <w:p>
      <w:pPr>
        <w:spacing w:after="0" w:line="166" w:lineRule="exact"/>
        <w:rPr>
          <w:sz w:val="20"/>
          <w:szCs w:val="20"/>
          <w:color w:val="auto"/>
        </w:rPr>
      </w:pPr>
    </w:p>
    <w:p>
      <w:pPr>
        <w:ind w:right="560" w:firstLine="656"/>
        <w:spacing w:after="0" w:line="277" w:lineRule="auto"/>
        <w:tabs>
          <w:tab w:leader="none" w:pos="1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SLG Parties shall have failed at or prior to the Closing Date to have performed or complied with any of their agreements herein contained and required to be performed or complied with by them hereunder at or prior to the Closing Date.</w:t>
      </w:r>
    </w:p>
    <w:p>
      <w:pPr>
        <w:spacing w:after="0" w:line="170" w:lineRule="exact"/>
        <w:rPr>
          <w:sz w:val="20"/>
          <w:szCs w:val="20"/>
          <w:color w:val="auto"/>
        </w:rPr>
      </w:pPr>
    </w:p>
    <w:p>
      <w:pPr>
        <w:ind w:right="40" w:firstLine="656"/>
        <w:spacing w:after="0" w:line="297" w:lineRule="auto"/>
        <w:tabs>
          <w:tab w:leader="none" w:pos="1292"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If (a) SLG OP shall fail to tender the Securities for delivery to the Representatives by reason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failure, refusal or inability on the part of the SLG Parties to perform any agreement on their part to be performed, or because any condition specified in Sections 5, 9(a) or (c) hereof required to be fulfilled by the SLG Parties is not fulfilled, the SLG Parties will reimburse the Representatives for all reasonable out-of-pocket expenses (including reasonable fees and disbursements of counsel) incurred by the Representatives in connection with this Agreement and the proposed purchase of the Securities, and upon demand the SLG Parties shall pay the full amount thereof to the Representatives.</w:t>
      </w:r>
    </w:p>
    <w:p>
      <w:pPr>
        <w:spacing w:after="0" w:line="158" w:lineRule="exact"/>
        <w:rPr>
          <w:rFonts w:ascii="Arial" w:cs="Arial" w:eastAsia="Arial" w:hAnsi="Arial"/>
          <w:sz w:val="16"/>
          <w:szCs w:val="16"/>
          <w:color w:val="auto"/>
        </w:rPr>
      </w:pPr>
    </w:p>
    <w:p>
      <w:pPr>
        <w:ind w:right="40" w:firstLine="656"/>
        <w:spacing w:after="0" w:line="288" w:lineRule="auto"/>
        <w:tabs>
          <w:tab w:leader="none" w:pos="1285"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No Fiduciary Obligation</w:t>
      </w:r>
      <w:r>
        <w:rPr>
          <w:rFonts w:ascii="Arial" w:cs="Arial" w:eastAsia="Arial" w:hAnsi="Arial"/>
          <w:sz w:val="16"/>
          <w:szCs w:val="16"/>
          <w:color w:val="auto"/>
        </w:rPr>
        <w:t>. The SLG Parties acknowledge and agree that in connection with this offering, sale of the Securities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SLG Parties and any other person, on the one hand, and the Underwriters, on the other, exists with respect to the offering of the Securities or the transactions contemplated by this Agreement; (ii) the Underwriters are not acting as advisor, expert or otherwise, to the SLG Parties including, without limitation, with respect to the determination of the offering price of the Securities, and such relationship between the SLG Parties, on the one hand, and the Underwriters, on the other with respect to the offering of the Securities or the transactions contemplated by this Agreement, is entirely and solely commercial, based on arms-length negotiations; (iii) any duties and obligations that the Underwriters may have to the SLG Parties shall be limited to those duties and obligations specifically stated herein; and (iv) the Underwriters and its affiliates may have interests that differ from those of the SLG Parties. The SLG Parties hereby waive any claims that the SLG Parties may have against the Underwriters with respect to any breach of fiduciary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duty in connection with the offering of the Securities or the transactions contemplated by this Agreement.</w:t>
      </w:r>
    </w:p>
    <w:p>
      <w:pPr>
        <w:spacing w:after="0" w:line="225" w:lineRule="exact"/>
        <w:rPr>
          <w:sz w:val="20"/>
          <w:szCs w:val="20"/>
          <w:color w:val="auto"/>
        </w:rPr>
      </w:pPr>
    </w:p>
    <w:p>
      <w:pPr>
        <w:ind w:firstLine="656"/>
        <w:spacing w:after="0" w:line="289" w:lineRule="auto"/>
        <w:tabs>
          <w:tab w:leader="none" w:pos="129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SLG Parties acknowledge that the Underwriters’ research analysts and research departments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independent from its investment banking divisions and are subject to certain regulations and internal policies, and that such Underwriters’ research analysts may hold views and make statements or investment recommendations and/or publish research reports with respect to the SLG Parties and/or the offering of the Securities that differ from the views of their investment banking divisions. The SLG Parties hereby waive and release, to the fullest extent permitted by law, any claims that the SLG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SLG Parties by such Underwriters’ investment banking divisions. The SLG Parties acknowledge that each Underwriter is a full service securities firm and as such from time to time, subject to applicable securities laws, may effect transactions for its own account or the account of its customers and hold long or short positions in debt or equity securities of the companies which may be the subject of the transactions contemplated by this Agreement.</w:t>
      </w:r>
    </w:p>
    <w:p>
      <w:pPr>
        <w:spacing w:after="0" w:line="166" w:lineRule="exact"/>
        <w:rPr>
          <w:rFonts w:ascii="Arial" w:cs="Arial" w:eastAsia="Arial" w:hAnsi="Arial"/>
          <w:sz w:val="16"/>
          <w:szCs w:val="16"/>
          <w:color w:val="auto"/>
        </w:rPr>
      </w:pPr>
    </w:p>
    <w:p>
      <w:pPr>
        <w:ind w:right="120" w:firstLine="656"/>
        <w:spacing w:after="0" w:line="257" w:lineRule="auto"/>
        <w:tabs>
          <w:tab w:leader="none" w:pos="1292"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 If one or more of the Underwriters shall fail at the Closing Date to purchase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or they are obligated to purchase under this Agreement (the “</w:t>
      </w:r>
      <w:r>
        <w:rPr>
          <w:rFonts w:ascii="Arial" w:cs="Arial" w:eastAsia="Arial" w:hAnsi="Arial"/>
          <w:sz w:val="18"/>
          <w:szCs w:val="18"/>
          <w:u w:val="single" w:color="auto"/>
          <w:color w:val="auto"/>
        </w:rPr>
        <w:t>Defaulted Notes</w:t>
      </w:r>
      <w:r>
        <w:rPr>
          <w:rFonts w:ascii="Arial" w:cs="Arial" w:eastAsia="Arial" w:hAnsi="Arial"/>
          <w:sz w:val="18"/>
          <w:szCs w:val="18"/>
          <w:color w:val="auto"/>
        </w:rPr>
        <w:t>”), the Representatives shall have the right, within 36 hours thereafter, to make arrangements for one or more of the non-defaulting Underwriters, to purchase all, but not less than all, of the Defaulted Notes in such amounts as may be agreed upon and upon the terms herein set forth; if, however, the Representatives shall not have completed such arrangements within such 36-hour period, then:</w:t>
      </w:r>
    </w:p>
    <w:p>
      <w:pPr>
        <w:spacing w:after="0" w:line="188" w:lineRule="exact"/>
        <w:rPr>
          <w:sz w:val="20"/>
          <w:szCs w:val="20"/>
          <w:color w:val="auto"/>
        </w:rPr>
      </w:pPr>
    </w:p>
    <w:p>
      <w:pPr>
        <w:ind w:right="60" w:firstLine="656"/>
        <w:spacing w:after="0" w:line="264" w:lineRule="auto"/>
        <w:tabs>
          <w:tab w:leader="none" w:pos="1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number of Defaulted Notes does not exceed 10% of the number of Notes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81" w:lineRule="exact"/>
        <w:rPr>
          <w:rFonts w:ascii="Arial" w:cs="Arial" w:eastAsia="Arial" w:hAnsi="Arial"/>
          <w:sz w:val="18"/>
          <w:szCs w:val="18"/>
          <w:color w:val="auto"/>
        </w:rPr>
      </w:pPr>
    </w:p>
    <w:p>
      <w:pPr>
        <w:ind w:right="100" w:firstLine="656"/>
        <w:spacing w:after="0" w:line="277" w:lineRule="auto"/>
        <w:tabs>
          <w:tab w:leader="none" w:pos="13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number of Defaulted Notes exceeds 10% of the number of Notes to be purchased on such date, this Agreement, the obligation of the Underwriters to purchase shall terminate without liability on the part of any non-defaulting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Underwriters from liability in respect of its default.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which does not result in a termination of the obligation of the Underwriters to purchase, either the Underwriters or the SLG Parties shall have the right to postpone Closing Date for a period not exceeding seven days in order to effect any required changes in the Registration Statement, the Time of Sale Information or the Prospectus, or in any other documents or arrangements.</w:t>
      </w:r>
    </w:p>
    <w:p>
      <w:pPr>
        <w:spacing w:after="0" w:line="187" w:lineRule="exact"/>
        <w:rPr>
          <w:sz w:val="20"/>
          <w:szCs w:val="20"/>
          <w:color w:val="auto"/>
        </w:rPr>
      </w:pPr>
    </w:p>
    <w:p>
      <w:pPr>
        <w:ind w:left="5620" w:right="3100" w:hanging="4964"/>
        <w:spacing w:after="0" w:line="528" w:lineRule="auto"/>
        <w:tabs>
          <w:tab w:leader="none" w:pos="129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656"/>
        <w:spacing w:after="0" w:line="269" w:lineRule="auto"/>
        <w:tabs>
          <w:tab w:leader="none" w:pos="12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to the Representatives, shall be delivered or sent by mail, telex or facsimile transmission to (i) Wells Fargo Securities, LLC, 550 South Tryon Street,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Charlotte, North Carolina 28202, Attention: Transaction Management, Facsimile: (704) 410-0326 and (ii) J.P. Morgan Securities LLC, 383 Madison Avenue, New York, New York 10179, Attention: Debt Syndicate Desk, Facsimile: (212) 834-6081] with a copy, which shall not constitute notice, to Fried, Frank, Harris, Shriver &amp; Jacobson LLP at One New York Plaza, New York, New York 10004, Attention: Stuart Gelfond, Facsimile: (212)</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859-4000;</w:t>
      </w:r>
    </w:p>
    <w:p>
      <w:pPr>
        <w:sectPr>
          <w:pgSz w:w="11900" w:h="16888" w:orient="portrait"/>
          <w:cols w:equalWidth="0" w:num="1">
            <w:col w:w="11380"/>
          </w:cols>
          <w:pgMar w:left="240" w:top="125" w:right="279" w:bottom="0" w:gutter="0" w:footer="0" w:header="0"/>
        </w:sectPr>
      </w:pPr>
    </w:p>
    <w:bookmarkStart w:id="19" w:name="page20"/>
    <w:bookmarkEnd w:id="19"/>
    <w:p>
      <w:pPr>
        <w:ind w:right="80" w:firstLine="697"/>
        <w:spacing w:after="0" w:line="279" w:lineRule="auto"/>
        <w:tabs>
          <w:tab w:leader="none" w:pos="1304"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to the SLG Parties shall be delivered or sent by mail, telex or facsimile transmission, separately to SL Green Realty Corp. 420 Lexington Avenue, New York, New York 10170, Attention: Marc Holliday, Facsimile: (212) 216-1776 and SL Green Realty Corp., 420 Lexington Avenue, New York, New York, Attention: Andrew Levine, Facsimile: (646) 293-1356, with a copy, which shall not constitute notice, to Skadden, Arps, Slate, Meagher &amp; Flom LLP, Four Times Square, New York, NY, 10036, Attention: David J. Goldschmidt, Facsimile: (917) 777-3574.</w:t>
      </w:r>
    </w:p>
    <w:p>
      <w:pPr>
        <w:spacing w:after="0" w:line="171" w:lineRule="exact"/>
        <w:rPr>
          <w:rFonts w:ascii="Arial" w:cs="Arial" w:eastAsia="Arial" w:hAnsi="Arial"/>
          <w:sz w:val="17"/>
          <w:szCs w:val="17"/>
          <w:color w:val="auto"/>
        </w:rPr>
      </w:pPr>
    </w:p>
    <w:p>
      <w:pPr>
        <w:ind w:firstLine="656"/>
        <w:spacing w:after="0" w:line="254"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Persons Entitled to Benefit of Agreement. </w:t>
      </w:r>
      <w:r>
        <w:rPr>
          <w:rFonts w:ascii="Arial" w:cs="Arial" w:eastAsia="Arial" w:hAnsi="Arial"/>
          <w:sz w:val="18"/>
          <w:szCs w:val="18"/>
          <w:color w:val="auto"/>
        </w:rPr>
        <w:t>This Agreement shall inure to the benefit of and be binding upon the Underwriters, the SLG</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their respective personal representatives and successors. This Agreement and the terms and provisions hereof are for the sole benefit of only those persons, except that (a) the representations, warranties, indemnities and agreements of the SLG Parties contained in this Agreement shall also be deemed to be for the benefit of directors and officers of the Underwriters and any person or persons, if any, who control the Underwriters within the meaning of Section 15 of the Securities Act and (b) the indemnity agreement of the Underwriters contained in Section 8(b) of this Agreement shall be deemed to be for the benefit of any person controlling the SLG Parties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92" w:lineRule="exact"/>
        <w:rPr>
          <w:rFonts w:ascii="Arial" w:cs="Arial" w:eastAsia="Arial" w:hAnsi="Arial"/>
          <w:sz w:val="18"/>
          <w:szCs w:val="18"/>
          <w:color w:val="auto"/>
        </w:rPr>
      </w:pPr>
    </w:p>
    <w:p>
      <w:pPr>
        <w:ind w:right="40" w:firstLine="656"/>
        <w:spacing w:after="0" w:line="259"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respective indemnities, rights of contribution, representations, warranties and agreements of the SLG Parties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on them, respectively, pursuant to this Agreement, shall survive the delivery of and payment for the Securities and shall remain in full force and effect, regardless of any termination of this Agreement or any investigation made by or on behalf of any of them or any person controlling any of them.</w:t>
      </w:r>
    </w:p>
    <w:p>
      <w:pPr>
        <w:spacing w:after="0" w:line="186" w:lineRule="exact"/>
        <w:rPr>
          <w:rFonts w:ascii="Arial" w:cs="Arial" w:eastAsia="Arial" w:hAnsi="Arial"/>
          <w:sz w:val="18"/>
          <w:szCs w:val="18"/>
          <w:color w:val="auto"/>
        </w:rPr>
      </w:pPr>
    </w:p>
    <w:p>
      <w:pPr>
        <w:ind w:right="20" w:firstLine="656"/>
        <w:spacing w:after="0" w:line="277"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the Terms “Business Day” and “subsidiary.” </w:t>
      </w:r>
      <w:r>
        <w:rPr>
          <w:rFonts w:ascii="Arial" w:cs="Arial" w:eastAsia="Arial" w:hAnsi="Arial"/>
          <w:sz w:val="18"/>
          <w:szCs w:val="18"/>
          <w:color w:val="auto"/>
        </w:rPr>
        <w:t>For purposes of this Agreement, (a) “business day” means any day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Inc. is open for trading and (b) “subsidiary” has the meaning set forth in Rule 405 of the Securities Act.</w:t>
      </w:r>
    </w:p>
    <w:p>
      <w:pPr>
        <w:spacing w:after="0" w:line="170" w:lineRule="exact"/>
        <w:rPr>
          <w:rFonts w:ascii="Arial" w:cs="Arial" w:eastAsia="Arial" w:hAnsi="Arial"/>
          <w:sz w:val="18"/>
          <w:szCs w:val="18"/>
          <w:color w:val="auto"/>
        </w:rPr>
      </w:pPr>
    </w:p>
    <w:p>
      <w:pPr>
        <w:ind w:right="300" w:firstLine="656"/>
        <w:spacing w:after="0" w:line="259" w:lineRule="auto"/>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New York.</w:t>
      </w:r>
    </w:p>
    <w:p>
      <w:pPr>
        <w:spacing w:after="0" w:line="225" w:lineRule="exact"/>
        <w:rPr>
          <w:rFonts w:ascii="Arial" w:cs="Arial" w:eastAsia="Arial" w:hAnsi="Arial"/>
          <w:sz w:val="18"/>
          <w:szCs w:val="18"/>
          <w:color w:val="auto"/>
        </w:rPr>
      </w:pPr>
    </w:p>
    <w:p>
      <w:pPr>
        <w:ind w:right="20" w:firstLine="656"/>
        <w:spacing w:after="0" w:line="264"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one or more counterparts (which may include counterparts delivered electronically)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if executed in more than one counterpart, the executed counterparts shall each be deemed to be an original but all such counterparts shall together constitute one and the same instrument.</w:t>
      </w:r>
    </w:p>
    <w:p>
      <w:pPr>
        <w:spacing w:after="0" w:line="181" w:lineRule="exact"/>
        <w:rPr>
          <w:rFonts w:ascii="Arial" w:cs="Arial" w:eastAsia="Arial" w:hAnsi="Arial"/>
          <w:sz w:val="18"/>
          <w:szCs w:val="18"/>
          <w:color w:val="auto"/>
        </w:rPr>
      </w:pPr>
    </w:p>
    <w:p>
      <w:pPr>
        <w:ind w:right="60" w:firstLine="656"/>
        <w:spacing w:after="0" w:line="277"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If the foregoing correctly sets forth the agreement between the SLG Parties and the Underwriters, please indicate your acceptance in the space provided for that purpose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APPEAR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REALTY CORP.</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SL Green Realty Corp.,</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RECKSON OPERATING PARTNERSHIP, L.P.</w:t>
      </w:r>
    </w:p>
    <w:p>
      <w:pPr>
        <w:sectPr>
          <w:pgSz w:w="11900" w:h="16838" w:orient="portrait"/>
          <w:cols w:equalWidth="0" w:num="1">
            <w:col w:w="11420"/>
          </w:cols>
          <w:pgMar w:left="240" w:top="341" w:right="239" w:bottom="225" w:gutter="0" w:footer="0" w:header="0"/>
        </w:sectPr>
      </w:pPr>
    </w:p>
    <w:bookmarkStart w:id="20" w:name="page21"/>
    <w:bookmarkEnd w:id="20"/>
    <w:tbl>
      <w:tblPr>
        <w:tblLayout w:type="fixed"/>
        <w:tblInd w:w="57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Wyoming Acquisition GP LLC,</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date first above written: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Carolyn Hurley</w:t>
      </w:r>
    </w:p>
    <w:p>
      <w:pPr>
        <w:spacing w:after="0" w:line="23"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Stephen L. Sheiner</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r>
      <w:tr>
        <w:trPr>
          <w:trHeight w:val="175"/>
        </w:trPr>
        <w:tc>
          <w:tcPr>
            <w:tcW w:w="64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Stephen L. Sheiner</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40"/>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80" w:type="dxa"/>
            <w:vAlign w:val="bottom"/>
            <w:gridSpan w:val="3"/>
          </w:tcPr>
          <w:p>
            <w:pPr>
              <w:jc w:val="right"/>
              <w:ind w:right="3750"/>
              <w:spacing w:after="0"/>
              <w:rPr>
                <w:sz w:val="20"/>
                <w:szCs w:val="20"/>
                <w:color w:val="auto"/>
              </w:rPr>
            </w:pPr>
            <w:r>
              <w:rPr>
                <w:rFonts w:ascii="Arial" w:cs="Arial" w:eastAsia="Arial" w:hAnsi="Arial"/>
                <w:sz w:val="18"/>
                <w:szCs w:val="18"/>
                <w:b w:val="1"/>
                <w:bCs w:val="1"/>
                <w:color w:val="auto"/>
              </w:rPr>
              <w:t>SCHEDULE I</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Underwriter</w:t>
            </w:r>
          </w:p>
        </w:tc>
        <w:tc>
          <w:tcPr>
            <w:tcW w:w="5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 be 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6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104,165,000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6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83,335,000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6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20,832,000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Sheet/Pricing Supplement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SL GREEN OPERATING PARTNERSHIP, L.P.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Fully and unconditionally guaranteed by SL Green Realty Corp. and Reckson Operating Partnership, L.P.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$500,000,000 3.250% Senior Notes due 2022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Pricing Term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October 3, 2017</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SL Green Operating Partnership, L.P.</w:t>
      </w:r>
    </w:p>
    <w:p>
      <w:pPr>
        <w:sectPr>
          <w:pgSz w:w="11900" w:h="16838"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Guarantors:</w:t>
            </w:r>
          </w:p>
        </w:tc>
        <w:tc>
          <w:tcPr>
            <w:tcW w:w="7460" w:type="dxa"/>
            <w:vAlign w:val="bottom"/>
          </w:tcPr>
          <w:p>
            <w:pPr>
              <w:ind w:left="1720"/>
              <w:spacing w:after="0"/>
              <w:rPr>
                <w:sz w:val="20"/>
                <w:szCs w:val="20"/>
                <w:color w:val="auto"/>
              </w:rPr>
            </w:pPr>
            <w:r>
              <w:rPr>
                <w:rFonts w:ascii="Arial" w:cs="Arial" w:eastAsia="Arial" w:hAnsi="Arial"/>
                <w:sz w:val="18"/>
                <w:szCs w:val="18"/>
                <w:color w:val="auto"/>
              </w:rPr>
              <w:t>SL Green Realty Corp.</w:t>
            </w:r>
          </w:p>
        </w:tc>
      </w:tr>
      <w:tr>
        <w:trPr>
          <w:trHeight w:val="230"/>
        </w:trPr>
        <w:tc>
          <w:tcPr>
            <w:tcW w:w="400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Reckson Operating Partnership, L.P.</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Security Type:</w:t>
            </w:r>
          </w:p>
        </w:tc>
        <w:tc>
          <w:tcPr>
            <w:tcW w:w="7460" w:type="dxa"/>
            <w:vAlign w:val="bottom"/>
          </w:tcPr>
          <w:p>
            <w:pPr>
              <w:ind w:left="1720"/>
              <w:spacing w:after="0"/>
              <w:rPr>
                <w:sz w:val="20"/>
                <w:szCs w:val="20"/>
                <w:color w:val="auto"/>
              </w:rPr>
            </w:pPr>
            <w:r>
              <w:rPr>
                <w:rFonts w:ascii="Arial" w:cs="Arial" w:eastAsia="Arial" w:hAnsi="Arial"/>
                <w:sz w:val="18"/>
                <w:szCs w:val="18"/>
                <w:color w:val="auto"/>
              </w:rPr>
              <w:t>Senior Unsecured Notes</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Principal Amount Offered:</w:t>
            </w:r>
          </w:p>
        </w:tc>
        <w:tc>
          <w:tcPr>
            <w:tcW w:w="7460" w:type="dxa"/>
            <w:vAlign w:val="bottom"/>
          </w:tcPr>
          <w:p>
            <w:pPr>
              <w:ind w:left="1720"/>
              <w:spacing w:after="0"/>
              <w:rPr>
                <w:sz w:val="20"/>
                <w:szCs w:val="20"/>
                <w:color w:val="auto"/>
              </w:rPr>
            </w:pPr>
            <w:r>
              <w:rPr>
                <w:rFonts w:ascii="Arial" w:cs="Arial" w:eastAsia="Arial" w:hAnsi="Arial"/>
                <w:sz w:val="18"/>
                <w:szCs w:val="18"/>
                <w:color w:val="auto"/>
              </w:rPr>
              <w:t>$500,000,000</w:t>
            </w: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Use of Proceeds:</w:t>
            </w:r>
          </w:p>
        </w:tc>
        <w:tc>
          <w:tcPr>
            <w:tcW w:w="7460" w:type="dxa"/>
            <w:vAlign w:val="bottom"/>
          </w:tcPr>
          <w:p>
            <w:pPr>
              <w:ind w:left="1720"/>
              <w:spacing w:after="0"/>
              <w:rPr>
                <w:sz w:val="20"/>
                <w:szCs w:val="20"/>
                <w:color w:val="auto"/>
              </w:rPr>
            </w:pPr>
            <w:r>
              <w:rPr>
                <w:rFonts w:ascii="Arial" w:cs="Arial" w:eastAsia="Arial" w:hAnsi="Arial"/>
                <w:sz w:val="18"/>
                <w:szCs w:val="18"/>
                <w:color w:val="auto"/>
                <w:w w:val="91"/>
              </w:rPr>
              <w:t>The Issuer intends to use the net proceeds from the sale of the Notes to repay</w:t>
            </w:r>
          </w:p>
        </w:tc>
      </w:tr>
      <w:tr>
        <w:trPr>
          <w:trHeight w:val="216"/>
        </w:trPr>
        <w:tc>
          <w:tcPr>
            <w:tcW w:w="4000" w:type="dxa"/>
            <w:vAlign w:val="bottom"/>
          </w:tcPr>
          <w:p>
            <w:pPr>
              <w:spacing w:after="0"/>
              <w:rPr>
                <w:sz w:val="18"/>
                <w:szCs w:val="18"/>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w w:val="92"/>
              </w:rPr>
              <w:t>the Issuer’s outstanding 3.00% Exchangeable Senior Notes due 2017 and the</w:t>
            </w:r>
          </w:p>
        </w:tc>
      </w:tr>
      <w:tr>
        <w:trPr>
          <w:trHeight w:val="216"/>
        </w:trPr>
        <w:tc>
          <w:tcPr>
            <w:tcW w:w="4000" w:type="dxa"/>
            <w:vAlign w:val="bottom"/>
          </w:tcPr>
          <w:p>
            <w:pPr>
              <w:spacing w:after="0"/>
              <w:rPr>
                <w:sz w:val="18"/>
                <w:szCs w:val="18"/>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w w:val="98"/>
              </w:rPr>
              <w:t>balance for general corporate purposes, which may include, among other</w:t>
            </w:r>
          </w:p>
        </w:tc>
      </w:tr>
      <w:tr>
        <w:trPr>
          <w:trHeight w:val="230"/>
        </w:trPr>
        <w:tc>
          <w:tcPr>
            <w:tcW w:w="400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things, the repayment of other existing indebtedness</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Trade Date:</w:t>
            </w:r>
          </w:p>
        </w:tc>
        <w:tc>
          <w:tcPr>
            <w:tcW w:w="7460" w:type="dxa"/>
            <w:vAlign w:val="bottom"/>
          </w:tcPr>
          <w:p>
            <w:pPr>
              <w:ind w:left="1720"/>
              <w:spacing w:after="0"/>
              <w:rPr>
                <w:sz w:val="20"/>
                <w:szCs w:val="20"/>
                <w:color w:val="auto"/>
              </w:rPr>
            </w:pPr>
            <w:r>
              <w:rPr>
                <w:rFonts w:ascii="Arial" w:cs="Arial" w:eastAsia="Arial" w:hAnsi="Arial"/>
                <w:sz w:val="18"/>
                <w:szCs w:val="18"/>
                <w:color w:val="auto"/>
              </w:rPr>
              <w:t>October 3, 2017</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Settlement Date:</w:t>
            </w:r>
          </w:p>
        </w:tc>
        <w:tc>
          <w:tcPr>
            <w:tcW w:w="7460" w:type="dxa"/>
            <w:vAlign w:val="bottom"/>
          </w:tcPr>
          <w:p>
            <w:pPr>
              <w:ind w:left="1720"/>
              <w:spacing w:after="0"/>
              <w:rPr>
                <w:sz w:val="20"/>
                <w:szCs w:val="20"/>
                <w:color w:val="auto"/>
              </w:rPr>
            </w:pPr>
            <w:r>
              <w:rPr>
                <w:rFonts w:ascii="Arial" w:cs="Arial" w:eastAsia="Arial" w:hAnsi="Arial"/>
                <w:sz w:val="18"/>
                <w:szCs w:val="18"/>
                <w:color w:val="auto"/>
              </w:rPr>
              <w:t>October 5, 2017 (T+2)</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Maturity Date:</w:t>
            </w:r>
          </w:p>
        </w:tc>
        <w:tc>
          <w:tcPr>
            <w:tcW w:w="7460" w:type="dxa"/>
            <w:vAlign w:val="bottom"/>
          </w:tcPr>
          <w:p>
            <w:pPr>
              <w:ind w:left="1720"/>
              <w:spacing w:after="0"/>
              <w:rPr>
                <w:sz w:val="20"/>
                <w:szCs w:val="20"/>
                <w:color w:val="auto"/>
              </w:rPr>
            </w:pPr>
            <w:r>
              <w:rPr>
                <w:rFonts w:ascii="Arial" w:cs="Arial" w:eastAsia="Arial" w:hAnsi="Arial"/>
                <w:sz w:val="18"/>
                <w:szCs w:val="18"/>
                <w:color w:val="auto"/>
              </w:rPr>
              <w:t>October 15, 2022</w:t>
            </w: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460" w:type="dxa"/>
            <w:vAlign w:val="bottom"/>
          </w:tcPr>
          <w:p>
            <w:pPr>
              <w:ind w:left="1720"/>
              <w:spacing w:after="0"/>
              <w:rPr>
                <w:sz w:val="20"/>
                <w:szCs w:val="20"/>
                <w:color w:val="auto"/>
              </w:rPr>
            </w:pPr>
            <w:r>
              <w:rPr>
                <w:rFonts w:ascii="Arial" w:cs="Arial" w:eastAsia="Arial" w:hAnsi="Arial"/>
                <w:sz w:val="18"/>
                <w:szCs w:val="18"/>
                <w:color w:val="auto"/>
              </w:rPr>
              <w:t>Semi-annually on April 15 and October 15 of each year, beginning on</w:t>
            </w:r>
          </w:p>
        </w:tc>
      </w:tr>
      <w:tr>
        <w:trPr>
          <w:trHeight w:val="230"/>
        </w:trPr>
        <w:tc>
          <w:tcPr>
            <w:tcW w:w="400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April 15, 2018</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Benchmark Treasury:</w:t>
            </w:r>
          </w:p>
        </w:tc>
        <w:tc>
          <w:tcPr>
            <w:tcW w:w="7460" w:type="dxa"/>
            <w:vAlign w:val="bottom"/>
          </w:tcPr>
          <w:p>
            <w:pPr>
              <w:ind w:left="1720"/>
              <w:spacing w:after="0"/>
              <w:rPr>
                <w:sz w:val="20"/>
                <w:szCs w:val="20"/>
                <w:color w:val="auto"/>
              </w:rPr>
            </w:pPr>
            <w:r>
              <w:rPr>
                <w:rFonts w:ascii="Arial" w:cs="Arial" w:eastAsia="Arial" w:hAnsi="Arial"/>
                <w:sz w:val="18"/>
                <w:szCs w:val="18"/>
                <w:color w:val="auto"/>
              </w:rPr>
              <w:t>1.875% due September 30, 2022</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7460" w:type="dxa"/>
            <w:vAlign w:val="bottom"/>
          </w:tcPr>
          <w:p>
            <w:pPr>
              <w:ind w:left="1720"/>
              <w:spacing w:after="0"/>
              <w:rPr>
                <w:sz w:val="20"/>
                <w:szCs w:val="20"/>
                <w:color w:val="auto"/>
              </w:rPr>
            </w:pPr>
            <w:r>
              <w:rPr>
                <w:rFonts w:ascii="Arial" w:cs="Arial" w:eastAsia="Arial" w:hAnsi="Arial"/>
                <w:sz w:val="18"/>
                <w:szCs w:val="18"/>
                <w:color w:val="auto"/>
              </w:rPr>
              <w:t>1.923%</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460" w:type="dxa"/>
            <w:vAlign w:val="bottom"/>
          </w:tcPr>
          <w:p>
            <w:pPr>
              <w:ind w:left="1720"/>
              <w:spacing w:after="0"/>
              <w:rPr>
                <w:sz w:val="20"/>
                <w:szCs w:val="20"/>
                <w:color w:val="auto"/>
              </w:rPr>
            </w:pPr>
            <w:r>
              <w:rPr>
                <w:rFonts w:ascii="Arial" w:cs="Arial" w:eastAsia="Arial" w:hAnsi="Arial"/>
                <w:sz w:val="18"/>
                <w:szCs w:val="18"/>
                <w:color w:val="auto"/>
              </w:rPr>
              <w:t>135 bps</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Coupon (per annum):</w:t>
            </w:r>
          </w:p>
        </w:tc>
        <w:tc>
          <w:tcPr>
            <w:tcW w:w="7460" w:type="dxa"/>
            <w:vAlign w:val="bottom"/>
          </w:tcPr>
          <w:p>
            <w:pPr>
              <w:ind w:left="1720"/>
              <w:spacing w:after="0"/>
              <w:rPr>
                <w:sz w:val="20"/>
                <w:szCs w:val="20"/>
                <w:color w:val="auto"/>
              </w:rPr>
            </w:pPr>
            <w:r>
              <w:rPr>
                <w:rFonts w:ascii="Arial" w:cs="Arial" w:eastAsia="Arial" w:hAnsi="Arial"/>
                <w:sz w:val="18"/>
                <w:szCs w:val="18"/>
                <w:color w:val="auto"/>
              </w:rPr>
              <w:t>3.250%</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Public Offering Price:</w:t>
            </w:r>
          </w:p>
        </w:tc>
        <w:tc>
          <w:tcPr>
            <w:tcW w:w="7460" w:type="dxa"/>
            <w:vAlign w:val="bottom"/>
          </w:tcPr>
          <w:p>
            <w:pPr>
              <w:ind w:left="1720"/>
              <w:spacing w:after="0"/>
              <w:rPr>
                <w:sz w:val="20"/>
                <w:szCs w:val="20"/>
                <w:color w:val="auto"/>
              </w:rPr>
            </w:pPr>
            <w:r>
              <w:rPr>
                <w:rFonts w:ascii="Arial" w:cs="Arial" w:eastAsia="Arial" w:hAnsi="Arial"/>
                <w:sz w:val="18"/>
                <w:szCs w:val="18"/>
                <w:color w:val="auto"/>
              </w:rPr>
              <w:t>99.893%</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Underwriting Discount:</w:t>
            </w:r>
          </w:p>
        </w:tc>
        <w:tc>
          <w:tcPr>
            <w:tcW w:w="7460" w:type="dxa"/>
            <w:vAlign w:val="bottom"/>
          </w:tcPr>
          <w:p>
            <w:pPr>
              <w:ind w:left="1720"/>
              <w:spacing w:after="0"/>
              <w:rPr>
                <w:sz w:val="20"/>
                <w:szCs w:val="20"/>
                <w:color w:val="auto"/>
              </w:rPr>
            </w:pPr>
            <w:r>
              <w:rPr>
                <w:rFonts w:ascii="Arial" w:cs="Arial" w:eastAsia="Arial" w:hAnsi="Arial"/>
                <w:sz w:val="18"/>
                <w:szCs w:val="18"/>
                <w:color w:val="auto"/>
              </w:rPr>
              <w:t>0.600%</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Re-offer Yield:</w:t>
            </w:r>
          </w:p>
        </w:tc>
        <w:tc>
          <w:tcPr>
            <w:tcW w:w="7460" w:type="dxa"/>
            <w:vAlign w:val="bottom"/>
          </w:tcPr>
          <w:p>
            <w:pPr>
              <w:ind w:left="1720"/>
              <w:spacing w:after="0"/>
              <w:rPr>
                <w:sz w:val="20"/>
                <w:szCs w:val="20"/>
                <w:color w:val="auto"/>
              </w:rPr>
            </w:pPr>
            <w:r>
              <w:rPr>
                <w:rFonts w:ascii="Arial" w:cs="Arial" w:eastAsia="Arial" w:hAnsi="Arial"/>
                <w:sz w:val="18"/>
                <w:szCs w:val="18"/>
                <w:color w:val="auto"/>
              </w:rPr>
              <w:t>3.273%</w:t>
            </w: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Optional Redemption:</w:t>
            </w:r>
          </w:p>
        </w:tc>
        <w:tc>
          <w:tcPr>
            <w:tcW w:w="7460" w:type="dxa"/>
            <w:vAlign w:val="bottom"/>
          </w:tcPr>
          <w:p>
            <w:pPr>
              <w:ind w:left="1720"/>
              <w:spacing w:after="0"/>
              <w:rPr>
                <w:sz w:val="20"/>
                <w:szCs w:val="20"/>
                <w:color w:val="auto"/>
              </w:rPr>
            </w:pPr>
            <w:r>
              <w:rPr>
                <w:rFonts w:ascii="Arial" w:cs="Arial" w:eastAsia="Arial" w:hAnsi="Arial"/>
                <w:sz w:val="18"/>
                <w:szCs w:val="18"/>
                <w:color w:val="auto"/>
                <w:w w:val="91"/>
              </w:rPr>
              <w:t>Make-whole call at any time prior to September 15, 2022, at the Treasury Rate</w:t>
            </w:r>
          </w:p>
        </w:tc>
      </w:tr>
      <w:tr>
        <w:trPr>
          <w:trHeight w:val="230"/>
        </w:trPr>
        <w:tc>
          <w:tcPr>
            <w:tcW w:w="400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plus 25 basis points;</w:t>
            </w:r>
          </w:p>
        </w:tc>
      </w:tr>
      <w:tr>
        <w:trPr>
          <w:trHeight w:val="348"/>
        </w:trPr>
        <w:tc>
          <w:tcPr>
            <w:tcW w:w="400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On or after September 15, 2022 (one month prior to the maturity date), the</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redemption price for the notes will equal 100% of the principal amount of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notes</w:t>
      </w:r>
    </w:p>
    <w:p>
      <w:pPr>
        <w:sectPr>
          <w:pgSz w:w="11900" w:h="16838" w:orient="portrait"/>
          <w:cols w:equalWidth="0" w:num="1">
            <w:col w:w="11460"/>
          </w:cols>
          <w:pgMar w:left="240" w:top="341"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Day Count Convention: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30/360</w:t>
      </w:r>
    </w:p>
    <w:p>
      <w:pPr>
        <w:spacing w:after="0" w:line="200" w:lineRule="exact"/>
        <w:rPr>
          <w:sz w:val="20"/>
          <w:szCs w:val="20"/>
          <w:color w:val="auto"/>
        </w:rPr>
      </w:pPr>
    </w:p>
    <w:p>
      <w:pPr>
        <w:sectPr>
          <w:pgSz w:w="11900" w:h="16838" w:orient="portrait"/>
          <w:cols w:equalWidth="0" w:num="2">
            <w:col w:w="5000" w:space="720"/>
            <w:col w:w="5740"/>
          </w:cols>
          <w:pgMar w:left="240" w:top="341"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00" w:lineRule="exact"/>
        <w:rPr>
          <w:sz w:val="20"/>
          <w:szCs w:val="20"/>
          <w:color w:val="auto"/>
        </w:rPr>
      </w:pPr>
    </w:p>
    <w:p>
      <w:pPr>
        <w:sectPr>
          <w:pgSz w:w="11900" w:h="16838" w:orient="portrait"/>
          <w:cols w:equalWidth="0" w:num="2">
            <w:col w:w="5000" w:space="720"/>
            <w:col w:w="5740"/>
          </w:cols>
          <w:pgMar w:left="240" w:top="341"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78444F AF3 / US78444FAF36</w:t>
      </w:r>
    </w:p>
    <w:p>
      <w:pPr>
        <w:spacing w:after="0" w:line="211" w:lineRule="exact"/>
        <w:rPr>
          <w:sz w:val="20"/>
          <w:szCs w:val="20"/>
          <w:color w:val="auto"/>
        </w:rPr>
      </w:pPr>
    </w:p>
    <w:p>
      <w:pPr>
        <w:sectPr>
          <w:pgSz w:w="11900" w:h="16838" w:orient="portrait"/>
          <w:cols w:equalWidth="0" w:num="2">
            <w:col w:w="5000" w:space="720"/>
            <w:col w:w="5740"/>
          </w:cols>
          <w:pgMar w:left="240" w:top="341"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200" w:lineRule="exact"/>
        <w:rPr>
          <w:sz w:val="20"/>
          <w:szCs w:val="20"/>
          <w:color w:val="auto"/>
        </w:rPr>
      </w:pPr>
    </w:p>
    <w:p>
      <w:pPr>
        <w:sectPr>
          <w:pgSz w:w="11900" w:h="16838" w:orient="portrait"/>
          <w:cols w:equalWidth="0" w:num="2">
            <w:col w:w="5000" w:space="720"/>
            <w:col w:w="5740"/>
          </w:cols>
          <w:pgMar w:left="240" w:top="341" w:right="19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00" w:lineRule="exact"/>
        <w:rPr>
          <w:sz w:val="20"/>
          <w:szCs w:val="20"/>
          <w:color w:val="auto"/>
        </w:rPr>
      </w:pPr>
    </w:p>
    <w:p>
      <w:pPr>
        <w:sectPr>
          <w:pgSz w:w="11900" w:h="16838" w:orient="portrait"/>
          <w:cols w:equalWidth="0" w:num="2">
            <w:col w:w="5000" w:space="720"/>
            <w:col w:w="5740"/>
          </w:cols>
          <w:pgMar w:left="240" w:top="341" w:right="199" w:bottom="0" w:gutter="0" w:footer="0" w:header="0"/>
          <w:type w:val="continuous"/>
        </w:sectPr>
      </w:pPr>
    </w:p>
    <w:p>
      <w:pPr>
        <w:spacing w:after="0" w:line="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Issuer and the Guarantors have filed a registration statement (including a preliminary prospectus supplement and a prospectus) with the Securities and Exchange Commission (SEC) for the offering to which this communication relates. Before you invest, you should read the preliminary prospectus supplement for this offering, the Issuer’s and the Guarantors’ prospectus in that registration statement and any other documents the Issuer or the Guarantors have filed with the SEC for more complete information about the Issuer, the Guarantors and this offering. You may get these documents for free by searching the SEC online data base (EDGAR) on the SEC web site at http://www.sec.gov. Alternatively, the Issuer, the Guarantors, any underwriter or any dealer participating in the offering will arrange to send you the prospectus supplement and prospectus if you request it by calling Wells Fargo Securities, LLC toll-free at 1-800-645-3751.</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pricing term sheet supplements the preliminary prospectus supplement issued by Issuer and the Guarantors on October 3, 2017 relating to the Issuer and the Guarantors’ prospectus dated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460"/>
          </w:cols>
          <w:pgMar w:left="240" w:top="341" w:right="199" w:bottom="0" w:gutter="0" w:footer="0" w:header="0"/>
          <w:type w:val="continuous"/>
        </w:sectPr>
      </w:pPr>
    </w:p>
    <w:bookmarkStart w:id="22" w:name="page23"/>
    <w:bookmarkEnd w:id="22"/>
    <w:p>
      <w:pPr>
        <w:spacing w:after="0" w:line="1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information appearing in the Time of Sale Information and Prospectus Supplement has been furnished by the Underwriters expressly for use in the preparation of the Prospectus Supplement:</w:t>
      </w:r>
    </w:p>
    <w:p>
      <w:pPr>
        <w:spacing w:after="0" w:line="170" w:lineRule="exact"/>
        <w:rPr>
          <w:sz w:val="20"/>
          <w:szCs w:val="20"/>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of the Underwriters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Underwriters confirm and the SLG Parties acknowledge and agree that the information set forth above constitutes the only information furnished in writing to the SLG Parties by the Underwriters specifically for inclusion in the Preliminary Prospectus, any Issuer Free Writing Prospectus and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solely on our review of the Delaware Certificates, each Delaware Opinion Party is validly existing and in good standing under DRULPA.</w:t>
      </w:r>
    </w:p>
    <w:p>
      <w:pPr>
        <w:spacing w:after="0" w:line="236" w:lineRule="exact"/>
        <w:rPr>
          <w:rFonts w:ascii="Arial" w:cs="Arial" w:eastAsia="Arial" w:hAnsi="Arial"/>
          <w:sz w:val="17"/>
          <w:szCs w:val="17"/>
          <w:color w:val="auto"/>
        </w:rPr>
      </w:pPr>
    </w:p>
    <w:p>
      <w:pPr>
        <w:ind w:right="28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solely on our review of the SL Green OP Foreign Qualification Certificate, SL Green OP has the status identified on Schedule B hereto set forth opposite the jurisdiction identified on such Schedule as of the date identified on such Schedule.</w:t>
      </w:r>
    </w:p>
    <w:p>
      <w:pPr>
        <w:spacing w:after="0" w:line="170" w:lineRule="exact"/>
        <w:rPr>
          <w:rFonts w:ascii="Arial" w:cs="Arial" w:eastAsia="Arial" w:hAnsi="Arial"/>
          <w:sz w:val="18"/>
          <w:szCs w:val="18"/>
          <w:color w:val="auto"/>
        </w:rPr>
      </w:pPr>
    </w:p>
    <w:p>
      <w:pPr>
        <w:ind w:right="8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solely on our review of the Company Foreign Qualification Certificates, the Company has the status identified on Schedule C hereto set forth opposite the jurisdictions identified on such Schedule, in each case, as of the date identified on such Schedule.</w:t>
      </w:r>
    </w:p>
    <w:p>
      <w:pPr>
        <w:spacing w:after="0" w:line="170" w:lineRule="exact"/>
        <w:rPr>
          <w:rFonts w:ascii="Arial" w:cs="Arial" w:eastAsia="Arial" w:hAnsi="Arial"/>
          <w:sz w:val="18"/>
          <w:szCs w:val="18"/>
          <w:color w:val="auto"/>
        </w:rPr>
      </w:pPr>
    </w:p>
    <w:p>
      <w:pPr>
        <w:ind w:right="50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solely on our review of the Reckson Foreign Qualification Certificates, Reckson has the status identified on Schedule D hereto set forth opposite the jurisdictions identified on such Schedule, in each case, as of the date identified on such Schedule.</w:t>
      </w:r>
    </w:p>
    <w:p>
      <w:pPr>
        <w:spacing w:after="0" w:line="170" w:lineRule="exact"/>
        <w:rPr>
          <w:rFonts w:ascii="Arial" w:cs="Arial" w:eastAsia="Arial" w:hAnsi="Arial"/>
          <w:sz w:val="18"/>
          <w:szCs w:val="18"/>
          <w:color w:val="auto"/>
        </w:rPr>
      </w:pPr>
    </w:p>
    <w:p>
      <w:pPr>
        <w:ind w:right="10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Delaware Opinion Party has the limited partnership power and authority to consummate the issuance and sale of the Securities and to execute, deliver and perform all its obligations under each of the Transaction Agreements under DRULPA.</w:t>
      </w:r>
    </w:p>
    <w:p>
      <w:pPr>
        <w:spacing w:after="0" w:line="170" w:lineRule="exact"/>
        <w:rPr>
          <w:rFonts w:ascii="Arial" w:cs="Arial" w:eastAsia="Arial" w:hAnsi="Arial"/>
          <w:sz w:val="18"/>
          <w:szCs w:val="18"/>
          <w:color w:val="auto"/>
        </w:rPr>
      </w:pPr>
    </w:p>
    <w:p>
      <w:pPr>
        <w:ind w:right="60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Delaware Opinion Party has the limited partnership power and authority under DRULPA to own, lease and operate its properties and to conduct its business, in each case as described in the Prospectus Supplement.</w:t>
      </w:r>
    </w:p>
    <w:p>
      <w:pPr>
        <w:spacing w:after="0" w:line="170" w:lineRule="exact"/>
        <w:rPr>
          <w:rFonts w:ascii="Arial" w:cs="Arial" w:eastAsia="Arial" w:hAnsi="Arial"/>
          <w:sz w:val="18"/>
          <w:szCs w:val="18"/>
          <w:color w:val="auto"/>
        </w:rPr>
      </w:pPr>
    </w:p>
    <w:p>
      <w:pPr>
        <w:ind w:right="20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Underwriting Agreement and Indenture has been duly authorized, executed and delivered by all requisite limited partnership action on the part of each Delaware Opinion Party under DRULPA.</w:t>
      </w:r>
    </w:p>
    <w:p>
      <w:pPr>
        <w:spacing w:after="0" w:line="170" w:lineRule="exact"/>
        <w:rPr>
          <w:rFonts w:ascii="Arial" w:cs="Arial" w:eastAsia="Arial" w:hAnsi="Arial"/>
          <w:sz w:val="18"/>
          <w:szCs w:val="18"/>
          <w:color w:val="auto"/>
        </w:rPr>
      </w:pPr>
    </w:p>
    <w:p>
      <w:pPr>
        <w:ind w:right="420" w:firstLine="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Indenture constitutes the valid and binding obligation of each Opinion Party, enforceable against such Opinion Party in accordance with its terms under the laws of the State of New York.</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the execution and delivery by each Opinion Party of the Transaction Agreements to which such Opinion Party is a party nor the</w:t>
      </w:r>
    </w:p>
    <w:p>
      <w:pPr>
        <w:spacing w:after="0" w:line="23" w:lineRule="exact"/>
        <w:rPr>
          <w:rFonts w:ascii="Arial" w:cs="Arial" w:eastAsia="Arial" w:hAnsi="Arial"/>
          <w:sz w:val="18"/>
          <w:szCs w:val="18"/>
          <w:color w:val="auto"/>
        </w:rPr>
      </w:pPr>
    </w:p>
    <w:p>
      <w:pPr>
        <w:ind w:right="40"/>
        <w:spacing w:after="0" w:line="288" w:lineRule="auto"/>
        <w:rPr>
          <w:rFonts w:ascii="Arial" w:cs="Arial" w:eastAsia="Arial" w:hAnsi="Arial"/>
          <w:sz w:val="18"/>
          <w:szCs w:val="18"/>
          <w:color w:val="auto"/>
        </w:rPr>
      </w:pPr>
      <w:r>
        <w:rPr>
          <w:rFonts w:ascii="Arial" w:cs="Arial" w:eastAsia="Arial" w:hAnsi="Arial"/>
          <w:sz w:val="16"/>
          <w:szCs w:val="16"/>
          <w:color w:val="auto"/>
        </w:rPr>
        <w:t>consummation by such Opinion Party of the issuance and sale of the Securities contemplated thereby: (i) constitutes a violation of, or a default under, any Scheduled Contract, (ii) contravenes any Scheduled Order, (iii) violates DRUPLA or any law, rule or regulation of the State of New York or the United States of America, (iv) results in the imposition of any lien, charge or encumbrance upon any property or assets of such Opinion Party pursuant to any of the documents, laws, orders or decrees set forth in clauses (i), (ii) and (iii) above or (v) requires the consent, approval, licensing or authorization of, or any filing, recording or registration with, any governmental authority under DRUPLA or any law, rule or regulation of the State of New York or the United States of America except for those consents, approvals, licenses and authorizations already obtained and those filings, recordings and registrations already made. Neither the execution and delivery by each Delaware Opinion Party of the Transaction Agreements to which such Opinion Party is a party nor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consummation by such Delaware Opinion Party of the issuance and sale of the Securities contemplated thereby conflicts with the Organizational Documents of such Delaware Opinion Party.</w:t>
      </w:r>
    </w:p>
    <w:p>
      <w:pPr>
        <w:spacing w:after="0" w:line="170" w:lineRule="exact"/>
        <w:rPr>
          <w:sz w:val="20"/>
          <w:szCs w:val="20"/>
          <w:color w:val="auto"/>
        </w:rPr>
      </w:pPr>
    </w:p>
    <w:p>
      <w:pPr>
        <w:ind w:right="500" w:firstLine="8"/>
        <w:spacing w:after="0" w:line="342" w:lineRule="auto"/>
        <w:tabs>
          <w:tab w:leader="none" w:pos="6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Opinion Party is not and, solely after giving effect to the offering and sale of the Securities and the application of the proceeds thereof as described in the Prospectus, will not be an “investment company” as such term is defined in the Investment Company Act of 1940, as amended.</w:t>
      </w:r>
    </w:p>
    <w:p>
      <w:pPr>
        <w:spacing w:after="0" w:line="123" w:lineRule="exact"/>
        <w:rPr>
          <w:rFonts w:ascii="Arial" w:cs="Arial" w:eastAsia="Arial" w:hAnsi="Arial"/>
          <w:sz w:val="16"/>
          <w:szCs w:val="16"/>
          <w:color w:val="auto"/>
        </w:rPr>
      </w:pPr>
    </w:p>
    <w:p>
      <w:pPr>
        <w:jc w:val="both"/>
        <w:ind w:right="160" w:firstLine="8"/>
        <w:spacing w:after="0" w:line="264" w:lineRule="auto"/>
        <w:tabs>
          <w:tab w:leader="none" w:pos="6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our knowledge, there are no legal or governmental proceedings pending or threatened to which any Opinion Party or any of its subsidiaries is a party or to which any of their property or assets are subject that are required to be disclosed in the Prospectus pursuant to Item 103 of Regulation S-K of the Rules and Regulations that are not so disclosed.</w:t>
      </w:r>
    </w:p>
    <w:p>
      <w:pPr>
        <w:spacing w:after="0" w:line="181" w:lineRule="exact"/>
        <w:rPr>
          <w:rFonts w:ascii="Arial" w:cs="Arial" w:eastAsia="Arial" w:hAnsi="Arial"/>
          <w:sz w:val="18"/>
          <w:szCs w:val="18"/>
          <w:color w:val="auto"/>
        </w:rPr>
      </w:pPr>
    </w:p>
    <w:p>
      <w:pPr>
        <w:ind w:firstLine="8"/>
        <w:spacing w:after="0" w:line="276"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Note Certificate has been duly authorized by all requisite limited partnership action on the part of SL Green OP and duly executed by SL Green OP under DRULPA and, to the extent such execution is governed by the laws of the State of New York, has been duly executed by SL Green OP under such laws, and when duly authenticated by the Trustee and issued and delivered by SL Green OP against payment therefor in accordance with the terms of the Underwriting Agreement and the Indenture, the Note Certificate will constitute the valid and binding obligation of SL Green OP, entitled to the benefits of the Indenture and enforceable against SL Green OP in accordance with its terms under the laws of the State of New York.</w:t>
      </w:r>
    </w:p>
    <w:p>
      <w:pPr>
        <w:spacing w:after="0" w:line="172" w:lineRule="exact"/>
        <w:rPr>
          <w:rFonts w:ascii="Arial" w:cs="Arial" w:eastAsia="Arial" w:hAnsi="Arial"/>
          <w:sz w:val="17"/>
          <w:szCs w:val="17"/>
          <w:color w:val="auto"/>
        </w:rPr>
      </w:pPr>
    </w:p>
    <w:p>
      <w:pPr>
        <w:ind w:right="520" w:firstLine="8"/>
        <w:spacing w:after="0" w:line="264"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Note Certificate is issued and delivered by SL Green OP against payment therefor in accordance with the terms of the Underwriting Agreement and the Indenture, the Guarantee of the Company will constitute the valid and binding obligation of the Company, enforceable against the Company in accordance with its terms under the laws of the State of New York.</w:t>
      </w:r>
    </w:p>
    <w:p>
      <w:pPr>
        <w:spacing w:after="0" w:line="181" w:lineRule="exact"/>
        <w:rPr>
          <w:rFonts w:ascii="Arial" w:cs="Arial" w:eastAsia="Arial" w:hAnsi="Arial"/>
          <w:sz w:val="18"/>
          <w:szCs w:val="18"/>
          <w:color w:val="auto"/>
        </w:rPr>
      </w:pPr>
    </w:p>
    <w:p>
      <w:pPr>
        <w:ind w:right="240" w:firstLine="8"/>
        <w:spacing w:after="0" w:line="279"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Guarantee of Reckson has been duly authorized by all requisite limited partnership action on the part of Reckson under DRULPA and duly executed by Reckson under DRUPLA and, when the Note Certificate is issued and delivered by SL Green OP against payment therefor in accordance with the terms of the Underwriting Agreement and the Indenture, the Guarantee of Reckson will constitute the valid and binding obligation of Reckson, enforceable against Reckson in accordance with its terms under the laws of the State of New York.</w:t>
      </w:r>
    </w:p>
    <w:p>
      <w:pPr>
        <w:spacing w:after="0" w:line="171" w:lineRule="exact"/>
        <w:rPr>
          <w:rFonts w:ascii="Arial" w:cs="Arial" w:eastAsia="Arial" w:hAnsi="Arial"/>
          <w:sz w:val="17"/>
          <w:szCs w:val="17"/>
          <w:color w:val="auto"/>
        </w:rPr>
      </w:pPr>
    </w:p>
    <w:p>
      <w:pPr>
        <w:ind w:right="120" w:firstLine="8"/>
        <w:spacing w:after="0" w:line="308"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statements in the Prospectus under the caption “Description of the Notes” (other than “Book-Entry System”) insofar as such statements purport to summarize certain provisions of the Indenture or the Securities, fairly summarize such provisions in all material respects.</w:t>
      </w:r>
    </w:p>
    <w:p>
      <w:pPr>
        <w:sectPr>
          <w:pgSz w:w="11900" w:h="16953" w:orient="portrait"/>
          <w:cols w:equalWidth="0" w:num="1">
            <w:col w:w="11400"/>
          </w:cols>
          <w:pgMar w:left="240" w:top="125" w:right="259" w:bottom="0" w:gutter="0" w:footer="0" w:header="0"/>
        </w:sectPr>
      </w:pPr>
    </w:p>
    <w:bookmarkStart w:id="23" w:name="page24"/>
    <w:bookmarkEnd w:id="23"/>
    <w:p>
      <w:pPr>
        <w:jc w:val="both"/>
        <w:ind w:right="220"/>
        <w:spacing w:after="0" w:line="279" w:lineRule="auto"/>
        <w:rPr>
          <w:sz w:val="20"/>
          <w:szCs w:val="20"/>
          <w:color w:val="auto"/>
        </w:rPr>
      </w:pPr>
      <w:r>
        <w:rPr>
          <w:rFonts w:ascii="Arial" w:cs="Arial" w:eastAsia="Arial" w:hAnsi="Arial"/>
          <w:sz w:val="17"/>
          <w:szCs w:val="17"/>
          <w:color w:val="auto"/>
        </w:rPr>
        <w:t>Furthermore, Skadden, Arps, Slate, Meagher &amp; Flom LLP shall provide a letter containing statements to the effect of: (i) the Registration Statement, at the Effective Time (as defined below), and the Prospectus, as of the date of the Prospectus Supplement and as of the date hereof, appeared and appear on their face to be appropriately responsive in all material respects to the requirements of the Securities Act and the Rules and Regulations (except that in each case we do not express any view as to the financial statements, schedules and other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included or incorporated by reference therein or excluded therefrom or the Statement of Eligibility on Form T-1 (the “Form T-1”)) and (ii) no facts have come to our attention that have caused us to believe that the Registration Statement, at the Effective Time, contained an untrue statement of a material fact or omitted to state a material fact required to be stated therein or necessary to make the statements therein not misleading, or that the Disclosure Package, as of the Applicable Time, or the Prospectus, as of the date of the Prospectus Supplement and as of the date hereof, contained or contains an untrue statement of a material fact or omitted or omits to state a material fact necessary in order to make the statements therein, in the light of the circumstances under which they were made, not misleading (except that in each case we do not express any view as to the financial statements, schedules and other financial information included or incorporated by reference therein or excluded therefrom, the report of management’s assessment of the effectiveness of internal controls over financial reporting or the auditors’ report on the effectiveness of the Company and SL Green OP’s internal controls over financial reporting or the statements contained in the exhibits to the Registration Statement, including the 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ind w:left="660" w:right="80" w:firstLine="645"/>
        <w:spacing w:after="0" w:line="264"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and by virtue of the laws of the State of Maryland and is in good standing with the Department. The Company has the corporate power to own, lease and operate its properties and other assets and to conduct its business as described in the Preliminary Prospectus and the Prospectus.</w:t>
      </w:r>
    </w:p>
    <w:p>
      <w:pPr>
        <w:spacing w:after="0" w:line="181" w:lineRule="exact"/>
        <w:rPr>
          <w:rFonts w:ascii="Arial" w:cs="Arial" w:eastAsia="Arial" w:hAnsi="Arial"/>
          <w:sz w:val="18"/>
          <w:szCs w:val="18"/>
          <w:color w:val="auto"/>
        </w:rPr>
      </w:pPr>
    </w:p>
    <w:p>
      <w:pPr>
        <w:ind w:left="660" w:right="60" w:firstLine="645"/>
        <w:spacing w:after="0" w:line="257"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in its own capacity and in its capacity as the general partner of SLG OP, has the corporate power to enter into, and perform its obligations under, the Underwriting Agreement and the Indenture (which includes the granting of the Guarantee by the Company pursuant to the First Supplemental Indenture). The Underwriting Agreement and the Indenture (which includes the granting of the Guarantee by the Company pursuant to the First Supplemental Indenture) have been duly authorized, executed and delivered by the Company, in its own capacity and in its capacity as the general partner of SLG OP.</w:t>
      </w:r>
    </w:p>
    <w:p>
      <w:pPr>
        <w:spacing w:after="0" w:line="188" w:lineRule="exact"/>
        <w:rPr>
          <w:rFonts w:ascii="Arial" w:cs="Arial" w:eastAsia="Arial" w:hAnsi="Arial"/>
          <w:sz w:val="18"/>
          <w:szCs w:val="18"/>
          <w:color w:val="auto"/>
        </w:rPr>
      </w:pPr>
    </w:p>
    <w:p>
      <w:pPr>
        <w:ind w:left="660" w:right="40" w:firstLine="645"/>
        <w:spacing w:after="0" w:line="257"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issuance of the Notes by SLG OP pursuant to the Indenture and the granting of the Guarantee by the Company pursuant to the First Supplemental Indenture, the offer and sale of the Securities pursuant to the Underwriting Agreement, and the execution and delivery by SLG OP of the global note representing the Notes, have been duly authorized by the Company, in its own capacity and in its capacity as the general partner of SLG OP. The global note representing the Notes has been duly executed and delivered by the Company, in its capacity as the general partner of SLG OP.</w:t>
      </w:r>
    </w:p>
    <w:p>
      <w:pPr>
        <w:spacing w:after="0" w:line="188" w:lineRule="exact"/>
        <w:rPr>
          <w:rFonts w:ascii="Arial" w:cs="Arial" w:eastAsia="Arial" w:hAnsi="Arial"/>
          <w:sz w:val="18"/>
          <w:szCs w:val="18"/>
          <w:color w:val="auto"/>
        </w:rPr>
      </w:pPr>
    </w:p>
    <w:p>
      <w:pPr>
        <w:jc w:val="both"/>
        <w:ind w:left="660" w:right="600" w:firstLine="645"/>
        <w:spacing w:after="0" w:line="312" w:lineRule="auto"/>
        <w:tabs>
          <w:tab w:leader="none" w:pos="19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in the Preliminary Prospectus and the Prospectus under the captions “Certain Anti-Takeover Provisions of Maryland Law”, as supplemented by the information in the Form 8-K, and “Restrictions on Ownership of Capital Stock”, to the extent that it constitutes a summary of Maryland law or of the Charter or Bylaws, has been reviewed by us and is correct in all material respects.</w:t>
      </w:r>
    </w:p>
    <w:p>
      <w:pPr>
        <w:spacing w:after="0" w:line="146" w:lineRule="exact"/>
        <w:rPr>
          <w:rFonts w:ascii="Arial" w:cs="Arial" w:eastAsia="Arial" w:hAnsi="Arial"/>
          <w:sz w:val="16"/>
          <w:szCs w:val="16"/>
          <w:color w:val="auto"/>
        </w:rPr>
      </w:pPr>
    </w:p>
    <w:p>
      <w:pPr>
        <w:ind w:left="660" w:firstLine="645"/>
        <w:spacing w:after="0" w:line="257"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in its own capacity and in its capacity as the general partner of SLG OP, of the Underwriting Agreement, the Indenture (which includes the granting of the Guarantee by the Company pursuant to the First Supplemental Indenture) and the global note representing the Notes, and the consummation by the Company, in its own capacity and in its capacity as the general partner of SLG OP, of the transactions contemplated therein, do not and will not conflict with, result in any breach of, or constitute a default under, the Charter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SL GREEN OPERATING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October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BANK OF NEW YORK MELLON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40" w:type="dxa"/>
            <w:vAlign w:val="bottom"/>
            <w:gridSpan w:val="3"/>
          </w:tcPr>
          <w:p>
            <w:pPr>
              <w:jc w:val="center"/>
              <w:ind w:right="2508"/>
              <w:spacing w:after="0"/>
              <w:rPr>
                <w:sz w:val="20"/>
                <w:szCs w:val="20"/>
                <w:color w:val="auto"/>
              </w:rPr>
            </w:pPr>
            <w:r>
              <w:rPr>
                <w:rFonts w:ascii="Arial" w:cs="Arial" w:eastAsia="Arial" w:hAnsi="Arial"/>
                <w:sz w:val="18"/>
                <w:szCs w:val="18"/>
                <w:b w:val="1"/>
                <w:bCs w:val="1"/>
                <w:color w:val="auto"/>
                <w:w w:val="88"/>
              </w:rPr>
              <w:t>Reconciliation and tie between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40" w:type="dxa"/>
            <w:vAlign w:val="bottom"/>
            <w:gridSpan w:val="3"/>
          </w:tcPr>
          <w:p>
            <w:pPr>
              <w:jc w:val="center"/>
              <w:ind w:right="2508"/>
              <w:spacing w:after="0"/>
              <w:rPr>
                <w:sz w:val="20"/>
                <w:szCs w:val="20"/>
                <w:color w:val="auto"/>
              </w:rPr>
            </w:pPr>
            <w:r>
              <w:rPr>
                <w:rFonts w:ascii="Arial" w:cs="Arial" w:eastAsia="Arial" w:hAnsi="Arial"/>
                <w:sz w:val="18"/>
                <w:szCs w:val="18"/>
                <w:b w:val="1"/>
                <w:bCs w:val="1"/>
                <w:color w:val="auto"/>
                <w:w w:val="92"/>
              </w:rPr>
              <w:t>Trust Indenture Act of 1939 and Indenture*</w:t>
            </w:r>
          </w:p>
        </w:tc>
        <w:tc>
          <w:tcPr>
            <w:tcW w:w="0" w:type="dxa"/>
            <w:vAlign w:val="bottom"/>
          </w:tcPr>
          <w:p>
            <w:pPr>
              <w:spacing w:after="0"/>
              <w:rPr>
                <w:sz w:val="1"/>
                <w:szCs w:val="1"/>
                <w:color w:val="auto"/>
              </w:rPr>
            </w:pPr>
          </w:p>
        </w:tc>
      </w:tr>
      <w:tr>
        <w:trPr>
          <w:trHeight w:val="342"/>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Trust Indenture</w:t>
            </w:r>
          </w:p>
        </w:tc>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17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Act Section</w:t>
            </w: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310</w:t>
            </w: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53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11.04(a),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(b)</w:t>
            </w:r>
          </w:p>
        </w:tc>
        <w:tc>
          <w:tcPr>
            <w:tcW w:w="53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11.01(f), 11.04(b), 11.05(1),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40" w:type="dxa"/>
            <w:vAlign w:val="bottom"/>
            <w:gridSpan w:val="3"/>
            <w:shd w:val="clear" w:color="auto" w:fill="CCEEFF"/>
          </w:tcPr>
          <w:p>
            <w:pPr>
              <w:ind w:left="56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(b)(1)</w:t>
            </w:r>
          </w:p>
        </w:tc>
        <w:tc>
          <w:tcPr>
            <w:tcW w:w="53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11.04(b),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311</w:t>
            </w:r>
          </w:p>
        </w:tc>
        <w:tc>
          <w:tcPr>
            <w:tcW w:w="20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11.01(f),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312</w:t>
            </w:r>
          </w:p>
        </w:tc>
        <w:tc>
          <w:tcPr>
            <w:tcW w:w="20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14.02(d),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w:t>
            </w:r>
          </w:p>
        </w:tc>
        <w:tc>
          <w:tcPr>
            <w:tcW w:w="8840" w:type="dxa"/>
            <w:vAlign w:val="bottom"/>
            <w:gridSpan w:val="3"/>
            <w:shd w:val="clear" w:color="auto" w:fill="CCEEFF"/>
          </w:tcPr>
          <w:p>
            <w:pPr>
              <w:ind w:left="5620"/>
              <w:spacing w:after="0"/>
              <w:rPr>
                <w:sz w:val="20"/>
                <w:szCs w:val="20"/>
                <w:color w:val="auto"/>
              </w:rPr>
            </w:pPr>
            <w:r>
              <w:rPr>
                <w:rFonts w:ascii="Arial" w:cs="Arial" w:eastAsia="Arial" w:hAnsi="Arial"/>
                <w:sz w:val="18"/>
                <w:szCs w:val="18"/>
                <w:color w:val="auto"/>
              </w:rPr>
              <w:t>11.10, 16.02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(c)</w:t>
            </w:r>
          </w:p>
        </w:tc>
        <w:tc>
          <w:tcPr>
            <w:tcW w:w="8840" w:type="dxa"/>
            <w:vAlign w:val="bottom"/>
            <w:gridSpan w:val="3"/>
          </w:tcPr>
          <w:p>
            <w:pPr>
              <w:ind w:left="5620"/>
              <w:spacing w:after="0"/>
              <w:rPr>
                <w:sz w:val="20"/>
                <w:szCs w:val="20"/>
                <w:color w:val="auto"/>
              </w:rPr>
            </w:pPr>
            <w:r>
              <w:rPr>
                <w:rFonts w:ascii="Arial" w:cs="Arial" w:eastAsia="Arial" w:hAnsi="Arial"/>
                <w:sz w:val="18"/>
                <w:szCs w:val="18"/>
                <w:color w:val="auto"/>
              </w:rPr>
              <w:t>11.10, 16.02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313</w:t>
            </w: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53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10.01(a),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314</w:t>
            </w:r>
          </w:p>
        </w:tc>
        <w:tc>
          <w:tcPr>
            <w:tcW w:w="2020" w:type="dxa"/>
            <w:vAlign w:val="bottom"/>
          </w:tcPr>
          <w:p>
            <w:pPr>
              <w:spacing w:after="0"/>
              <w:rPr>
                <w:sz w:val="18"/>
                <w:szCs w:val="18"/>
                <w:color w:val="auto"/>
              </w:rPr>
            </w:pPr>
          </w:p>
        </w:tc>
        <w:tc>
          <w:tcPr>
            <w:tcW w:w="8840" w:type="dxa"/>
            <w:vAlign w:val="bottom"/>
            <w:gridSpan w:val="3"/>
          </w:tcPr>
          <w:p>
            <w:pPr>
              <w:ind w:left="56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315</w:t>
            </w: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w:t>
            </w:r>
          </w:p>
        </w:tc>
        <w:tc>
          <w:tcPr>
            <w:tcW w:w="8840" w:type="dxa"/>
            <w:vAlign w:val="bottom"/>
            <w:gridSpan w:val="3"/>
            <w:shd w:val="clear" w:color="auto" w:fill="CCEEFF"/>
          </w:tcPr>
          <w:p>
            <w:pPr>
              <w:ind w:left="5620"/>
              <w:spacing w:after="0"/>
              <w:rPr>
                <w:sz w:val="20"/>
                <w:szCs w:val="20"/>
                <w:color w:val="auto"/>
              </w:rPr>
            </w:pPr>
            <w:r>
              <w:rPr>
                <w:rFonts w:ascii="Arial" w:cs="Arial" w:eastAsia="Arial" w:hAnsi="Arial"/>
                <w:sz w:val="18"/>
                <w:szCs w:val="18"/>
                <w:color w:val="auto"/>
              </w:rPr>
              <w:t>11.05, 16.02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316</w:t>
            </w:r>
          </w:p>
        </w:tc>
        <w:tc>
          <w:tcPr>
            <w:tcW w:w="2020" w:type="dxa"/>
            <w:vAlign w:val="bottom"/>
          </w:tcPr>
          <w:p>
            <w:pPr>
              <w:spacing w:after="0"/>
              <w:rPr>
                <w:sz w:val="18"/>
                <w:szCs w:val="18"/>
                <w:color w:val="auto"/>
              </w:rPr>
            </w:pPr>
          </w:p>
        </w:tc>
        <w:tc>
          <w:tcPr>
            <w:tcW w:w="8840" w:type="dxa"/>
            <w:vAlign w:val="bottom"/>
            <w:gridSpan w:val="3"/>
          </w:tcPr>
          <w:p>
            <w:pPr>
              <w:ind w:left="56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317</w:t>
            </w:r>
          </w:p>
        </w:tc>
        <w:tc>
          <w:tcPr>
            <w:tcW w:w="2020" w:type="dxa"/>
            <w:vAlign w:val="bottom"/>
            <w:shd w:val="clear" w:color="auto" w:fill="CCEEFF"/>
          </w:tcPr>
          <w:p>
            <w:pPr>
              <w:spacing w:after="0"/>
              <w:rPr>
                <w:sz w:val="18"/>
                <w:szCs w:val="18"/>
                <w:color w:val="auto"/>
              </w:rPr>
            </w:pPr>
          </w:p>
        </w:tc>
        <w:tc>
          <w:tcPr>
            <w:tcW w:w="8840" w:type="dxa"/>
            <w:vAlign w:val="bottom"/>
            <w:gridSpan w:val="3"/>
            <w:shd w:val="clear" w:color="auto" w:fill="CCEEFF"/>
          </w:tcPr>
          <w:p>
            <w:pPr>
              <w:ind w:left="56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 317</w:t>
            </w:r>
          </w:p>
        </w:tc>
        <w:tc>
          <w:tcPr>
            <w:tcW w:w="2020" w:type="dxa"/>
            <w:vAlign w:val="bottom"/>
          </w:tcPr>
          <w:p>
            <w:pPr>
              <w:spacing w:after="0"/>
              <w:rPr>
                <w:sz w:val="20"/>
                <w:szCs w:val="20"/>
                <w:color w:val="auto"/>
              </w:rPr>
            </w:pPr>
          </w:p>
        </w:tc>
        <w:tc>
          <w:tcPr>
            <w:tcW w:w="8840" w:type="dxa"/>
            <w:vAlign w:val="bottom"/>
            <w:gridSpan w:val="3"/>
          </w:tcPr>
          <w:p>
            <w:pPr>
              <w:ind w:left="56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9360" w:type="dxa"/>
            <w:vAlign w:val="bottom"/>
          </w:tcPr>
          <w:p>
            <w:pPr>
              <w:jc w:val="center"/>
              <w:ind w:right="170"/>
              <w:spacing w:after="0"/>
              <w:rPr>
                <w:sz w:val="20"/>
                <w:szCs w:val="20"/>
                <w:color w:val="auto"/>
              </w:rPr>
            </w:pPr>
            <w:r>
              <w:rPr>
                <w:rFonts w:ascii="Arial" w:cs="Arial" w:eastAsia="Arial" w:hAnsi="Arial"/>
                <w:sz w:val="18"/>
                <w:szCs w:val="18"/>
                <w:color w:val="auto"/>
              </w:rPr>
              <w:t>i</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9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9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r>
      <w:tr>
        <w:trPr>
          <w:trHeight w:val="412"/>
        </w:trPr>
        <w:tc>
          <w:tcPr>
            <w:tcW w:w="116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Arial" w:cs="Arial" w:eastAsia="Arial" w:hAnsi="Arial"/>
                <w:sz w:val="18"/>
                <w:szCs w:val="18"/>
                <w:color w:val="auto"/>
                <w:w w:val="99"/>
              </w:rPr>
              <w:t>ARTICLE I</w:t>
            </w: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9360" w:type="dxa"/>
            <w:vAlign w:val="bottom"/>
          </w:tcPr>
          <w:p>
            <w:pPr>
              <w:jc w:val="center"/>
              <w:ind w:right="150"/>
              <w:spacing w:after="0"/>
              <w:rPr>
                <w:sz w:val="20"/>
                <w:szCs w:val="20"/>
                <w:color w:val="auto"/>
              </w:rPr>
            </w:pPr>
            <w:r>
              <w:rPr>
                <w:rFonts w:ascii="Arial" w:cs="Arial" w:eastAsia="Arial" w:hAnsi="Arial"/>
                <w:sz w:val="18"/>
                <w:szCs w:val="18"/>
                <w:color w:val="auto"/>
                <w:w w:val="98"/>
              </w:rPr>
              <w:t>DEFINITIONS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Section 1.01</w:t>
            </w:r>
          </w:p>
        </w:tc>
        <w:tc>
          <w:tcPr>
            <w:tcW w:w="93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160" w:type="dxa"/>
            <w:vAlign w:val="bottom"/>
          </w:tcPr>
          <w:p>
            <w:pPr>
              <w:spacing w:after="0"/>
              <w:rPr>
                <w:sz w:val="24"/>
                <w:szCs w:val="24"/>
                <w:color w:val="auto"/>
              </w:rPr>
            </w:pPr>
          </w:p>
        </w:tc>
        <w:tc>
          <w:tcPr>
            <w:tcW w:w="9360" w:type="dxa"/>
            <w:vAlign w:val="bottom"/>
          </w:tcPr>
          <w:p>
            <w:pPr>
              <w:jc w:val="center"/>
              <w:ind w:right="150"/>
              <w:spacing w:after="0"/>
              <w:rPr>
                <w:sz w:val="20"/>
                <w:szCs w:val="20"/>
                <w:color w:val="auto"/>
              </w:rPr>
            </w:pPr>
            <w:r>
              <w:rPr>
                <w:rFonts w:ascii="Arial" w:cs="Arial" w:eastAsia="Arial" w:hAnsi="Arial"/>
                <w:sz w:val="18"/>
                <w:szCs w:val="18"/>
                <w:color w:val="auto"/>
              </w:rPr>
              <w:t>ARTICLE II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Arial" w:cs="Arial" w:eastAsia="Arial" w:hAnsi="Arial"/>
                <w:sz w:val="18"/>
                <w:szCs w:val="18"/>
                <w:color w:val="auto"/>
                <w:w w:val="91"/>
              </w:rPr>
              <w:t>Forms of Securities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2.01</w:t>
            </w:r>
          </w:p>
        </w:tc>
        <w:tc>
          <w:tcPr>
            <w:tcW w:w="9360" w:type="dxa"/>
            <w:vAlign w:val="bottom"/>
          </w:tcPr>
          <w:p>
            <w:pPr>
              <w:ind w:left="240"/>
              <w:spacing w:after="0"/>
              <w:rPr>
                <w:sz w:val="20"/>
                <w:szCs w:val="20"/>
                <w:color w:val="auto"/>
              </w:rPr>
            </w:pPr>
            <w:r>
              <w:rPr>
                <w:rFonts w:ascii="Arial" w:cs="Arial" w:eastAsia="Arial" w:hAnsi="Arial"/>
                <w:sz w:val="18"/>
                <w:szCs w:val="18"/>
                <w:color w:val="auto"/>
              </w:rPr>
              <w:t>Terms of the Securities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2.02</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2.03</w:t>
            </w:r>
          </w:p>
        </w:tc>
        <w:tc>
          <w:tcPr>
            <w:tcW w:w="936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 by an Authenticating Agent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16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Arial" w:cs="Arial" w:eastAsia="Arial" w:hAnsi="Arial"/>
                <w:sz w:val="18"/>
                <w:szCs w:val="18"/>
                <w:color w:val="auto"/>
              </w:rPr>
              <w:t>ARTICLE III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Arial" w:cs="Arial" w:eastAsia="Arial" w:hAnsi="Arial"/>
                <w:sz w:val="18"/>
                <w:szCs w:val="18"/>
                <w:color w:val="auto"/>
                <w:w w:val="95"/>
              </w:rPr>
              <w:t>THE DEBT SECURITIES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Section 3.01</w:t>
            </w:r>
          </w:p>
        </w:tc>
        <w:tc>
          <w:tcPr>
            <w:tcW w:w="936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-3500120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-3500120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3.02</w:t>
            </w:r>
          </w:p>
        </w:tc>
        <w:tc>
          <w:tcPr>
            <w:tcW w:w="806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3.03</w:t>
            </w:r>
          </w:p>
        </w:tc>
        <w:tc>
          <w:tcPr>
            <w:tcW w:w="806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3.04</w:t>
            </w:r>
          </w:p>
        </w:tc>
        <w:tc>
          <w:tcPr>
            <w:tcW w:w="806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3.05</w:t>
            </w:r>
          </w:p>
        </w:tc>
        <w:tc>
          <w:tcPr>
            <w:tcW w:w="8060" w:type="dxa"/>
            <w:vAlign w:val="bottom"/>
          </w:tcPr>
          <w:p>
            <w:pPr>
              <w:ind w:left="240"/>
              <w:spacing w:after="0"/>
              <w:rPr>
                <w:sz w:val="20"/>
                <w:szCs w:val="20"/>
                <w:color w:val="auto"/>
              </w:rPr>
            </w:pPr>
            <w:r>
              <w:rPr>
                <w:rFonts w:ascii="Arial" w:cs="Arial" w:eastAsia="Arial" w:hAnsi="Arial"/>
                <w:sz w:val="18"/>
                <w:szCs w:val="18"/>
                <w:color w:val="auto"/>
              </w:rPr>
              <w:t>Registrar and Paying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3.06</w:t>
            </w:r>
          </w:p>
        </w:tc>
        <w:tc>
          <w:tcPr>
            <w:tcW w:w="8060" w:type="dxa"/>
            <w:vAlign w:val="bottom"/>
          </w:tcPr>
          <w:p>
            <w:pPr>
              <w:ind w:left="240"/>
              <w:spacing w:after="0"/>
              <w:rPr>
                <w:sz w:val="20"/>
                <w:szCs w:val="20"/>
                <w:color w:val="auto"/>
              </w:rPr>
            </w:pPr>
            <w:r>
              <w:rPr>
                <w:rFonts w:ascii="Arial" w:cs="Arial" w:eastAsia="Arial" w:hAnsi="Arial"/>
                <w:sz w:val="18"/>
                <w:szCs w:val="18"/>
                <w:color w:val="auto"/>
              </w:rPr>
              <w:t>Transfer and Exchange</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3.07</w:t>
            </w:r>
          </w:p>
        </w:tc>
        <w:tc>
          <w:tcPr>
            <w:tcW w:w="8060" w:type="dxa"/>
            <w:vAlign w:val="bottom"/>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3.08</w:t>
            </w:r>
          </w:p>
        </w:tc>
        <w:tc>
          <w:tcPr>
            <w:tcW w:w="806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3.09</w:t>
            </w:r>
          </w:p>
        </w:tc>
        <w:tc>
          <w:tcPr>
            <w:tcW w:w="806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3.10</w:t>
            </w:r>
          </w:p>
        </w:tc>
        <w:tc>
          <w:tcPr>
            <w:tcW w:w="806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3.11</w:t>
            </w:r>
          </w:p>
        </w:tc>
        <w:tc>
          <w:tcPr>
            <w:tcW w:w="8060" w:type="dxa"/>
            <w:vAlign w:val="bottom"/>
          </w:tcPr>
          <w:p>
            <w:pPr>
              <w:ind w:left="240"/>
              <w:spacing w:after="0"/>
              <w:rPr>
                <w:sz w:val="20"/>
                <w:szCs w:val="20"/>
                <w:color w:val="auto"/>
              </w:rPr>
            </w:pPr>
            <w:r>
              <w:rPr>
                <w:rFonts w:ascii="Arial" w:cs="Arial" w:eastAsia="Arial" w:hAnsi="Arial"/>
                <w:sz w:val="18"/>
                <w:szCs w:val="18"/>
                <w:color w:val="auto"/>
              </w:rPr>
              <w:t>Currency of Payments in Respect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3.12</w:t>
            </w:r>
          </w:p>
        </w:tc>
        <w:tc>
          <w:tcPr>
            <w:tcW w:w="8060" w:type="dxa"/>
            <w:vAlign w:val="bottom"/>
          </w:tcPr>
          <w:p>
            <w:pPr>
              <w:ind w:left="240"/>
              <w:spacing w:after="0"/>
              <w:rPr>
                <w:sz w:val="20"/>
                <w:szCs w:val="20"/>
                <w:color w:val="auto"/>
              </w:rPr>
            </w:pPr>
            <w:r>
              <w:rPr>
                <w:rFonts w:ascii="Arial" w:cs="Arial" w:eastAsia="Arial" w:hAnsi="Arial"/>
                <w:sz w:val="18"/>
                <w:szCs w:val="18"/>
                <w:color w:val="auto"/>
              </w:rPr>
              <w:t>Judgments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3.13</w:t>
            </w:r>
          </w:p>
        </w:tc>
        <w:tc>
          <w:tcPr>
            <w:tcW w:w="806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2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50"/>
              <w:spacing w:after="0"/>
              <w:rPr>
                <w:sz w:val="20"/>
                <w:szCs w:val="20"/>
                <w:color w:val="auto"/>
              </w:rPr>
            </w:pPr>
            <w:r>
              <w:rPr>
                <w:rFonts w:ascii="Arial" w:cs="Arial" w:eastAsia="Arial" w:hAnsi="Arial"/>
                <w:sz w:val="18"/>
                <w:szCs w:val="18"/>
                <w:color w:val="auto"/>
                <w:w w:val="99"/>
              </w:rPr>
              <w:t>ARTICLE IV</w:t>
            </w:r>
          </w:p>
        </w:tc>
        <w:tc>
          <w:tcPr>
            <w:tcW w:w="22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50"/>
              <w:spacing w:after="0"/>
              <w:rPr>
                <w:sz w:val="20"/>
                <w:szCs w:val="20"/>
                <w:color w:val="auto"/>
              </w:rPr>
            </w:pPr>
            <w:r>
              <w:rPr>
                <w:rFonts w:ascii="Arial" w:cs="Arial" w:eastAsia="Arial" w:hAnsi="Arial"/>
                <w:sz w:val="18"/>
                <w:szCs w:val="18"/>
                <w:color w:val="auto"/>
                <w:w w:val="90"/>
              </w:rPr>
              <w:t>Redemption of Securities</w:t>
            </w:r>
          </w:p>
        </w:tc>
        <w:tc>
          <w:tcPr>
            <w:tcW w:w="22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4.01</w:t>
            </w:r>
          </w:p>
        </w:tc>
        <w:tc>
          <w:tcPr>
            <w:tcW w:w="8060" w:type="dxa"/>
            <w:vAlign w:val="bottom"/>
          </w:tcPr>
          <w:p>
            <w:pPr>
              <w:ind w:left="240"/>
              <w:spacing w:after="0"/>
              <w:rPr>
                <w:sz w:val="20"/>
                <w:szCs w:val="20"/>
                <w:color w:val="auto"/>
              </w:rPr>
            </w:pPr>
            <w:r>
              <w:rPr>
                <w:rFonts w:ascii="Arial" w:cs="Arial" w:eastAsia="Arial" w:hAnsi="Arial"/>
                <w:sz w:val="18"/>
                <w:szCs w:val="18"/>
                <w:color w:val="auto"/>
              </w:rPr>
              <w:t>Applicability of Right of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4.02</w:t>
            </w:r>
          </w:p>
        </w:tc>
        <w:tc>
          <w:tcPr>
            <w:tcW w:w="8060" w:type="dxa"/>
            <w:vAlign w:val="bottom"/>
          </w:tcPr>
          <w:p>
            <w:pPr>
              <w:ind w:left="240"/>
              <w:spacing w:after="0"/>
              <w:rPr>
                <w:sz w:val="20"/>
                <w:szCs w:val="20"/>
                <w:color w:val="auto"/>
              </w:rPr>
            </w:pPr>
            <w:r>
              <w:rPr>
                <w:rFonts w:ascii="Arial" w:cs="Arial" w:eastAsia="Arial" w:hAnsi="Arial"/>
                <w:sz w:val="18"/>
                <w:szCs w:val="18"/>
                <w:color w:val="auto"/>
              </w:rPr>
              <w:t>Selection of Securities to be Redeemed</w:t>
            </w:r>
          </w:p>
        </w:tc>
        <w:tc>
          <w:tcPr>
            <w:tcW w:w="2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4.03</w:t>
            </w:r>
          </w:p>
        </w:tc>
        <w:tc>
          <w:tcPr>
            <w:tcW w:w="806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4.04</w:t>
            </w:r>
          </w:p>
        </w:tc>
        <w:tc>
          <w:tcPr>
            <w:tcW w:w="806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50"/>
              <w:spacing w:after="0"/>
              <w:rPr>
                <w:sz w:val="20"/>
                <w:szCs w:val="20"/>
                <w:color w:val="auto"/>
              </w:rPr>
            </w:pPr>
            <w:r>
              <w:rPr>
                <w:rFonts w:ascii="Arial" w:cs="Arial" w:eastAsia="Arial" w:hAnsi="Arial"/>
                <w:sz w:val="18"/>
                <w:szCs w:val="18"/>
                <w:color w:val="auto"/>
              </w:rPr>
              <w:t>i</w:t>
            </w:r>
          </w:p>
        </w:tc>
        <w:tc>
          <w:tcPr>
            <w:tcW w:w="22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r>
      <w:tr>
        <w:trPr>
          <w:trHeight w:val="766"/>
        </w:trPr>
        <w:tc>
          <w:tcPr>
            <w:tcW w:w="1160" w:type="dxa"/>
            <w:vAlign w:val="bottom"/>
          </w:tcPr>
          <w:p>
            <w:pPr>
              <w:spacing w:after="0"/>
              <w:rPr>
                <w:sz w:val="20"/>
                <w:szCs w:val="20"/>
                <w:color w:val="auto"/>
              </w:rPr>
            </w:pPr>
            <w:r>
              <w:rPr>
                <w:rFonts w:ascii="Arial" w:cs="Arial" w:eastAsia="Arial" w:hAnsi="Arial"/>
                <w:sz w:val="18"/>
                <w:szCs w:val="18"/>
                <w:color w:val="auto"/>
              </w:rPr>
              <w:t>Section 4.05</w:t>
            </w:r>
          </w:p>
        </w:tc>
        <w:tc>
          <w:tcPr>
            <w:tcW w:w="806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4.06</w:t>
            </w:r>
          </w:p>
        </w:tc>
        <w:tc>
          <w:tcPr>
            <w:tcW w:w="806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w w:val="98"/>
              </w:rPr>
              <w:t>ARTICLE V</w:t>
            </w:r>
          </w:p>
        </w:tc>
        <w:tc>
          <w:tcPr>
            <w:tcW w:w="22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w w:val="91"/>
              </w:rPr>
              <w:t>Sinking Funds</w:t>
            </w:r>
          </w:p>
        </w:tc>
        <w:tc>
          <w:tcPr>
            <w:tcW w:w="22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5.01</w:t>
            </w:r>
          </w:p>
        </w:tc>
        <w:tc>
          <w:tcPr>
            <w:tcW w:w="8060" w:type="dxa"/>
            <w:vAlign w:val="bottom"/>
          </w:tcPr>
          <w:p>
            <w:pPr>
              <w:ind w:left="240"/>
              <w:spacing w:after="0"/>
              <w:rPr>
                <w:sz w:val="20"/>
                <w:szCs w:val="20"/>
                <w:color w:val="auto"/>
              </w:rPr>
            </w:pPr>
            <w:r>
              <w:rPr>
                <w:rFonts w:ascii="Arial" w:cs="Arial" w:eastAsia="Arial" w:hAnsi="Arial"/>
                <w:sz w:val="18"/>
                <w:szCs w:val="18"/>
                <w:color w:val="auto"/>
              </w:rPr>
              <w:t>Applicability of Sinking Fund</w:t>
            </w: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5.02</w:t>
            </w:r>
          </w:p>
        </w:tc>
        <w:tc>
          <w:tcPr>
            <w:tcW w:w="8060" w:type="dxa"/>
            <w:vAlign w:val="bottom"/>
          </w:tcPr>
          <w:p>
            <w:pPr>
              <w:ind w:left="240"/>
              <w:spacing w:after="0"/>
              <w:rPr>
                <w:sz w:val="20"/>
                <w:szCs w:val="20"/>
                <w:color w:val="auto"/>
              </w:rPr>
            </w:pPr>
            <w:r>
              <w:rPr>
                <w:rFonts w:ascii="Arial" w:cs="Arial" w:eastAsia="Arial" w:hAnsi="Arial"/>
                <w:sz w:val="18"/>
                <w:szCs w:val="18"/>
                <w:color w:val="auto"/>
              </w:rPr>
              <w:t>Mandatory Sinking Fund Obligation</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5.03</w:t>
            </w:r>
          </w:p>
        </w:tc>
        <w:tc>
          <w:tcPr>
            <w:tcW w:w="8060" w:type="dxa"/>
            <w:vAlign w:val="bottom"/>
          </w:tcPr>
          <w:p>
            <w:pPr>
              <w:ind w:left="240"/>
              <w:spacing w:after="0"/>
              <w:rPr>
                <w:sz w:val="20"/>
                <w:szCs w:val="20"/>
                <w:color w:val="auto"/>
              </w:rPr>
            </w:pPr>
            <w:r>
              <w:rPr>
                <w:rFonts w:ascii="Arial" w:cs="Arial" w:eastAsia="Arial" w:hAnsi="Arial"/>
                <w:sz w:val="18"/>
                <w:szCs w:val="18"/>
                <w:color w:val="auto"/>
              </w:rPr>
              <w:t>Optional Redemption at Sinking Fund Redemption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5.04</w:t>
            </w:r>
          </w:p>
        </w:tc>
        <w:tc>
          <w:tcPr>
            <w:tcW w:w="8060" w:type="dxa"/>
            <w:vAlign w:val="bottom"/>
          </w:tcPr>
          <w:p>
            <w:pPr>
              <w:ind w:left="240"/>
              <w:spacing w:after="0"/>
              <w:rPr>
                <w:sz w:val="20"/>
                <w:szCs w:val="20"/>
                <w:color w:val="auto"/>
              </w:rPr>
            </w:pPr>
            <w:r>
              <w:rPr>
                <w:rFonts w:ascii="Arial" w:cs="Arial" w:eastAsia="Arial" w:hAnsi="Arial"/>
                <w:sz w:val="18"/>
                <w:szCs w:val="18"/>
                <w:color w:val="auto"/>
              </w:rPr>
              <w:t>Application of Sinking Fund Payment</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50"/>
              <w:spacing w:after="0"/>
              <w:rPr>
                <w:sz w:val="20"/>
                <w:szCs w:val="20"/>
                <w:color w:val="auto"/>
              </w:rPr>
            </w:pPr>
            <w:r>
              <w:rPr>
                <w:rFonts w:ascii="Arial" w:cs="Arial" w:eastAsia="Arial" w:hAnsi="Arial"/>
                <w:sz w:val="18"/>
                <w:szCs w:val="18"/>
                <w:color w:val="auto"/>
                <w:w w:val="99"/>
              </w:rPr>
              <w:t>ARTICLE VI</w:t>
            </w:r>
          </w:p>
        </w:tc>
        <w:tc>
          <w:tcPr>
            <w:tcW w:w="22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w w:val="89"/>
              </w:rPr>
              <w:t>Particular Covenants of the Issuer</w:t>
            </w:r>
          </w:p>
        </w:tc>
        <w:tc>
          <w:tcPr>
            <w:tcW w:w="22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6.01</w:t>
            </w:r>
          </w:p>
        </w:tc>
        <w:tc>
          <w:tcPr>
            <w:tcW w:w="8060" w:type="dxa"/>
            <w:vAlign w:val="bottom"/>
          </w:tcPr>
          <w:p>
            <w:pPr>
              <w:ind w:left="240"/>
              <w:spacing w:after="0"/>
              <w:rPr>
                <w:sz w:val="20"/>
                <w:szCs w:val="20"/>
                <w:color w:val="auto"/>
              </w:rPr>
            </w:pPr>
            <w:r>
              <w:rPr>
                <w:rFonts w:ascii="Arial" w:cs="Arial" w:eastAsia="Arial" w:hAnsi="Arial"/>
                <w:sz w:val="18"/>
                <w:szCs w:val="18"/>
                <w:color w:val="auto"/>
              </w:rPr>
              <w:t>Payments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6.02</w:t>
            </w:r>
          </w:p>
        </w:tc>
        <w:tc>
          <w:tcPr>
            <w:tcW w:w="8060" w:type="dxa"/>
            <w:vAlign w:val="bottom"/>
          </w:tcPr>
          <w:p>
            <w:pPr>
              <w:ind w:left="240"/>
              <w:spacing w:after="0"/>
              <w:rPr>
                <w:sz w:val="20"/>
                <w:szCs w:val="20"/>
                <w:color w:val="auto"/>
              </w:rPr>
            </w:pPr>
            <w:r>
              <w:rPr>
                <w:rFonts w:ascii="Arial" w:cs="Arial" w:eastAsia="Arial" w:hAnsi="Arial"/>
                <w:sz w:val="18"/>
                <w:szCs w:val="18"/>
                <w:color w:val="auto"/>
              </w:rPr>
              <w:t>Paying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6.03</w:t>
            </w:r>
          </w:p>
        </w:tc>
        <w:tc>
          <w:tcPr>
            <w:tcW w:w="8060" w:type="dxa"/>
            <w:vAlign w:val="bottom"/>
          </w:tcPr>
          <w:p>
            <w:pPr>
              <w:ind w:left="240"/>
              <w:spacing w:after="0"/>
              <w:rPr>
                <w:sz w:val="20"/>
                <w:szCs w:val="20"/>
                <w:color w:val="auto"/>
              </w:rPr>
            </w:pPr>
            <w:r>
              <w:rPr>
                <w:rFonts w:ascii="Arial" w:cs="Arial" w:eastAsia="Arial" w:hAnsi="Arial"/>
                <w:sz w:val="18"/>
                <w:szCs w:val="18"/>
                <w:color w:val="auto"/>
              </w:rPr>
              <w:t>To Hold Payment in Trust</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6.04</w:t>
            </w:r>
          </w:p>
        </w:tc>
        <w:tc>
          <w:tcPr>
            <w:tcW w:w="8060" w:type="dxa"/>
            <w:vAlign w:val="bottom"/>
          </w:tcPr>
          <w:p>
            <w:pPr>
              <w:ind w:left="240"/>
              <w:spacing w:after="0"/>
              <w:rPr>
                <w:sz w:val="20"/>
                <w:szCs w:val="20"/>
                <w:color w:val="auto"/>
              </w:rPr>
            </w:pPr>
            <w:r>
              <w:rPr>
                <w:rFonts w:ascii="Arial" w:cs="Arial" w:eastAsia="Arial" w:hAnsi="Arial"/>
                <w:sz w:val="18"/>
                <w:szCs w:val="18"/>
                <w:color w:val="auto"/>
              </w:rPr>
              <w:t>Merger, Consolidation and Sale of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6.05</w:t>
            </w:r>
          </w:p>
        </w:tc>
        <w:tc>
          <w:tcPr>
            <w:tcW w:w="806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6.06</w:t>
            </w:r>
          </w:p>
        </w:tc>
        <w:tc>
          <w:tcPr>
            <w:tcW w:w="806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6.07</w:t>
            </w:r>
          </w:p>
        </w:tc>
        <w:tc>
          <w:tcPr>
            <w:tcW w:w="8060" w:type="dxa"/>
            <w:vAlign w:val="bottom"/>
          </w:tcPr>
          <w:p>
            <w:pPr>
              <w:ind w:left="240"/>
              <w:spacing w:after="0"/>
              <w:rPr>
                <w:sz w:val="20"/>
                <w:szCs w:val="20"/>
                <w:color w:val="auto"/>
              </w:rPr>
            </w:pPr>
            <w:r>
              <w:rPr>
                <w:rFonts w:ascii="Arial" w:cs="Arial" w:eastAsia="Arial" w:hAnsi="Arial"/>
                <w:sz w:val="18"/>
                <w:szCs w:val="18"/>
                <w:color w:val="auto"/>
              </w:rPr>
              <w:t>Existence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6.08</w:t>
            </w:r>
          </w:p>
        </w:tc>
        <w:tc>
          <w:tcPr>
            <w:tcW w:w="8060" w:type="dxa"/>
            <w:vAlign w:val="bottom"/>
          </w:tcPr>
          <w:p>
            <w:pPr>
              <w:ind w:left="240"/>
              <w:spacing w:after="0"/>
              <w:rPr>
                <w:sz w:val="20"/>
                <w:szCs w:val="20"/>
                <w:color w:val="auto"/>
              </w:rPr>
            </w:pPr>
            <w:r>
              <w:rPr>
                <w:rFonts w:ascii="Arial" w:cs="Arial" w:eastAsia="Arial" w:hAnsi="Arial"/>
                <w:sz w:val="18"/>
                <w:szCs w:val="18"/>
                <w:color w:val="auto"/>
              </w:rPr>
              <w:t>Payment of Taxes and Other Claims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6.09</w:t>
            </w:r>
          </w:p>
        </w:tc>
        <w:tc>
          <w:tcPr>
            <w:tcW w:w="8060" w:type="dxa"/>
            <w:vAlign w:val="bottom"/>
          </w:tcPr>
          <w:p>
            <w:pPr>
              <w:ind w:left="240"/>
              <w:spacing w:after="0"/>
              <w:rPr>
                <w:sz w:val="20"/>
                <w:szCs w:val="20"/>
                <w:color w:val="auto"/>
              </w:rPr>
            </w:pPr>
            <w:r>
              <w:rPr>
                <w:rFonts w:ascii="Arial" w:cs="Arial" w:eastAsia="Arial" w:hAnsi="Arial"/>
                <w:sz w:val="18"/>
                <w:szCs w:val="18"/>
                <w:color w:val="auto"/>
              </w:rPr>
              <w:t>Compliance Certificate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6.10</w:t>
            </w:r>
          </w:p>
        </w:tc>
        <w:tc>
          <w:tcPr>
            <w:tcW w:w="8060" w:type="dxa"/>
            <w:vAlign w:val="bottom"/>
          </w:tcPr>
          <w:p>
            <w:pPr>
              <w:ind w:left="240"/>
              <w:spacing w:after="0"/>
              <w:rPr>
                <w:sz w:val="20"/>
                <w:szCs w:val="20"/>
                <w:color w:val="auto"/>
              </w:rPr>
            </w:pPr>
            <w:r>
              <w:rPr>
                <w:rFonts w:ascii="Arial" w:cs="Arial" w:eastAsia="Arial" w:hAnsi="Arial"/>
                <w:sz w:val="18"/>
                <w:szCs w:val="18"/>
                <w:color w:val="auto"/>
              </w:rPr>
              <w:t>Conditional Waiver by Holders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6.11</w:t>
            </w:r>
          </w:p>
        </w:tc>
        <w:tc>
          <w:tcPr>
            <w:tcW w:w="8060" w:type="dxa"/>
            <w:vAlign w:val="bottom"/>
          </w:tcPr>
          <w:p>
            <w:pPr>
              <w:ind w:left="240"/>
              <w:spacing w:after="0"/>
              <w:rPr>
                <w:sz w:val="20"/>
                <w:szCs w:val="20"/>
                <w:color w:val="auto"/>
              </w:rPr>
            </w:pPr>
            <w:r>
              <w:rPr>
                <w:rFonts w:ascii="Arial" w:cs="Arial" w:eastAsia="Arial" w:hAnsi="Arial"/>
                <w:sz w:val="18"/>
                <w:szCs w:val="18"/>
                <w:color w:val="auto"/>
              </w:rPr>
              <w:t>Statement by Officers as to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rPr>
              <w:t>ARTICLE VII</w:t>
            </w:r>
          </w:p>
        </w:tc>
        <w:tc>
          <w:tcPr>
            <w:tcW w:w="22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w w:val="89"/>
              </w:rPr>
              <w:t>Remedies of Trustee and Securityholders</w:t>
            </w:r>
          </w:p>
        </w:tc>
        <w:tc>
          <w:tcPr>
            <w:tcW w:w="22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7.01</w:t>
            </w:r>
          </w:p>
        </w:tc>
        <w:tc>
          <w:tcPr>
            <w:tcW w:w="806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7.02</w:t>
            </w:r>
          </w:p>
        </w:tc>
        <w:tc>
          <w:tcPr>
            <w:tcW w:w="8060" w:type="dxa"/>
            <w:vAlign w:val="bottom"/>
          </w:tcPr>
          <w:p>
            <w:pPr>
              <w:ind w:left="240"/>
              <w:spacing w:after="0"/>
              <w:rPr>
                <w:sz w:val="20"/>
                <w:szCs w:val="20"/>
                <w:color w:val="auto"/>
              </w:rPr>
            </w:pPr>
            <w:r>
              <w:rPr>
                <w:rFonts w:ascii="Arial" w:cs="Arial" w:eastAsia="Arial" w:hAnsi="Arial"/>
                <w:sz w:val="18"/>
                <w:szCs w:val="18"/>
                <w:color w:val="auto"/>
              </w:rPr>
              <w:t>Acceleration; Rescission and Annulment</w:t>
            </w:r>
          </w:p>
        </w:tc>
        <w:tc>
          <w:tcPr>
            <w:tcW w:w="2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7.03</w:t>
            </w:r>
          </w:p>
        </w:tc>
        <w:tc>
          <w:tcPr>
            <w:tcW w:w="8060" w:type="dxa"/>
            <w:vAlign w:val="bottom"/>
          </w:tcPr>
          <w:p>
            <w:pPr>
              <w:ind w:left="240"/>
              <w:spacing w:after="0"/>
              <w:rPr>
                <w:sz w:val="20"/>
                <w:szCs w:val="20"/>
                <w:color w:val="auto"/>
              </w:rPr>
            </w:pPr>
            <w:r>
              <w:rPr>
                <w:rFonts w:ascii="Arial" w:cs="Arial" w:eastAsia="Arial" w:hAnsi="Arial"/>
                <w:sz w:val="18"/>
                <w:szCs w:val="18"/>
                <w:color w:val="auto"/>
              </w:rPr>
              <w:t>Other 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7.04</w:t>
            </w:r>
          </w:p>
        </w:tc>
        <w:tc>
          <w:tcPr>
            <w:tcW w:w="8060" w:type="dxa"/>
            <w:vAlign w:val="bottom"/>
          </w:tcPr>
          <w:p>
            <w:pPr>
              <w:ind w:left="240"/>
              <w:spacing w:after="0"/>
              <w:rPr>
                <w:sz w:val="20"/>
                <w:szCs w:val="20"/>
                <w:color w:val="auto"/>
              </w:rPr>
            </w:pPr>
            <w:r>
              <w:rPr>
                <w:rFonts w:ascii="Arial" w:cs="Arial" w:eastAsia="Arial" w:hAnsi="Arial"/>
                <w:sz w:val="18"/>
                <w:szCs w:val="18"/>
                <w:color w:val="auto"/>
              </w:rPr>
              <w:t>Trustee as Attorney-in-Fact</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7.05</w:t>
            </w:r>
          </w:p>
        </w:tc>
        <w:tc>
          <w:tcPr>
            <w:tcW w:w="8060" w:type="dxa"/>
            <w:vAlign w:val="bottom"/>
          </w:tcPr>
          <w:p>
            <w:pPr>
              <w:ind w:left="240"/>
              <w:spacing w:after="0"/>
              <w:rPr>
                <w:sz w:val="20"/>
                <w:szCs w:val="20"/>
                <w:color w:val="auto"/>
              </w:rPr>
            </w:pPr>
            <w:r>
              <w:rPr>
                <w:rFonts w:ascii="Arial" w:cs="Arial" w:eastAsia="Arial" w:hAnsi="Arial"/>
                <w:sz w:val="18"/>
                <w:szCs w:val="18"/>
                <w:color w:val="auto"/>
              </w:rPr>
              <w:t>Priorities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7.06</w:t>
            </w:r>
          </w:p>
        </w:tc>
        <w:tc>
          <w:tcPr>
            <w:tcW w:w="8060" w:type="dxa"/>
            <w:vAlign w:val="bottom"/>
          </w:tcPr>
          <w:p>
            <w:pPr>
              <w:ind w:left="240"/>
              <w:spacing w:after="0"/>
              <w:rPr>
                <w:sz w:val="20"/>
                <w:szCs w:val="20"/>
                <w:color w:val="auto"/>
              </w:rPr>
            </w:pPr>
            <w:r>
              <w:rPr>
                <w:rFonts w:ascii="Arial" w:cs="Arial" w:eastAsia="Arial" w:hAnsi="Arial"/>
                <w:sz w:val="18"/>
                <w:szCs w:val="18"/>
                <w:color w:val="auto"/>
              </w:rPr>
              <w:t>Control by Securityholders; Waiver of Past Defaults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7.07</w:t>
            </w:r>
          </w:p>
        </w:tc>
        <w:tc>
          <w:tcPr>
            <w:tcW w:w="806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7.08</w:t>
            </w:r>
          </w:p>
        </w:tc>
        <w:tc>
          <w:tcPr>
            <w:tcW w:w="8060" w:type="dxa"/>
            <w:vAlign w:val="bottom"/>
          </w:tcPr>
          <w:p>
            <w:pPr>
              <w:ind w:left="240"/>
              <w:spacing w:after="0"/>
              <w:rPr>
                <w:sz w:val="20"/>
                <w:szCs w:val="20"/>
                <w:color w:val="auto"/>
              </w:rPr>
            </w:pPr>
            <w:r>
              <w:rPr>
                <w:rFonts w:ascii="Arial" w:cs="Arial" w:eastAsia="Arial" w:hAnsi="Arial"/>
                <w:sz w:val="18"/>
                <w:szCs w:val="18"/>
                <w:color w:val="auto"/>
              </w:rPr>
              <w:t>Undertaking for Costs</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7.09</w:t>
            </w:r>
          </w:p>
        </w:tc>
        <w:tc>
          <w:tcPr>
            <w:tcW w:w="8060" w:type="dxa"/>
            <w:vAlign w:val="bottom"/>
          </w:tcPr>
          <w:p>
            <w:pPr>
              <w:ind w:left="240"/>
              <w:spacing w:after="0"/>
              <w:rPr>
                <w:sz w:val="20"/>
                <w:szCs w:val="20"/>
                <w:color w:val="auto"/>
              </w:rPr>
            </w:pPr>
            <w:r>
              <w:rPr>
                <w:rFonts w:ascii="Arial" w:cs="Arial" w:eastAsia="Arial" w:hAnsi="Arial"/>
                <w:sz w:val="18"/>
                <w:szCs w:val="18"/>
                <w:color w:val="auto"/>
              </w:rPr>
              <w:t>Remedies Cumulative</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50"/>
              <w:spacing w:after="0"/>
              <w:rPr>
                <w:sz w:val="20"/>
                <w:szCs w:val="20"/>
                <w:color w:val="auto"/>
              </w:rPr>
            </w:pPr>
            <w:r>
              <w:rPr>
                <w:rFonts w:ascii="Arial" w:cs="Arial" w:eastAsia="Arial" w:hAnsi="Arial"/>
                <w:sz w:val="18"/>
                <w:szCs w:val="18"/>
                <w:color w:val="auto"/>
              </w:rPr>
              <w:t>ARTICLE VIII</w:t>
            </w:r>
          </w:p>
        </w:tc>
        <w:tc>
          <w:tcPr>
            <w:tcW w:w="22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8060" w:type="dxa"/>
            <w:vAlign w:val="bottom"/>
          </w:tcPr>
          <w:p>
            <w:pPr>
              <w:jc w:val="center"/>
              <w:ind w:left="970"/>
              <w:spacing w:after="0"/>
              <w:rPr>
                <w:sz w:val="20"/>
                <w:szCs w:val="20"/>
                <w:color w:val="auto"/>
              </w:rPr>
            </w:pPr>
            <w:r>
              <w:rPr>
                <w:rFonts w:ascii="Arial" w:cs="Arial" w:eastAsia="Arial" w:hAnsi="Arial"/>
                <w:sz w:val="18"/>
                <w:szCs w:val="18"/>
                <w:color w:val="auto"/>
                <w:w w:val="90"/>
              </w:rPr>
              <w:t>Concerning the Securityholders</w:t>
            </w:r>
          </w:p>
        </w:tc>
        <w:tc>
          <w:tcPr>
            <w:tcW w:w="22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8.01</w:t>
            </w:r>
          </w:p>
        </w:tc>
        <w:tc>
          <w:tcPr>
            <w:tcW w:w="8060" w:type="dxa"/>
            <w:vAlign w:val="bottom"/>
          </w:tcPr>
          <w:p>
            <w:pPr>
              <w:ind w:left="240"/>
              <w:spacing w:after="0"/>
              <w:rPr>
                <w:sz w:val="20"/>
                <w:szCs w:val="20"/>
                <w:color w:val="auto"/>
              </w:rPr>
            </w:pPr>
            <w:r>
              <w:rPr>
                <w:rFonts w:ascii="Arial" w:cs="Arial" w:eastAsia="Arial" w:hAnsi="Arial"/>
                <w:sz w:val="18"/>
                <w:szCs w:val="18"/>
                <w:color w:val="auto"/>
              </w:rPr>
              <w:t>Evidence of Action of Securityholders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8.02</w:t>
            </w:r>
          </w:p>
        </w:tc>
        <w:tc>
          <w:tcPr>
            <w:tcW w:w="8060" w:type="dxa"/>
            <w:vAlign w:val="bottom"/>
          </w:tcPr>
          <w:p>
            <w:pPr>
              <w:ind w:left="240"/>
              <w:spacing w:after="0"/>
              <w:rPr>
                <w:sz w:val="20"/>
                <w:szCs w:val="20"/>
                <w:color w:val="auto"/>
              </w:rPr>
            </w:pPr>
            <w:r>
              <w:rPr>
                <w:rFonts w:ascii="Arial" w:cs="Arial" w:eastAsia="Arial" w:hAnsi="Arial"/>
                <w:sz w:val="18"/>
                <w:szCs w:val="18"/>
                <w:color w:val="auto"/>
              </w:rPr>
              <w:t>Proof of Execution or Holding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-6973570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-6973570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60"/>
          </w:cols>
          <w:pgMar w:left="240" w:top="125" w:right="19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600" w:type="dxa"/>
            <w:vAlign w:val="bottom"/>
          </w:tcPr>
          <w:p>
            <w:pPr>
              <w:ind w:left="200"/>
              <w:spacing w:after="0"/>
              <w:rPr>
                <w:sz w:val="20"/>
                <w:szCs w:val="20"/>
                <w:color w:val="auto"/>
              </w:rPr>
            </w:pPr>
            <w:r>
              <w:rPr>
                <w:rFonts w:ascii="Arial" w:cs="Arial" w:eastAsia="Arial" w:hAnsi="Arial"/>
                <w:sz w:val="18"/>
                <w:szCs w:val="18"/>
                <w:color w:val="auto"/>
              </w:rPr>
              <w:t>Persons Deemed Owners</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600" w:type="dxa"/>
            <w:vAlign w:val="bottom"/>
          </w:tcPr>
          <w:p>
            <w:pPr>
              <w:ind w:left="200"/>
              <w:spacing w:after="0"/>
              <w:rPr>
                <w:sz w:val="20"/>
                <w:szCs w:val="20"/>
                <w:color w:val="auto"/>
              </w:rPr>
            </w:pPr>
            <w:r>
              <w:rPr>
                <w:rFonts w:ascii="Arial" w:cs="Arial" w:eastAsia="Arial" w:hAnsi="Arial"/>
                <w:sz w:val="18"/>
                <w:szCs w:val="18"/>
                <w:color w:val="auto"/>
              </w:rPr>
              <w:t>Effect of Consents</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w w:val="99"/>
              </w:rPr>
              <w:t>ARTICLE IX</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w w:val="92"/>
              </w:rPr>
              <w:t>Securityholders’ Meetings</w:t>
            </w:r>
          </w:p>
        </w:tc>
        <w:tc>
          <w:tcPr>
            <w:tcW w:w="166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8600" w:type="dxa"/>
            <w:vAlign w:val="bottom"/>
          </w:tcPr>
          <w:p>
            <w:pPr>
              <w:ind w:left="200"/>
              <w:spacing w:after="0"/>
              <w:rPr>
                <w:sz w:val="20"/>
                <w:szCs w:val="20"/>
                <w:color w:val="auto"/>
              </w:rPr>
            </w:pPr>
            <w:r>
              <w:rPr>
                <w:rFonts w:ascii="Arial" w:cs="Arial" w:eastAsia="Arial" w:hAnsi="Arial"/>
                <w:sz w:val="18"/>
                <w:szCs w:val="18"/>
                <w:color w:val="auto"/>
              </w:rPr>
              <w:t>Purposes of Meetings</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9.02</w:t>
            </w:r>
          </w:p>
        </w:tc>
        <w:tc>
          <w:tcPr>
            <w:tcW w:w="8600" w:type="dxa"/>
            <w:vAlign w:val="bottom"/>
          </w:tcPr>
          <w:p>
            <w:pPr>
              <w:ind w:left="200"/>
              <w:spacing w:after="0"/>
              <w:rPr>
                <w:sz w:val="20"/>
                <w:szCs w:val="20"/>
                <w:color w:val="auto"/>
              </w:rPr>
            </w:pPr>
            <w:r>
              <w:rPr>
                <w:rFonts w:ascii="Arial" w:cs="Arial" w:eastAsia="Arial" w:hAnsi="Arial"/>
                <w:sz w:val="18"/>
                <w:szCs w:val="18"/>
                <w:color w:val="auto"/>
              </w:rPr>
              <w:t>Call of Meetings by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8600" w:type="dxa"/>
            <w:vAlign w:val="bottom"/>
          </w:tcPr>
          <w:p>
            <w:pPr>
              <w:ind w:left="200"/>
              <w:spacing w:after="0"/>
              <w:rPr>
                <w:sz w:val="20"/>
                <w:szCs w:val="20"/>
                <w:color w:val="auto"/>
              </w:rPr>
            </w:pPr>
            <w:r>
              <w:rPr>
                <w:rFonts w:ascii="Arial" w:cs="Arial" w:eastAsia="Arial" w:hAnsi="Arial"/>
                <w:sz w:val="18"/>
                <w:szCs w:val="18"/>
                <w:color w:val="auto"/>
              </w:rPr>
              <w:t>Call of Meetings by Issuer or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9.04</w:t>
            </w:r>
          </w:p>
        </w:tc>
        <w:tc>
          <w:tcPr>
            <w:tcW w:w="8600" w:type="dxa"/>
            <w:vAlign w:val="bottom"/>
          </w:tcPr>
          <w:p>
            <w:pPr>
              <w:ind w:left="200"/>
              <w:spacing w:after="0"/>
              <w:rPr>
                <w:sz w:val="20"/>
                <w:szCs w:val="20"/>
                <w:color w:val="auto"/>
              </w:rPr>
            </w:pPr>
            <w:r>
              <w:rPr>
                <w:rFonts w:ascii="Arial" w:cs="Arial" w:eastAsia="Arial" w:hAnsi="Arial"/>
                <w:sz w:val="18"/>
                <w:szCs w:val="18"/>
                <w:color w:val="auto"/>
              </w:rPr>
              <w:t>Qualifications for Voting</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9.05</w:t>
            </w:r>
          </w:p>
        </w:tc>
        <w:tc>
          <w:tcPr>
            <w:tcW w:w="8600" w:type="dxa"/>
            <w:vAlign w:val="bottom"/>
          </w:tcPr>
          <w:p>
            <w:pPr>
              <w:ind w:left="200"/>
              <w:spacing w:after="0"/>
              <w:rPr>
                <w:sz w:val="20"/>
                <w:szCs w:val="20"/>
                <w:color w:val="auto"/>
              </w:rPr>
            </w:pPr>
            <w:r>
              <w:rPr>
                <w:rFonts w:ascii="Arial" w:cs="Arial" w:eastAsia="Arial" w:hAnsi="Arial"/>
                <w:sz w:val="18"/>
                <w:szCs w:val="18"/>
                <w:color w:val="auto"/>
              </w:rPr>
              <w:t>Regulation of Meetings</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9.06</w:t>
            </w:r>
          </w:p>
        </w:tc>
        <w:tc>
          <w:tcPr>
            <w:tcW w:w="8600" w:type="dxa"/>
            <w:vAlign w:val="bottom"/>
          </w:tcPr>
          <w:p>
            <w:pPr>
              <w:ind w:left="200"/>
              <w:spacing w:after="0"/>
              <w:rPr>
                <w:sz w:val="20"/>
                <w:szCs w:val="20"/>
                <w:color w:val="auto"/>
              </w:rPr>
            </w:pPr>
            <w:r>
              <w:rPr>
                <w:rFonts w:ascii="Arial" w:cs="Arial" w:eastAsia="Arial" w:hAnsi="Arial"/>
                <w:sz w:val="18"/>
                <w:szCs w:val="18"/>
                <w:color w:val="auto"/>
              </w:rPr>
              <w:t>Voting</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9.07</w:t>
            </w:r>
          </w:p>
        </w:tc>
        <w:tc>
          <w:tcPr>
            <w:tcW w:w="8600" w:type="dxa"/>
            <w:vAlign w:val="bottom"/>
          </w:tcPr>
          <w:p>
            <w:pPr>
              <w:ind w:left="200"/>
              <w:spacing w:after="0"/>
              <w:rPr>
                <w:sz w:val="20"/>
                <w:szCs w:val="20"/>
                <w:color w:val="auto"/>
              </w:rPr>
            </w:pPr>
            <w:r>
              <w:rPr>
                <w:rFonts w:ascii="Arial" w:cs="Arial" w:eastAsia="Arial" w:hAnsi="Arial"/>
                <w:sz w:val="18"/>
                <w:szCs w:val="18"/>
                <w:color w:val="auto"/>
              </w:rPr>
              <w:t>No Delay of Rights by Meeting</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w w:val="98"/>
              </w:rPr>
              <w:t>ARTICLE X</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w w:val="89"/>
              </w:rPr>
              <w:t>Reports by the Issuer and the Trustee and Securityholders’ Lists</w:t>
            </w:r>
          </w:p>
        </w:tc>
        <w:tc>
          <w:tcPr>
            <w:tcW w:w="166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600" w:type="dxa"/>
            <w:vAlign w:val="bottom"/>
          </w:tcPr>
          <w:p>
            <w:pPr>
              <w:ind w:left="200"/>
              <w:spacing w:after="0"/>
              <w:rPr>
                <w:sz w:val="20"/>
                <w:szCs w:val="20"/>
                <w:color w:val="auto"/>
              </w:rPr>
            </w:pPr>
            <w:r>
              <w:rPr>
                <w:rFonts w:ascii="Arial" w:cs="Arial" w:eastAsia="Arial" w:hAnsi="Arial"/>
                <w:sz w:val="18"/>
                <w:szCs w:val="18"/>
                <w:color w:val="auto"/>
              </w:rPr>
              <w:t>Reports by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600" w:type="dxa"/>
            <w:vAlign w:val="bottom"/>
          </w:tcPr>
          <w:p>
            <w:pPr>
              <w:ind w:left="200"/>
              <w:spacing w:after="0"/>
              <w:rPr>
                <w:sz w:val="20"/>
                <w:szCs w:val="20"/>
                <w:color w:val="auto"/>
              </w:rPr>
            </w:pPr>
            <w:r>
              <w:rPr>
                <w:rFonts w:ascii="Arial" w:cs="Arial" w:eastAsia="Arial" w:hAnsi="Arial"/>
                <w:sz w:val="18"/>
                <w:szCs w:val="18"/>
                <w:color w:val="auto"/>
              </w:rPr>
              <w:t>Reports by the Issuer</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600" w:type="dxa"/>
            <w:vAlign w:val="bottom"/>
          </w:tcPr>
          <w:p>
            <w:pPr>
              <w:ind w:left="200"/>
              <w:spacing w:after="0"/>
              <w:rPr>
                <w:sz w:val="20"/>
                <w:szCs w:val="20"/>
                <w:color w:val="auto"/>
              </w:rPr>
            </w:pPr>
            <w:r>
              <w:rPr>
                <w:rFonts w:ascii="Arial" w:cs="Arial" w:eastAsia="Arial" w:hAnsi="Arial"/>
                <w:sz w:val="18"/>
                <w:szCs w:val="18"/>
                <w:color w:val="auto"/>
              </w:rPr>
              <w:t>Securityholders’ Lists</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w w:val="99"/>
              </w:rPr>
              <w:t>ARTICLE XI</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w w:val="89"/>
              </w:rPr>
              <w:t>Concerning the Trustee</w:t>
            </w:r>
          </w:p>
        </w:tc>
        <w:tc>
          <w:tcPr>
            <w:tcW w:w="166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8600" w:type="dxa"/>
            <w:vAlign w:val="bottom"/>
          </w:tcPr>
          <w:p>
            <w:pPr>
              <w:ind w:left="200"/>
              <w:spacing w:after="0"/>
              <w:rPr>
                <w:sz w:val="20"/>
                <w:szCs w:val="20"/>
                <w:color w:val="auto"/>
              </w:rPr>
            </w:pPr>
            <w:r>
              <w:rPr>
                <w:rFonts w:ascii="Arial" w:cs="Arial" w:eastAsia="Arial" w:hAnsi="Arial"/>
                <w:sz w:val="18"/>
                <w:szCs w:val="18"/>
                <w:color w:val="auto"/>
              </w:rPr>
              <w:t>Rights of Trustees; Compensation and Indemnity</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860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860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11.04</w:t>
            </w:r>
          </w:p>
        </w:tc>
        <w:tc>
          <w:tcPr>
            <w:tcW w:w="860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11.05</w:t>
            </w:r>
          </w:p>
        </w:tc>
        <w:tc>
          <w:tcPr>
            <w:tcW w:w="8600" w:type="dxa"/>
            <w:vAlign w:val="bottom"/>
          </w:tcPr>
          <w:p>
            <w:pPr>
              <w:ind w:left="200"/>
              <w:spacing w:after="0"/>
              <w:rPr>
                <w:sz w:val="20"/>
                <w:szCs w:val="20"/>
                <w:color w:val="auto"/>
              </w:rPr>
            </w:pPr>
            <w:r>
              <w:rPr>
                <w:rFonts w:ascii="Arial" w:cs="Arial" w:eastAsia="Arial" w:hAnsi="Arial"/>
                <w:sz w:val="18"/>
                <w:szCs w:val="18"/>
                <w:color w:val="auto"/>
              </w:rPr>
              <w:t>Resignation and Notice; Removal</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11.06</w:t>
            </w:r>
          </w:p>
        </w:tc>
        <w:tc>
          <w:tcPr>
            <w:tcW w:w="8600" w:type="dxa"/>
            <w:vAlign w:val="bottom"/>
          </w:tcPr>
          <w:p>
            <w:pPr>
              <w:ind w:left="200"/>
              <w:spacing w:after="0"/>
              <w:rPr>
                <w:sz w:val="20"/>
                <w:szCs w:val="20"/>
                <w:color w:val="auto"/>
              </w:rPr>
            </w:pPr>
            <w:r>
              <w:rPr>
                <w:rFonts w:ascii="Arial" w:cs="Arial" w:eastAsia="Arial" w:hAnsi="Arial"/>
                <w:sz w:val="18"/>
                <w:szCs w:val="18"/>
                <w:color w:val="auto"/>
              </w:rPr>
              <w:t>Successor Trustee by Appointment</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11.07</w:t>
            </w:r>
          </w:p>
        </w:tc>
        <w:tc>
          <w:tcPr>
            <w:tcW w:w="8600" w:type="dxa"/>
            <w:vAlign w:val="bottom"/>
          </w:tcPr>
          <w:p>
            <w:pPr>
              <w:ind w:left="200"/>
              <w:spacing w:after="0"/>
              <w:rPr>
                <w:sz w:val="20"/>
                <w:szCs w:val="20"/>
                <w:color w:val="auto"/>
              </w:rPr>
            </w:pPr>
            <w:r>
              <w:rPr>
                <w:rFonts w:ascii="Arial" w:cs="Arial" w:eastAsia="Arial" w:hAnsi="Arial"/>
                <w:sz w:val="18"/>
                <w:szCs w:val="18"/>
                <w:color w:val="auto"/>
              </w:rPr>
              <w:t>Successor Trustee by Merger</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11.08</w:t>
            </w:r>
          </w:p>
        </w:tc>
        <w:tc>
          <w:tcPr>
            <w:tcW w:w="8600" w:type="dxa"/>
            <w:vAlign w:val="bottom"/>
          </w:tcPr>
          <w:p>
            <w:pPr>
              <w:ind w:left="200"/>
              <w:spacing w:after="0"/>
              <w:rPr>
                <w:sz w:val="20"/>
                <w:szCs w:val="20"/>
                <w:color w:val="auto"/>
              </w:rPr>
            </w:pPr>
            <w:r>
              <w:rPr>
                <w:rFonts w:ascii="Arial" w:cs="Arial" w:eastAsia="Arial" w:hAnsi="Arial"/>
                <w:sz w:val="18"/>
                <w:szCs w:val="18"/>
                <w:color w:val="auto"/>
              </w:rPr>
              <w:t>Right to Rely on Officer’s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11.09</w:t>
            </w:r>
          </w:p>
        </w:tc>
        <w:tc>
          <w:tcPr>
            <w:tcW w:w="8600" w:type="dxa"/>
            <w:vAlign w:val="bottom"/>
          </w:tcPr>
          <w:p>
            <w:pPr>
              <w:ind w:left="200"/>
              <w:spacing w:after="0"/>
              <w:rPr>
                <w:sz w:val="20"/>
                <w:szCs w:val="20"/>
                <w:color w:val="auto"/>
              </w:rPr>
            </w:pPr>
            <w:r>
              <w:rPr>
                <w:rFonts w:ascii="Arial" w:cs="Arial" w:eastAsia="Arial" w:hAnsi="Arial"/>
                <w:sz w:val="18"/>
                <w:szCs w:val="18"/>
                <w:color w:val="auto"/>
              </w:rPr>
              <w:t>Appointment of Authenticating Agent</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11.10</w:t>
            </w:r>
          </w:p>
        </w:tc>
        <w:tc>
          <w:tcPr>
            <w:tcW w:w="8600" w:type="dxa"/>
            <w:vAlign w:val="bottom"/>
          </w:tcPr>
          <w:p>
            <w:pPr>
              <w:ind w:left="200"/>
              <w:spacing w:after="0"/>
              <w:rPr>
                <w:sz w:val="20"/>
                <w:szCs w:val="20"/>
                <w:color w:val="auto"/>
              </w:rPr>
            </w:pPr>
            <w:r>
              <w:rPr>
                <w:rFonts w:ascii="Arial" w:cs="Arial" w:eastAsia="Arial" w:hAnsi="Arial"/>
                <w:sz w:val="18"/>
                <w:szCs w:val="18"/>
                <w:color w:val="auto"/>
              </w:rPr>
              <w:t>Communications by Securityholders with Other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rPr>
              <w:t>ARTICLE XII</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w w:val="89"/>
              </w:rPr>
              <w:t>Satisfaction and Discharge; Defeasance</w:t>
            </w:r>
          </w:p>
        </w:tc>
        <w:tc>
          <w:tcPr>
            <w:tcW w:w="166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860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12.02</w:t>
            </w:r>
          </w:p>
        </w:tc>
        <w:tc>
          <w:tcPr>
            <w:tcW w:w="8600" w:type="dxa"/>
            <w:vAlign w:val="bottom"/>
          </w:tcPr>
          <w:p>
            <w:pPr>
              <w:ind w:left="200"/>
              <w:spacing w:after="0"/>
              <w:rPr>
                <w:sz w:val="20"/>
                <w:szCs w:val="20"/>
                <w:color w:val="auto"/>
              </w:rPr>
            </w:pPr>
            <w:r>
              <w:rPr>
                <w:rFonts w:ascii="Arial" w:cs="Arial" w:eastAsia="Arial" w:hAnsi="Arial"/>
                <w:sz w:val="18"/>
                <w:szCs w:val="18"/>
                <w:color w:val="auto"/>
              </w:rPr>
              <w:t>Satisfaction and Discharge of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8600" w:type="dxa"/>
            <w:vAlign w:val="bottom"/>
          </w:tcPr>
          <w:p>
            <w:pPr>
              <w:ind w:left="200"/>
              <w:spacing w:after="0"/>
              <w:rPr>
                <w:sz w:val="20"/>
                <w:szCs w:val="20"/>
                <w:color w:val="auto"/>
              </w:rPr>
            </w:pPr>
            <w:r>
              <w:rPr>
                <w:rFonts w:ascii="Arial" w:cs="Arial" w:eastAsia="Arial" w:hAnsi="Arial"/>
                <w:sz w:val="18"/>
                <w:szCs w:val="18"/>
                <w:color w:val="auto"/>
              </w:rPr>
              <w:t>Defeasance and Covenant Defeasance upon Deposit of Moneys or U.S. Government Obligations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12.04</w:t>
            </w:r>
          </w:p>
        </w:tc>
        <w:tc>
          <w:tcPr>
            <w:tcW w:w="8600" w:type="dxa"/>
            <w:vAlign w:val="bottom"/>
          </w:tcPr>
          <w:p>
            <w:pPr>
              <w:ind w:left="200"/>
              <w:spacing w:after="0"/>
              <w:rPr>
                <w:sz w:val="20"/>
                <w:szCs w:val="20"/>
                <w:color w:val="auto"/>
              </w:rPr>
            </w:pPr>
            <w:r>
              <w:rPr>
                <w:rFonts w:ascii="Arial" w:cs="Arial" w:eastAsia="Arial" w:hAnsi="Arial"/>
                <w:sz w:val="18"/>
                <w:szCs w:val="18"/>
                <w:color w:val="auto"/>
              </w:rPr>
              <w:t>Repayment to Issuer</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8600" w:type="dxa"/>
            <w:vAlign w:val="bottom"/>
          </w:tcPr>
          <w:p>
            <w:pPr>
              <w:ind w:left="200"/>
              <w:spacing w:after="0"/>
              <w:rPr>
                <w:sz w:val="20"/>
                <w:szCs w:val="20"/>
                <w:color w:val="auto"/>
              </w:rPr>
            </w:pPr>
            <w:r>
              <w:rPr>
                <w:rFonts w:ascii="Arial" w:cs="Arial" w:eastAsia="Arial" w:hAnsi="Arial"/>
                <w:sz w:val="18"/>
                <w:szCs w:val="18"/>
                <w:color w:val="auto"/>
              </w:rPr>
              <w:t>Indemnity for U.S. Government Obligations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rPr>
              <w:t>iii</w:t>
            </w:r>
          </w:p>
        </w:tc>
        <w:tc>
          <w:tcPr>
            <w:tcW w:w="1660" w:type="dxa"/>
            <w:vAlign w:val="bottom"/>
          </w:tcPr>
          <w:p>
            <w:pPr>
              <w:spacing w:after="0"/>
              <w:rPr>
                <w:sz w:val="24"/>
                <w:szCs w:val="24"/>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86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r>
      <w:tr>
        <w:trPr>
          <w:trHeight w:val="766"/>
        </w:trPr>
        <w:tc>
          <w:tcPr>
            <w:tcW w:w="1200" w:type="dxa"/>
            <w:vAlign w:val="bottom"/>
          </w:tcPr>
          <w:p>
            <w:pPr>
              <w:spacing w:after="0"/>
              <w:rPr>
                <w:sz w:val="20"/>
                <w:szCs w:val="20"/>
                <w:color w:val="auto"/>
              </w:rPr>
            </w:pPr>
            <w:r>
              <w:rPr>
                <w:rFonts w:ascii="Arial" w:cs="Arial" w:eastAsia="Arial" w:hAnsi="Arial"/>
                <w:sz w:val="18"/>
                <w:szCs w:val="18"/>
                <w:color w:val="auto"/>
              </w:rPr>
              <w:t>Section 12.06</w:t>
            </w:r>
          </w:p>
        </w:tc>
        <w:tc>
          <w:tcPr>
            <w:tcW w:w="8600" w:type="dxa"/>
            <w:vAlign w:val="bottom"/>
          </w:tcPr>
          <w:p>
            <w:pPr>
              <w:ind w:left="200"/>
              <w:spacing w:after="0"/>
              <w:rPr>
                <w:sz w:val="20"/>
                <w:szCs w:val="20"/>
                <w:color w:val="auto"/>
              </w:rPr>
            </w:pPr>
            <w:r>
              <w:rPr>
                <w:rFonts w:ascii="Arial" w:cs="Arial" w:eastAsia="Arial" w:hAnsi="Arial"/>
                <w:sz w:val="18"/>
                <w:szCs w:val="18"/>
                <w:color w:val="auto"/>
              </w:rPr>
              <w:t>Deposits to Be Held in Escrow</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8600" w:type="dxa"/>
            <w:vAlign w:val="bottom"/>
          </w:tcPr>
          <w:p>
            <w:pPr>
              <w:ind w:left="200"/>
              <w:spacing w:after="0"/>
              <w:rPr>
                <w:sz w:val="20"/>
                <w:szCs w:val="20"/>
                <w:color w:val="auto"/>
              </w:rPr>
            </w:pPr>
            <w:r>
              <w:rPr>
                <w:rFonts w:ascii="Arial" w:cs="Arial" w:eastAsia="Arial" w:hAnsi="Arial"/>
                <w:sz w:val="18"/>
                <w:szCs w:val="18"/>
                <w:color w:val="auto"/>
              </w:rPr>
              <w:t>Application of Trust Money</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12.08</w:t>
            </w:r>
          </w:p>
        </w:tc>
        <w:tc>
          <w:tcPr>
            <w:tcW w:w="8600" w:type="dxa"/>
            <w:vAlign w:val="bottom"/>
          </w:tcPr>
          <w:p>
            <w:pPr>
              <w:ind w:left="200"/>
              <w:spacing w:after="0"/>
              <w:rPr>
                <w:sz w:val="20"/>
                <w:szCs w:val="20"/>
                <w:color w:val="auto"/>
              </w:rPr>
            </w:pPr>
            <w:r>
              <w:rPr>
                <w:rFonts w:ascii="Arial" w:cs="Arial" w:eastAsia="Arial" w:hAnsi="Arial"/>
                <w:sz w:val="18"/>
                <w:szCs w:val="18"/>
                <w:color w:val="auto"/>
              </w:rPr>
              <w:t>Deposits of Non-U.S. Currencies</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30"/>
              <w:spacing w:after="0"/>
              <w:rPr>
                <w:sz w:val="20"/>
                <w:szCs w:val="20"/>
                <w:color w:val="auto"/>
              </w:rPr>
            </w:pPr>
            <w:r>
              <w:rPr>
                <w:rFonts w:ascii="Arial" w:cs="Arial" w:eastAsia="Arial" w:hAnsi="Arial"/>
                <w:sz w:val="18"/>
                <w:szCs w:val="18"/>
                <w:color w:val="auto"/>
              </w:rPr>
              <w:t>ARTICLE XIII</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w w:val="91"/>
              </w:rPr>
              <w:t>Immunity of Certain Persons</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13.01</w:t>
            </w:r>
          </w:p>
        </w:tc>
        <w:tc>
          <w:tcPr>
            <w:tcW w:w="8600" w:type="dxa"/>
            <w:vAlign w:val="bottom"/>
          </w:tcPr>
          <w:p>
            <w:pPr>
              <w:ind w:left="200"/>
              <w:spacing w:after="0"/>
              <w:rPr>
                <w:sz w:val="20"/>
                <w:szCs w:val="20"/>
                <w:color w:val="auto"/>
              </w:rPr>
            </w:pPr>
            <w:r>
              <w:rPr>
                <w:rFonts w:ascii="Arial" w:cs="Arial" w:eastAsia="Arial" w:hAnsi="Arial"/>
                <w:sz w:val="18"/>
                <w:szCs w:val="18"/>
                <w:color w:val="auto"/>
              </w:rPr>
              <w:t>No Personal Liability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rPr>
              <w:t>ARTICLE XIV</w:t>
            </w:r>
          </w:p>
        </w:tc>
        <w:tc>
          <w:tcPr>
            <w:tcW w:w="166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jc w:val="center"/>
              <w:ind w:left="350"/>
              <w:spacing w:after="0"/>
              <w:rPr>
                <w:sz w:val="20"/>
                <w:szCs w:val="20"/>
                <w:color w:val="auto"/>
              </w:rPr>
            </w:pPr>
            <w:r>
              <w:rPr>
                <w:rFonts w:ascii="Arial" w:cs="Arial" w:eastAsia="Arial" w:hAnsi="Arial"/>
                <w:sz w:val="18"/>
                <w:szCs w:val="18"/>
                <w:color w:val="auto"/>
                <w:w w:val="89"/>
              </w:rPr>
              <w:t>Supplemental Indentures</w:t>
            </w:r>
          </w:p>
        </w:tc>
        <w:tc>
          <w:tcPr>
            <w:tcW w:w="166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14.01</w:t>
            </w:r>
          </w:p>
        </w:tc>
        <w:tc>
          <w:tcPr>
            <w:tcW w:w="8600" w:type="dxa"/>
            <w:vAlign w:val="bottom"/>
          </w:tcPr>
          <w:p>
            <w:pPr>
              <w:ind w:left="200"/>
              <w:spacing w:after="0"/>
              <w:rPr>
                <w:sz w:val="20"/>
                <w:szCs w:val="20"/>
                <w:color w:val="auto"/>
              </w:rPr>
            </w:pPr>
            <w:r>
              <w:rPr>
                <w:rFonts w:ascii="Arial" w:cs="Arial" w:eastAsia="Arial" w:hAnsi="Arial"/>
                <w:sz w:val="18"/>
                <w:szCs w:val="18"/>
                <w:color w:val="auto"/>
              </w:rPr>
              <w:t>Without Consent of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14.02</w:t>
            </w:r>
          </w:p>
        </w:tc>
        <w:tc>
          <w:tcPr>
            <w:tcW w:w="8600" w:type="dxa"/>
            <w:vAlign w:val="bottom"/>
          </w:tcPr>
          <w:p>
            <w:pPr>
              <w:ind w:left="200"/>
              <w:spacing w:after="0"/>
              <w:rPr>
                <w:sz w:val="20"/>
                <w:szCs w:val="20"/>
                <w:color w:val="auto"/>
              </w:rPr>
            </w:pPr>
            <w:r>
              <w:rPr>
                <w:rFonts w:ascii="Arial" w:cs="Arial" w:eastAsia="Arial" w:hAnsi="Arial"/>
                <w:sz w:val="18"/>
                <w:szCs w:val="18"/>
                <w:color w:val="auto"/>
              </w:rPr>
              <w:t>With Consent of Securityholders; Limitations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14.03</w:t>
            </w:r>
          </w:p>
        </w:tc>
        <w:tc>
          <w:tcPr>
            <w:tcW w:w="8600" w:type="dxa"/>
            <w:vAlign w:val="bottom"/>
          </w:tcPr>
          <w:p>
            <w:pPr>
              <w:ind w:left="200"/>
              <w:spacing w:after="0"/>
              <w:rPr>
                <w:sz w:val="20"/>
                <w:szCs w:val="20"/>
                <w:color w:val="auto"/>
              </w:rPr>
            </w:pPr>
            <w:r>
              <w:rPr>
                <w:rFonts w:ascii="Arial" w:cs="Arial" w:eastAsia="Arial" w:hAnsi="Arial"/>
                <w:sz w:val="18"/>
                <w:szCs w:val="18"/>
                <w:color w:val="auto"/>
              </w:rPr>
              <w:t>Trustee Protected</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14.04</w:t>
            </w:r>
          </w:p>
        </w:tc>
        <w:tc>
          <w:tcPr>
            <w:tcW w:w="8600" w:type="dxa"/>
            <w:vAlign w:val="bottom"/>
          </w:tcPr>
          <w:p>
            <w:pPr>
              <w:ind w:left="200"/>
              <w:spacing w:after="0"/>
              <w:rPr>
                <w:sz w:val="20"/>
                <w:szCs w:val="20"/>
                <w:color w:val="auto"/>
              </w:rPr>
            </w:pPr>
            <w:r>
              <w:rPr>
                <w:rFonts w:ascii="Arial" w:cs="Arial" w:eastAsia="Arial" w:hAnsi="Arial"/>
                <w:sz w:val="18"/>
                <w:szCs w:val="18"/>
                <w:color w:val="auto"/>
              </w:rPr>
              <w:t>Effect of Execution of Supplemental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14.05</w:t>
            </w:r>
          </w:p>
        </w:tc>
        <w:tc>
          <w:tcPr>
            <w:tcW w:w="8600" w:type="dxa"/>
            <w:vAlign w:val="bottom"/>
          </w:tcPr>
          <w:p>
            <w:pPr>
              <w:ind w:left="200"/>
              <w:spacing w:after="0"/>
              <w:rPr>
                <w:sz w:val="20"/>
                <w:szCs w:val="20"/>
                <w:color w:val="auto"/>
              </w:rPr>
            </w:pPr>
            <w:r>
              <w:rPr>
                <w:rFonts w:ascii="Arial" w:cs="Arial" w:eastAsia="Arial" w:hAnsi="Arial"/>
                <w:sz w:val="18"/>
                <w:szCs w:val="18"/>
                <w:color w:val="auto"/>
              </w:rPr>
              <w:t>Notation on or Exchange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14.06</w:t>
            </w:r>
          </w:p>
        </w:tc>
        <w:tc>
          <w:tcPr>
            <w:tcW w:w="8600" w:type="dxa"/>
            <w:vAlign w:val="bottom"/>
          </w:tcPr>
          <w:p>
            <w:pPr>
              <w:ind w:left="200"/>
              <w:spacing w:after="0"/>
              <w:rPr>
                <w:sz w:val="20"/>
                <w:szCs w:val="20"/>
                <w:color w:val="auto"/>
              </w:rPr>
            </w:pPr>
            <w:r>
              <w:rPr>
                <w:rFonts w:ascii="Arial" w:cs="Arial" w:eastAsia="Arial" w:hAnsi="Arial"/>
                <w:sz w:val="18"/>
                <w:szCs w:val="18"/>
                <w:color w:val="auto"/>
              </w:rPr>
              <w:t>Conformity with TIA</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260" w:type="dxa"/>
            <w:vAlign w:val="bottom"/>
          </w:tcPr>
          <w:p>
            <w:pPr>
              <w:jc w:val="center"/>
              <w:ind w:left="670"/>
              <w:spacing w:after="0"/>
              <w:rPr>
                <w:sz w:val="20"/>
                <w:szCs w:val="20"/>
                <w:color w:val="auto"/>
              </w:rPr>
            </w:pPr>
            <w:r>
              <w:rPr>
                <w:rFonts w:ascii="Arial" w:cs="Arial" w:eastAsia="Arial" w:hAnsi="Arial"/>
                <w:sz w:val="18"/>
                <w:szCs w:val="18"/>
                <w:color w:val="auto"/>
              </w:rPr>
              <w:t>ARTICLE XV</w:t>
            </w:r>
          </w:p>
        </w:tc>
        <w:tc>
          <w:tcPr>
            <w:tcW w:w="200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8260" w:type="dxa"/>
            <w:vAlign w:val="bottom"/>
          </w:tcPr>
          <w:p>
            <w:pPr>
              <w:jc w:val="center"/>
              <w:ind w:left="670"/>
              <w:spacing w:after="0"/>
              <w:rPr>
                <w:sz w:val="20"/>
                <w:szCs w:val="20"/>
                <w:color w:val="auto"/>
              </w:rPr>
            </w:pPr>
            <w:r>
              <w:rPr>
                <w:rFonts w:ascii="Arial" w:cs="Arial" w:eastAsia="Arial" w:hAnsi="Arial"/>
                <w:sz w:val="18"/>
                <w:szCs w:val="18"/>
                <w:color w:val="auto"/>
                <w:w w:val="92"/>
              </w:rPr>
              <w:t>Subordination of Securities</w:t>
            </w:r>
          </w:p>
        </w:tc>
        <w:tc>
          <w:tcPr>
            <w:tcW w:w="200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15.01</w:t>
            </w:r>
          </w:p>
        </w:tc>
        <w:tc>
          <w:tcPr>
            <w:tcW w:w="8260" w:type="dxa"/>
            <w:vAlign w:val="bottom"/>
          </w:tcPr>
          <w:p>
            <w:pPr>
              <w:ind w:left="200"/>
              <w:spacing w:after="0"/>
              <w:rPr>
                <w:sz w:val="20"/>
                <w:szCs w:val="20"/>
                <w:color w:val="auto"/>
              </w:rPr>
            </w:pPr>
            <w:r>
              <w:rPr>
                <w:rFonts w:ascii="Arial" w:cs="Arial" w:eastAsia="Arial" w:hAnsi="Arial"/>
                <w:sz w:val="18"/>
                <w:szCs w:val="18"/>
                <w:color w:val="auto"/>
              </w:rPr>
              <w:t>Agreement to Subordinate</w:t>
            </w:r>
          </w:p>
        </w:tc>
        <w:tc>
          <w:tcPr>
            <w:tcW w:w="2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15.02</w:t>
            </w:r>
          </w:p>
        </w:tc>
        <w:tc>
          <w:tcPr>
            <w:tcW w:w="8260" w:type="dxa"/>
            <w:vAlign w:val="bottom"/>
          </w:tcPr>
          <w:p>
            <w:pPr>
              <w:ind w:left="200"/>
              <w:spacing w:after="0"/>
              <w:rPr>
                <w:sz w:val="20"/>
                <w:szCs w:val="20"/>
                <w:color w:val="auto"/>
              </w:rPr>
            </w:pPr>
            <w:r>
              <w:rPr>
                <w:rFonts w:ascii="Arial" w:cs="Arial" w:eastAsia="Arial" w:hAnsi="Arial"/>
                <w:sz w:val="18"/>
                <w:szCs w:val="18"/>
                <w:color w:val="auto"/>
              </w:rPr>
              <w:t>Distribution on Dissolution, Liquidation and Reorganization; Subrogation of Securities</w:t>
            </w:r>
          </w:p>
        </w:tc>
        <w:tc>
          <w:tcPr>
            <w:tcW w:w="2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15.03</w:t>
            </w:r>
          </w:p>
        </w:tc>
        <w:tc>
          <w:tcPr>
            <w:tcW w:w="8260" w:type="dxa"/>
            <w:vAlign w:val="bottom"/>
          </w:tcPr>
          <w:p>
            <w:pPr>
              <w:ind w:left="200"/>
              <w:spacing w:after="0"/>
              <w:rPr>
                <w:sz w:val="20"/>
                <w:szCs w:val="20"/>
                <w:color w:val="auto"/>
              </w:rPr>
            </w:pPr>
            <w:r>
              <w:rPr>
                <w:rFonts w:ascii="Arial" w:cs="Arial" w:eastAsia="Arial" w:hAnsi="Arial"/>
                <w:sz w:val="18"/>
                <w:szCs w:val="18"/>
                <w:color w:val="auto"/>
              </w:rPr>
              <w:t>No Payment on Securities in Event of Default on Senior Indebtedness</w:t>
            </w:r>
          </w:p>
        </w:tc>
        <w:tc>
          <w:tcPr>
            <w:tcW w:w="2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15.04</w:t>
            </w:r>
          </w:p>
        </w:tc>
        <w:tc>
          <w:tcPr>
            <w:tcW w:w="8260" w:type="dxa"/>
            <w:vAlign w:val="bottom"/>
          </w:tcPr>
          <w:p>
            <w:pPr>
              <w:ind w:left="200"/>
              <w:spacing w:after="0"/>
              <w:rPr>
                <w:sz w:val="20"/>
                <w:szCs w:val="20"/>
                <w:color w:val="auto"/>
              </w:rPr>
            </w:pPr>
            <w:r>
              <w:rPr>
                <w:rFonts w:ascii="Arial" w:cs="Arial" w:eastAsia="Arial" w:hAnsi="Arial"/>
                <w:sz w:val="18"/>
                <w:szCs w:val="18"/>
                <w:color w:val="auto"/>
              </w:rPr>
              <w:t>Payments on Securities Permitted</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15.05</w:t>
            </w:r>
          </w:p>
        </w:tc>
        <w:tc>
          <w:tcPr>
            <w:tcW w:w="8260" w:type="dxa"/>
            <w:vAlign w:val="bottom"/>
          </w:tcPr>
          <w:p>
            <w:pPr>
              <w:ind w:left="200"/>
              <w:spacing w:after="0"/>
              <w:rPr>
                <w:sz w:val="20"/>
                <w:szCs w:val="20"/>
                <w:color w:val="auto"/>
              </w:rPr>
            </w:pPr>
            <w:r>
              <w:rPr>
                <w:rFonts w:ascii="Arial" w:cs="Arial" w:eastAsia="Arial" w:hAnsi="Arial"/>
                <w:sz w:val="18"/>
                <w:szCs w:val="18"/>
                <w:color w:val="auto"/>
              </w:rPr>
              <w:t>Authorization of Securityholders to Trustee to Effect Subordination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15.06</w:t>
            </w:r>
          </w:p>
        </w:tc>
        <w:tc>
          <w:tcPr>
            <w:tcW w:w="8260" w:type="dxa"/>
            <w:vAlign w:val="bottom"/>
          </w:tcPr>
          <w:p>
            <w:pPr>
              <w:ind w:left="200"/>
              <w:spacing w:after="0"/>
              <w:rPr>
                <w:sz w:val="20"/>
                <w:szCs w:val="20"/>
                <w:color w:val="auto"/>
              </w:rPr>
            </w:pPr>
            <w:r>
              <w:rPr>
                <w:rFonts w:ascii="Arial" w:cs="Arial" w:eastAsia="Arial" w:hAnsi="Arial"/>
                <w:sz w:val="18"/>
                <w:szCs w:val="18"/>
                <w:color w:val="auto"/>
              </w:rPr>
              <w:t>Notices to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15.07</w:t>
            </w:r>
          </w:p>
        </w:tc>
        <w:tc>
          <w:tcPr>
            <w:tcW w:w="8260" w:type="dxa"/>
            <w:vAlign w:val="bottom"/>
          </w:tcPr>
          <w:p>
            <w:pPr>
              <w:ind w:left="200"/>
              <w:spacing w:after="0"/>
              <w:rPr>
                <w:sz w:val="20"/>
                <w:szCs w:val="20"/>
                <w:color w:val="auto"/>
              </w:rPr>
            </w:pPr>
            <w:r>
              <w:rPr>
                <w:rFonts w:ascii="Arial" w:cs="Arial" w:eastAsia="Arial" w:hAnsi="Arial"/>
                <w:sz w:val="18"/>
                <w:szCs w:val="18"/>
                <w:color w:val="auto"/>
              </w:rPr>
              <w:t>Trustee as Holder of Senior Indebtedness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15.08</w:t>
            </w:r>
          </w:p>
        </w:tc>
        <w:tc>
          <w:tcPr>
            <w:tcW w:w="8260" w:type="dxa"/>
            <w:vAlign w:val="bottom"/>
          </w:tcPr>
          <w:p>
            <w:pPr>
              <w:ind w:left="200"/>
              <w:spacing w:after="0"/>
              <w:rPr>
                <w:sz w:val="20"/>
                <w:szCs w:val="20"/>
                <w:color w:val="auto"/>
              </w:rPr>
            </w:pPr>
            <w:r>
              <w:rPr>
                <w:rFonts w:ascii="Arial" w:cs="Arial" w:eastAsia="Arial" w:hAnsi="Arial"/>
                <w:sz w:val="18"/>
                <w:szCs w:val="18"/>
                <w:color w:val="auto"/>
              </w:rPr>
              <w:t>Modifications of Terms of Senior Indebtedness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15.09</w:t>
            </w:r>
          </w:p>
        </w:tc>
        <w:tc>
          <w:tcPr>
            <w:tcW w:w="8260" w:type="dxa"/>
            <w:vAlign w:val="bottom"/>
          </w:tcPr>
          <w:p>
            <w:pPr>
              <w:ind w:left="200"/>
              <w:spacing w:after="0"/>
              <w:rPr>
                <w:sz w:val="20"/>
                <w:szCs w:val="20"/>
                <w:color w:val="auto"/>
              </w:rPr>
            </w:pPr>
            <w:r>
              <w:rPr>
                <w:rFonts w:ascii="Arial" w:cs="Arial" w:eastAsia="Arial" w:hAnsi="Arial"/>
                <w:sz w:val="18"/>
                <w:szCs w:val="18"/>
                <w:color w:val="auto"/>
              </w:rPr>
              <w:t>Reliance on Judicial Order or Certificate of Liquidating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15.10</w:t>
            </w:r>
          </w:p>
        </w:tc>
        <w:tc>
          <w:tcPr>
            <w:tcW w:w="8260" w:type="dxa"/>
            <w:vAlign w:val="bottom"/>
          </w:tcPr>
          <w:p>
            <w:pPr>
              <w:ind w:left="200"/>
              <w:spacing w:after="0"/>
              <w:rPr>
                <w:sz w:val="20"/>
                <w:szCs w:val="20"/>
                <w:color w:val="auto"/>
              </w:rPr>
            </w:pPr>
            <w:r>
              <w:rPr>
                <w:rFonts w:ascii="Arial" w:cs="Arial" w:eastAsia="Arial" w:hAnsi="Arial"/>
                <w:sz w:val="18"/>
                <w:szCs w:val="18"/>
                <w:color w:val="auto"/>
              </w:rPr>
              <w:t>Satisfaction and Discharge; Defeasance and Covenant Defeasance</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15.11</w:t>
            </w:r>
          </w:p>
        </w:tc>
        <w:tc>
          <w:tcPr>
            <w:tcW w:w="8260" w:type="dxa"/>
            <w:vAlign w:val="bottom"/>
          </w:tcPr>
          <w:p>
            <w:pPr>
              <w:ind w:left="200"/>
              <w:spacing w:after="0"/>
              <w:rPr>
                <w:sz w:val="20"/>
                <w:szCs w:val="20"/>
                <w:color w:val="auto"/>
              </w:rPr>
            </w:pPr>
            <w:r>
              <w:rPr>
                <w:rFonts w:ascii="Arial" w:cs="Arial" w:eastAsia="Arial" w:hAnsi="Arial"/>
                <w:sz w:val="18"/>
                <w:szCs w:val="18"/>
                <w:color w:val="auto"/>
              </w:rPr>
              <w:t>Trustee Not Fiduciary for Holders of Senior Indebtedness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200" w:type="dxa"/>
            <w:vAlign w:val="bottom"/>
          </w:tcPr>
          <w:p>
            <w:pPr>
              <w:spacing w:after="0"/>
              <w:rPr>
                <w:sz w:val="24"/>
                <w:szCs w:val="24"/>
                <w:color w:val="auto"/>
              </w:rPr>
            </w:pPr>
          </w:p>
        </w:tc>
        <w:tc>
          <w:tcPr>
            <w:tcW w:w="8260" w:type="dxa"/>
            <w:vAlign w:val="bottom"/>
          </w:tcPr>
          <w:p>
            <w:pPr>
              <w:jc w:val="center"/>
              <w:ind w:left="690"/>
              <w:spacing w:after="0"/>
              <w:rPr>
                <w:sz w:val="20"/>
                <w:szCs w:val="20"/>
                <w:color w:val="auto"/>
              </w:rPr>
            </w:pPr>
            <w:r>
              <w:rPr>
                <w:rFonts w:ascii="Arial" w:cs="Arial" w:eastAsia="Arial" w:hAnsi="Arial"/>
                <w:sz w:val="18"/>
                <w:szCs w:val="18"/>
                <w:color w:val="auto"/>
              </w:rPr>
              <w:t>ARTICLE XVI</w:t>
            </w:r>
          </w:p>
        </w:tc>
        <w:tc>
          <w:tcPr>
            <w:tcW w:w="200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8260" w:type="dxa"/>
            <w:vAlign w:val="bottom"/>
          </w:tcPr>
          <w:p>
            <w:pPr>
              <w:jc w:val="center"/>
              <w:ind w:left="690"/>
              <w:spacing w:after="0"/>
              <w:rPr>
                <w:sz w:val="20"/>
                <w:szCs w:val="20"/>
                <w:color w:val="auto"/>
              </w:rPr>
            </w:pPr>
            <w:r>
              <w:rPr>
                <w:rFonts w:ascii="Arial" w:cs="Arial" w:eastAsia="Arial" w:hAnsi="Arial"/>
                <w:sz w:val="18"/>
                <w:szCs w:val="18"/>
                <w:color w:val="auto"/>
                <w:w w:val="91"/>
              </w:rPr>
              <w:t>Miscellaneous Provisions</w:t>
            </w:r>
          </w:p>
        </w:tc>
        <w:tc>
          <w:tcPr>
            <w:tcW w:w="2000" w:type="dxa"/>
            <w:vAlign w:val="bottom"/>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16.01</w:t>
            </w:r>
          </w:p>
        </w:tc>
        <w:tc>
          <w:tcPr>
            <w:tcW w:w="8260" w:type="dxa"/>
            <w:vAlign w:val="bottom"/>
          </w:tcPr>
          <w:p>
            <w:pPr>
              <w:ind w:left="200"/>
              <w:spacing w:after="0"/>
              <w:rPr>
                <w:sz w:val="20"/>
                <w:szCs w:val="20"/>
                <w:color w:val="auto"/>
              </w:rPr>
            </w:pPr>
            <w:r>
              <w:rPr>
                <w:rFonts w:ascii="Arial" w:cs="Arial" w:eastAsia="Arial" w:hAnsi="Arial"/>
                <w:sz w:val="18"/>
                <w:szCs w:val="18"/>
                <w:color w:val="auto"/>
              </w:rPr>
              <w:t>Certificates and Opinions as to Conditions Precedent</w:t>
            </w:r>
          </w:p>
        </w:tc>
        <w:tc>
          <w:tcPr>
            <w:tcW w:w="2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16.02</w:t>
            </w:r>
          </w:p>
        </w:tc>
        <w:tc>
          <w:tcPr>
            <w:tcW w:w="8260" w:type="dxa"/>
            <w:vAlign w:val="bottom"/>
          </w:tcPr>
          <w:p>
            <w:pPr>
              <w:ind w:left="200"/>
              <w:spacing w:after="0"/>
              <w:rPr>
                <w:sz w:val="20"/>
                <w:szCs w:val="20"/>
                <w:color w:val="auto"/>
              </w:rPr>
            </w:pPr>
            <w:r>
              <w:rPr>
                <w:rFonts w:ascii="Arial" w:cs="Arial" w:eastAsia="Arial" w:hAnsi="Arial"/>
                <w:sz w:val="18"/>
                <w:szCs w:val="18"/>
                <w:color w:val="auto"/>
              </w:rPr>
              <w:t>Trust Indenture Act Controls</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16.03</w:t>
            </w:r>
          </w:p>
        </w:tc>
        <w:tc>
          <w:tcPr>
            <w:tcW w:w="8260" w:type="dxa"/>
            <w:vAlign w:val="bottom"/>
          </w:tcPr>
          <w:p>
            <w:pPr>
              <w:ind w:left="200"/>
              <w:spacing w:after="0"/>
              <w:rPr>
                <w:sz w:val="20"/>
                <w:szCs w:val="20"/>
                <w:color w:val="auto"/>
              </w:rPr>
            </w:pPr>
            <w:r>
              <w:rPr>
                <w:rFonts w:ascii="Arial" w:cs="Arial" w:eastAsia="Arial" w:hAnsi="Arial"/>
                <w:sz w:val="18"/>
                <w:szCs w:val="18"/>
                <w:color w:val="auto"/>
              </w:rPr>
              <w:t>Notices to the Issuer and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16.04</w:t>
            </w:r>
          </w:p>
        </w:tc>
        <w:tc>
          <w:tcPr>
            <w:tcW w:w="8260" w:type="dxa"/>
            <w:vAlign w:val="bottom"/>
          </w:tcPr>
          <w:p>
            <w:pPr>
              <w:ind w:left="200"/>
              <w:spacing w:after="0"/>
              <w:rPr>
                <w:sz w:val="20"/>
                <w:szCs w:val="20"/>
                <w:color w:val="auto"/>
              </w:rPr>
            </w:pPr>
            <w:r>
              <w:rPr>
                <w:rFonts w:ascii="Arial" w:cs="Arial" w:eastAsia="Arial" w:hAnsi="Arial"/>
                <w:sz w:val="18"/>
                <w:szCs w:val="18"/>
                <w:color w:val="auto"/>
              </w:rPr>
              <w:t>Notices to Securityholders; Waiver</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16.05</w:t>
            </w:r>
          </w:p>
        </w:tc>
        <w:tc>
          <w:tcPr>
            <w:tcW w:w="8260" w:type="dxa"/>
            <w:vAlign w:val="bottom"/>
          </w:tcPr>
          <w:p>
            <w:pPr>
              <w:ind w:left="200"/>
              <w:spacing w:after="0"/>
              <w:rPr>
                <w:sz w:val="20"/>
                <w:szCs w:val="20"/>
                <w:color w:val="auto"/>
              </w:rPr>
            </w:pPr>
            <w:r>
              <w:rPr>
                <w:rFonts w:ascii="Arial" w:cs="Arial" w:eastAsia="Arial" w:hAnsi="Arial"/>
                <w:sz w:val="18"/>
                <w:szCs w:val="18"/>
                <w:color w:val="auto"/>
              </w:rPr>
              <w:t>Legal Holiday</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16.06</w:t>
            </w:r>
          </w:p>
        </w:tc>
        <w:tc>
          <w:tcPr>
            <w:tcW w:w="8260" w:type="dxa"/>
            <w:vAlign w:val="bottom"/>
          </w:tcPr>
          <w:p>
            <w:pPr>
              <w:ind w:left="200"/>
              <w:spacing w:after="0"/>
              <w:rPr>
                <w:sz w:val="20"/>
                <w:szCs w:val="20"/>
                <w:color w:val="auto"/>
              </w:rPr>
            </w:pPr>
            <w:r>
              <w:rPr>
                <w:rFonts w:ascii="Arial" w:cs="Arial" w:eastAsia="Arial" w:hAnsi="Arial"/>
                <w:sz w:val="18"/>
                <w:szCs w:val="18"/>
                <w:color w:val="auto"/>
              </w:rPr>
              <w:t>Effects of Headings and Table of Contents</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200" w:type="dxa"/>
            <w:vAlign w:val="bottom"/>
          </w:tcPr>
          <w:p>
            <w:pPr>
              <w:spacing w:after="0"/>
              <w:rPr>
                <w:sz w:val="24"/>
                <w:szCs w:val="24"/>
                <w:color w:val="auto"/>
              </w:rPr>
            </w:pPr>
          </w:p>
        </w:tc>
        <w:tc>
          <w:tcPr>
            <w:tcW w:w="8260" w:type="dxa"/>
            <w:vAlign w:val="bottom"/>
          </w:tcPr>
          <w:p>
            <w:pPr>
              <w:jc w:val="center"/>
              <w:ind w:left="670"/>
              <w:spacing w:after="0"/>
              <w:rPr>
                <w:sz w:val="20"/>
                <w:szCs w:val="20"/>
                <w:color w:val="auto"/>
              </w:rPr>
            </w:pPr>
            <w:r>
              <w:rPr>
                <w:rFonts w:ascii="Arial" w:cs="Arial" w:eastAsia="Arial" w:hAnsi="Arial"/>
                <w:sz w:val="18"/>
                <w:szCs w:val="18"/>
                <w:color w:val="auto"/>
              </w:rPr>
              <w:t>iv</w:t>
            </w:r>
          </w:p>
        </w:tc>
        <w:tc>
          <w:tcPr>
            <w:tcW w:w="2000" w:type="dxa"/>
            <w:vAlign w:val="bottom"/>
          </w:tcPr>
          <w:p>
            <w:pPr>
              <w:spacing w:after="0"/>
              <w:rPr>
                <w:sz w:val="24"/>
                <w:szCs w:val="24"/>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r>
      <w:tr>
        <w:trPr>
          <w:trHeight w:val="766"/>
        </w:trPr>
        <w:tc>
          <w:tcPr>
            <w:tcW w:w="1200" w:type="dxa"/>
            <w:vAlign w:val="bottom"/>
          </w:tcPr>
          <w:p>
            <w:pPr>
              <w:spacing w:after="0"/>
              <w:rPr>
                <w:sz w:val="20"/>
                <w:szCs w:val="20"/>
                <w:color w:val="auto"/>
              </w:rPr>
            </w:pPr>
            <w:r>
              <w:rPr>
                <w:rFonts w:ascii="Arial" w:cs="Arial" w:eastAsia="Arial" w:hAnsi="Arial"/>
                <w:sz w:val="18"/>
                <w:szCs w:val="18"/>
                <w:color w:val="auto"/>
              </w:rPr>
              <w:t>Section 16.07</w:t>
            </w:r>
          </w:p>
        </w:tc>
        <w:tc>
          <w:tcPr>
            <w:tcW w:w="82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16.08</w:t>
            </w:r>
          </w:p>
        </w:tc>
        <w:tc>
          <w:tcPr>
            <w:tcW w:w="8260" w:type="dxa"/>
            <w:vAlign w:val="bottom"/>
          </w:tcPr>
          <w:p>
            <w:pPr>
              <w:ind w:left="200"/>
              <w:spacing w:after="0"/>
              <w:rPr>
                <w:sz w:val="20"/>
                <w:szCs w:val="20"/>
                <w:color w:val="auto"/>
              </w:rPr>
            </w:pPr>
            <w:r>
              <w:rPr>
                <w:rFonts w:ascii="Arial" w:cs="Arial" w:eastAsia="Arial" w:hAnsi="Arial"/>
                <w:sz w:val="18"/>
                <w:szCs w:val="18"/>
                <w:color w:val="auto"/>
              </w:rPr>
              <w:t>Separability Clause</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16.09</w:t>
            </w:r>
          </w:p>
        </w:tc>
        <w:tc>
          <w:tcPr>
            <w:tcW w:w="8260" w:type="dxa"/>
            <w:vAlign w:val="bottom"/>
          </w:tcPr>
          <w:p>
            <w:pPr>
              <w:ind w:left="200"/>
              <w:spacing w:after="0"/>
              <w:rPr>
                <w:sz w:val="20"/>
                <w:szCs w:val="20"/>
                <w:color w:val="auto"/>
              </w:rPr>
            </w:pPr>
            <w:r>
              <w:rPr>
                <w:rFonts w:ascii="Arial" w:cs="Arial" w:eastAsia="Arial" w:hAnsi="Arial"/>
                <w:sz w:val="18"/>
                <w:szCs w:val="18"/>
                <w:color w:val="auto"/>
              </w:rPr>
              <w:t>Benefits of Indenture</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16.10</w:t>
            </w:r>
          </w:p>
        </w:tc>
        <w:tc>
          <w:tcPr>
            <w:tcW w:w="8260" w:type="dxa"/>
            <w:vAlign w:val="bottom"/>
          </w:tcPr>
          <w:p>
            <w:pPr>
              <w:ind w:left="200"/>
              <w:spacing w:after="0"/>
              <w:rPr>
                <w:sz w:val="20"/>
                <w:szCs w:val="20"/>
                <w:color w:val="auto"/>
              </w:rPr>
            </w:pPr>
            <w:r>
              <w:rPr>
                <w:rFonts w:ascii="Arial" w:cs="Arial" w:eastAsia="Arial" w:hAnsi="Arial"/>
                <w:sz w:val="18"/>
                <w:szCs w:val="18"/>
                <w:color w:val="auto"/>
              </w:rPr>
              <w:t>Counterparts Originals</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16.11</w:t>
            </w:r>
          </w:p>
        </w:tc>
        <w:tc>
          <w:tcPr>
            <w:tcW w:w="8260" w:type="dxa"/>
            <w:vAlign w:val="bottom"/>
          </w:tcPr>
          <w:p>
            <w:pPr>
              <w:ind w:left="200"/>
              <w:spacing w:after="0"/>
              <w:rPr>
                <w:sz w:val="20"/>
                <w:szCs w:val="20"/>
                <w:color w:val="auto"/>
              </w:rPr>
            </w:pPr>
            <w:r>
              <w:rPr>
                <w:rFonts w:ascii="Arial" w:cs="Arial" w:eastAsia="Arial" w:hAnsi="Arial"/>
                <w:sz w:val="18"/>
                <w:szCs w:val="18"/>
                <w:color w:val="auto"/>
              </w:rPr>
              <w:t>Governing Law; Waiver of Trial by Jury</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16.12</w:t>
            </w:r>
          </w:p>
        </w:tc>
        <w:tc>
          <w:tcPr>
            <w:tcW w:w="8260" w:type="dxa"/>
            <w:vAlign w:val="bottom"/>
          </w:tcPr>
          <w:p>
            <w:pPr>
              <w:ind w:left="200"/>
              <w:spacing w:after="0"/>
              <w:rPr>
                <w:sz w:val="20"/>
                <w:szCs w:val="20"/>
                <w:color w:val="auto"/>
              </w:rPr>
            </w:pPr>
            <w:r>
              <w:rPr>
                <w:rFonts w:ascii="Arial" w:cs="Arial" w:eastAsia="Arial" w:hAnsi="Arial"/>
                <w:sz w:val="18"/>
                <w:szCs w:val="18"/>
                <w:color w:val="auto"/>
              </w:rPr>
              <w:t>Consent to Jurisdiction</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16.13</w:t>
            </w:r>
          </w:p>
        </w:tc>
        <w:tc>
          <w:tcPr>
            <w:tcW w:w="8260" w:type="dxa"/>
            <w:vAlign w:val="bottom"/>
          </w:tcPr>
          <w:p>
            <w:pPr>
              <w:ind w:left="200"/>
              <w:spacing w:after="0"/>
              <w:rPr>
                <w:sz w:val="20"/>
                <w:szCs w:val="20"/>
                <w:color w:val="auto"/>
              </w:rPr>
            </w:pPr>
            <w:r>
              <w:rPr>
                <w:rFonts w:ascii="Arial" w:cs="Arial" w:eastAsia="Arial" w:hAnsi="Arial"/>
                <w:sz w:val="18"/>
                <w:szCs w:val="18"/>
                <w:color w:val="auto"/>
              </w:rPr>
              <w:t>Patriot Act</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16.14</w:t>
            </w:r>
          </w:p>
        </w:tc>
        <w:tc>
          <w:tcPr>
            <w:tcW w:w="8260" w:type="dxa"/>
            <w:vAlign w:val="bottom"/>
          </w:tcPr>
          <w:p>
            <w:pPr>
              <w:ind w:left="200"/>
              <w:spacing w:after="0"/>
              <w:rPr>
                <w:sz w:val="20"/>
                <w:szCs w:val="20"/>
                <w:color w:val="auto"/>
              </w:rPr>
            </w:pPr>
            <w:r>
              <w:rPr>
                <w:rFonts w:ascii="Arial" w:cs="Arial" w:eastAsia="Arial" w:hAnsi="Arial"/>
                <w:sz w:val="18"/>
                <w:szCs w:val="18"/>
                <w:color w:val="auto"/>
              </w:rPr>
              <w:t>FATCA</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INDENTURE dated as of October 5, 2017, among SL Green Operating Partnership, L.P., a Delaware limited partnership (the “Issuer”), and the Bank of New York Mellon, as trustee (the “Trustee”).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Issuer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all things necessary to make this Indenture a valid and legally binding agreement of the Issuer, in accordance with its terms,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That, in consideration of the premises and the purchase of the Securities by the Holders thereof for the equal and proportionate benefit of all of the present and future Holders of the Securities or of a series thereof, each party agrees and covenants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360" w:hanging="704"/>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right="24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ind w:right="460" w:firstLine="656"/>
        <w:spacing w:after="0" w:line="277"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phrase “in writing” as used herein shall be deemed to include Adobe PDF attachments and other electronic means of transmission, unless otherwise indicated;</w:t>
      </w:r>
    </w:p>
    <w:p>
      <w:pPr>
        <w:sectPr>
          <w:pgSz w:w="11900" w:h="16838" w:orient="portrait"/>
          <w:cols w:equalWidth="0" w:num="1">
            <w:col w:w="11460"/>
          </w:cols>
          <w:pgMar w:left="240" w:top="125" w:right="199" w:bottom="0" w:gutter="0" w:footer="0" w:header="0"/>
        </w:sectPr>
      </w:pPr>
    </w:p>
    <w:bookmarkStart w:id="28" w:name="page29"/>
    <w:bookmarkEnd w:id="28"/>
    <w:p>
      <w:pPr>
        <w:ind w:right="100" w:firstLine="656"/>
        <w:spacing w:after="0" w:line="286" w:lineRule="auto"/>
        <w:tabs>
          <w:tab w:leader="none" w:pos="135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65" w:lineRule="exact"/>
        <w:rPr>
          <w:rFonts w:ascii="Arial" w:cs="Arial" w:eastAsia="Arial" w:hAnsi="Arial"/>
          <w:sz w:val="17"/>
          <w:szCs w:val="17"/>
          <w:color w:val="auto"/>
        </w:rPr>
      </w:pPr>
    </w:p>
    <w:p>
      <w:pPr>
        <w:ind w:right="60" w:firstLine="656"/>
        <w:spacing w:after="0" w:line="277"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80" w:firstLine="656"/>
        <w:spacing w:after="0" w:line="277" w:lineRule="auto"/>
        <w:tabs>
          <w:tab w:leader="none" w:pos="13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references to “Article” or “Section” or other subdivision herein are references to an Article, Section or other subdivision of this Indenture,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the terms defined in this Section 1.01 shall for all purposes of this Indenture have the meanings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Authenticating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“Authenticating Agent” shall have the meaning assigned to it in Section 11.09.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term “Board of Directors” shall mean the board of directors of the General Partner or the executive or any other committee of that board duly authorized to act in respect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Resolution: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term “Board Resolution” shall mean a copy of a resolution or resolutions certified by an Officer of the General Partner to have been duly adopted by the Board of Directors and to be in full force and effect on the date of such certification and delivered to the Trustee. References to any matter in this Indenture being established in, by or pursuant to a Board Resolution shall include actions taken pursuant to authority granted by one or more Board Resolutions.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other location are authorized or obligated by law or executive order to close, or as otherwise specified with respect to a series of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“Code” shall mean the Internal Revenue Code of 1986,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Trust Office:</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term “Corporate Trust Office,” or other similar term, shall mean the principal office of the Trustee at which at any particular time its corporate trust business shall be administered, which office at the date hereof is located at 500 Ross Street,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Pittsburgh, Pennsylvania 15262 or such other address as the Trustee may designate from time to time by notice to the Holders and the Issuer, or the principal corporate trust officer of any successor Trustee (or such other address as such successor Trustee may designate from time to time by notice to the Holders and the Issuer).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shall include corporations, limited liability companies, associations, companies, partnerships and business trusts.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“Currency” shall mean U.S. Dollars or Foreign Currency.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“Default” shall have the meaning assigned to it in Section 11.03.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Defaulted Interest:</w:t>
      </w:r>
    </w:p>
    <w:p>
      <w:pPr>
        <w:sectPr>
          <w:pgSz w:w="11900" w:h="16838" w:orient="portrait"/>
          <w:cols w:equalWidth="0" w:num="1">
            <w:col w:w="11400"/>
          </w:cols>
          <w:pgMar w:left="240" w:top="125" w:right="259" w:bottom="0" w:gutter="0" w:footer="0" w:header="0"/>
        </w:sectPr>
      </w:pPr>
    </w:p>
    <w:bookmarkStart w:id="29" w:name="page30"/>
    <w:bookmarkEnd w:id="29"/>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“Defaulted Interest” shall have the same meaning assigned to it in Section 3.08(b).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term “Depositary” shall mean, with respect to the Securities of any series issuable or issued in whole or in part in the form of one or more Global Securities, each Person designated as Depositary by the Issuer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Currency: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“Designated Currency” shall have the same meaning assigned to it in Section 3.12.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“Discharged” shall have the meaning assigned to it in Section 12.03.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“DTC” shall mean The Depository Trust Company, Inc. and its successors.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“Event of Default” shall have the meaning specified in Section 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“Exchange Rate” shall have the meaning assigned to it in Section 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Rate Security:</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term “Floating Rate Security” shall mean a Security that provides for the payment of interest at a variable rate determined periodically by reference to an interest rate index specified pursuant to Section 3.01.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“GAAP,” with respect to any computations required or permitted hereunder, shall mean generally accepted accounting principles in effect in the United States as in effect from time to time; provided, however if the Issuer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“General Partner” shall mean SL Green Realty Corp., as the sole general partner of the Issuer, or any successor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 Holder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“Holder” and “Holder of Securities” are defined under “Securityholder; Holder of Securities; 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ectPr>
          <w:pgSz w:w="11900" w:h="16870" w:orient="portrait"/>
          <w:cols w:equalWidth="0" w:num="1">
            <w:col w:w="11400"/>
          </w:cols>
          <w:pgMar w:left="240" w:top="125" w:right="259" w:bottom="0" w:gutter="0" w:footer="0" w:header="0"/>
        </w:sectPr>
      </w:pPr>
    </w:p>
    <w:bookmarkStart w:id="30" w:name="page31"/>
    <w:bookmarkEnd w:id="30"/>
    <w:p>
      <w:pPr>
        <w:ind w:right="200" w:firstLine="648"/>
        <w:spacing w:after="0" w:line="277" w:lineRule="auto"/>
        <w:rPr>
          <w:sz w:val="20"/>
          <w:szCs w:val="20"/>
          <w:color w:val="auto"/>
        </w:rPr>
      </w:pPr>
      <w:r>
        <w:rPr>
          <w:rFonts w:ascii="Arial" w:cs="Arial" w:eastAsia="Arial" w:hAnsi="Arial"/>
          <w:sz w:val="18"/>
          <w:szCs w:val="18"/>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“Individual Securities” shall have the meaning specified in Section 3.01(p).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term “Interest Payment Date” shall mean, with respect to any Security, the Stated Maturity of an installment of interest on such Security.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term “Issuer” shall mean the Person named as the “Issuer” in the first paragraph of this Indenture until a successor Person shall have become such pursuant to the applicable provisions of this Indenture, and thereafter “Issuer” shall mean such successor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Order: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“Issuer Order” shall mean a written order signed in the name of the Issuer by an Officer of the General Partner and delivered to the Trustee.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Sinking Fund Payment: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“Mandatory Sinking Fund Payment” shall have the meaning assigned to it in Section 5.01(b).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term “Maturity,” with respect to any Security, shall mean the date on which the principal of such Security or an installment of principal shall become due and payable as therein and herein provided, whether by declaration of acceleration, call for redemption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“Members” shall have the meaning assigned to it in Section 3.03(i).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term “Officer” shall mean any of the chairman of the Board of Directors, chief executive officer, chief financial officer, the president, or an executive vice president or a vice president, treasurer, an assistant treasurer, the controller, the secretary or any assistant secretary.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Certificate:</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term “Officer’s Certificate” shall mean a certificate signed by an Officer of the General Partner and delivered to the Trustee. Each such certificate shall include the statements provided for in Section 16.01 if and to the extent required by the provisions of such Section.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Counsel:</w:t>
      </w:r>
    </w:p>
    <w:p>
      <w:pPr>
        <w:sectPr>
          <w:pgSz w:w="11900" w:h="16838" w:orient="portrait"/>
          <w:cols w:equalWidth="0" w:num="1">
            <w:col w:w="11420"/>
          </w:cols>
          <w:pgMar w:left="240" w:top="341" w:right="239" w:bottom="36" w:gutter="0" w:footer="0" w:header="0"/>
        </w:sectPr>
      </w:pPr>
    </w:p>
    <w:bookmarkStart w:id="31" w:name="page32"/>
    <w:bookmarkEnd w:id="31"/>
    <w:p>
      <w:pPr>
        <w:ind w:right="40" w:firstLine="648"/>
        <w:spacing w:after="0" w:line="342" w:lineRule="auto"/>
        <w:rPr>
          <w:sz w:val="20"/>
          <w:szCs w:val="20"/>
          <w:color w:val="auto"/>
        </w:rPr>
      </w:pPr>
      <w:r>
        <w:rPr>
          <w:rFonts w:ascii="Arial" w:cs="Arial" w:eastAsia="Arial" w:hAnsi="Arial"/>
          <w:sz w:val="16"/>
          <w:szCs w:val="16"/>
          <w:color w:val="auto"/>
        </w:rPr>
        <w:t>The term “Opinion of Counsel” shall mean an opinion in writing signed by one or more legal counsel reasonably acceptable to the Trustee, who may be an employee of or of counsel to the Issuer, or may be one or more other counsel that meets the requirements provided for in Section 16.01.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Sinking Fund Payment: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“Optional Sinking Fund Payment” shall have the meaning assigned to it in Section 5.01(b).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Security: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“Original Issue Discount Security” shall mean any Security that is issued with “original issue discount” within the meaning of</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1273(a) of the Code and the regulations thereunder, or any successor provision, and any other Security designated by the Issuer as issued with original issue discount for United States federal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term “Outstanding,”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2000" w:hanging="695"/>
        <w:spacing w:after="0"/>
        <w:tabs>
          <w:tab w:leader="none" w:pos="2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right="20" w:firstLine="1305"/>
        <w:spacing w:after="0" w:line="257"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or portions thereof for which payment or redemption money in the necessary amount has been theretofore deposited with the Trustee or any Paying Agent (other than the Issuer) in trust or set aside and segregated in trust by the Issuer (if the Issuer shall act as its own Paying Agent) for the Holders of such Securities or Securities as to which the Issuer’s obligations have been Discharged; provided, however, that if such Securities or portions thereof are to be redeemed, notice of such redemption has been duly given pursuant to this Indenture or provision therefor satisfactory to the Trustee has been made;</w:t>
      </w:r>
    </w:p>
    <w:p>
      <w:pPr>
        <w:spacing w:after="0" w:line="188" w:lineRule="exact"/>
        <w:rPr>
          <w:rFonts w:ascii="Arial" w:cs="Arial" w:eastAsia="Arial" w:hAnsi="Arial"/>
          <w:sz w:val="18"/>
          <w:szCs w:val="18"/>
          <w:color w:val="auto"/>
        </w:rPr>
      </w:pPr>
    </w:p>
    <w:p>
      <w:pPr>
        <w:ind w:right="20" w:firstLine="1305"/>
        <w:spacing w:after="0" w:line="277" w:lineRule="auto"/>
        <w:tabs>
          <w:tab w:leader="none" w:pos="19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for whose payment or redemption money or U.S. Government Obligations in the necessary amount has been theretofore deposited with the Trustee in trust for the Holders of such Securities in accordance with Section 12.03; and</w:t>
      </w:r>
    </w:p>
    <w:p>
      <w:pPr>
        <w:spacing w:after="0" w:line="170" w:lineRule="exact"/>
        <w:rPr>
          <w:rFonts w:ascii="Arial" w:cs="Arial" w:eastAsia="Arial" w:hAnsi="Arial"/>
          <w:sz w:val="18"/>
          <w:szCs w:val="18"/>
          <w:color w:val="auto"/>
        </w:rPr>
      </w:pPr>
    </w:p>
    <w:p>
      <w:pPr>
        <w:ind w:right="80" w:firstLine="1305"/>
        <w:spacing w:after="0" w:line="259"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Issuer;</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in determining whether the Holders of the requisite principal amount of Securities of a series Outstanding have performed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Securities owned by the Issuer or any other obligor upon the Securities of such series or any Affiliate of the Issuer or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Issuer or any other obligor upon such Securities or any Affiliate of the Issuer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“Paying Agent” shall have the meaning assigned to it in Section 6.02(a).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Payment: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Security:</w:t>
      </w:r>
    </w:p>
    <w:p>
      <w:pPr>
        <w:spacing w:after="0" w:line="229"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term “Record Date” shall mean, with respect to any interest payable on any Security on any Interest Payment Date, the close of business on any date specified in such Security for the payment of interest pursuant to Section 3.01.</w:t>
      </w:r>
    </w:p>
    <w:p>
      <w:pPr>
        <w:sectPr>
          <w:pgSz w:w="11900" w:h="16838" w:orient="portrait"/>
          <w:cols w:equalWidth="0" w:num="1">
            <w:col w:w="11420"/>
          </w:cols>
          <w:pgMar w:left="240" w:top="125" w:right="239" w:bottom="0" w:gutter="0" w:footer="0" w:header="0"/>
        </w:sectPr>
      </w:pPr>
    </w:p>
    <w:bookmarkStart w:id="32" w:name="page33"/>
    <w:bookmarkEnd w:id="32"/>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Date: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Price: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“Register” shall have the meaning assigned to it in Section 3.05(a).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“Registrar” shall have the meaning assigned to it in Section 3.05(a).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Officers: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in each case, shall have direct responsibility for the administration of this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“SEC” shall mean the United States Securities and Exchange Commission, as constituted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term “Securities Act” shall mean the United States Securities Act of 1933 and the rules and regulations promulgated by the SEC thereunder and any statute successor thereto, in each case as amended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Custodian: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 “Security Custodian” shall mean the custodian with respect to any Global Security appointed by the Depositary, or any successor Person thereto, and shall initially be the Paying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 Holder of Securities; Holder:</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term “Securityholder” or “Holder of Securities” or “Holder,” shall mean the Person in whose name Securities shall be registered in the Register kept for that purpose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Indebtedness: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term “Senior Indebtedness” means the principal of (and premium, if any) and unpaid interest on (x) Indebtedness of the Issuer, whether outstanding on the date hereof or thereafter created, incurred, assumed or guaranteed, for money borrowed other than (a) any Indebtedness of the Issuer which when incurred, and without respect to any election under Section 1111(b) of the Federal Bankruptcy Code, was without recourse to the Issuer, (b) any Indebtedness of the Issuer to any of its Subsidiaries, (c) Indebtedness to any employee of the Issuer, (d) any liability for taxes, (e) Trade Payables and (f) any Indebtedness of the Issuer which is expressly subordinate in right of payment to any other Indebtedness of the Issuer,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Subsidiary:</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term “Significant Subsidiary” when used with respect to a Person, shall mean a “significant subsidiary” of such Person as defined in Article 1, Section 1-02 of Regulation S-X under the Securities Act.</w:t>
      </w:r>
    </w:p>
    <w:p>
      <w:pPr>
        <w:sectPr>
          <w:pgSz w:w="11900" w:h="16929" w:orient="portrait"/>
          <w:cols w:equalWidth="0" w:num="1">
            <w:col w:w="11400"/>
          </w:cols>
          <w:pgMar w:left="240" w:top="125" w:right="259" w:bottom="0" w:gutter="0" w:footer="0" w:header="0"/>
        </w:sectPr>
      </w:pPr>
    </w:p>
    <w:bookmarkStart w:id="33" w:name="page34"/>
    <w:bookmarkEnd w:id="33"/>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Record 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“Special Record Date” shall have the meaning assigned to it in Section 3.08(b)(i).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Stated Maturity: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term “Stated Maturity” when used with respect to any Security or any installment of principal or interest thereon, shall mean the date specified in such Security as the fixed date on which the principal (or any portion thereof) of or premium, if any, on such Security or such installment of principal or interest is due and payable.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 “subsidiary,” when used with respect to any Person, shall mean any entity of which at the time of determination such Person or one or more other subsidiaries owns or controls, directly or indirectly, more than 50% of the shares of Voting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 “Subsidiary” means any entity of which at the time of determination the Operating Partnership or one or more of its subsidiaries owns or controls, directly or indirectly, more than 50% of the shares of Voting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“Successor Issuer” shall have the meaning assigned to it in Section 3.06(i).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term “Trade Payables” means accounts payable or any other Indebtedness or monetary obligations to trade creditors created or assumed by the Issuer or any Subsidiary of the Issuer in the ordinary course of business (including guarantees thereof or instruments evidencing such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Indenture Act; TIA:</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The term “Trust Indenture Act” or “TIA” shall mean the United States Trust Indenture Act of 1939 as in force at the date as of which this instrument was executed;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the Trust Indenture Act of 1939 is amended after such date, “Trust Indenture Act” or “TIA” shall mean, to the extent required by any such amendment, the Trust Indenture Act of 1939 as so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term “U.S. Dollars” shall mean such currency of the United States as at the time of payment shall be legal tender for the payment of public and private debts.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“U.S. Government Obligations” shall have the meaning assigned to it in Section 12.03.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 “United States” shall mean the United States of America, its territories and possessions, any State of the United States and the District of Columbia.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Stock:</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term “Voting Stock” shall mean stock having general voting power under ordinary circumstances to elect at least a majority of the Board of Directors, managers or trustees, provided that stock which carries only the right to vote conditionally on the happening of an event shall not be considered Voting Stock whether or not such event shall have happened.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FORMS OF SECURITIES</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Terms of the Securities</w:t>
      </w:r>
      <w:r>
        <w:rPr>
          <w:rFonts w:ascii="Arial" w:cs="Arial" w:eastAsia="Arial" w:hAnsi="Arial"/>
          <w:sz w:val="16"/>
          <w:szCs w:val="16"/>
          <w:color w:val="auto"/>
        </w:rPr>
        <w:t>.</w:t>
      </w:r>
    </w:p>
    <w:p>
      <w:pPr>
        <w:sectPr>
          <w:pgSz w:w="11900" w:h="16874" w:orient="portrait"/>
          <w:cols w:equalWidth="0" w:num="1">
            <w:col w:w="11420"/>
          </w:cols>
          <w:pgMar w:left="240" w:top="337" w:right="239" w:bottom="0" w:gutter="0" w:footer="0" w:header="0"/>
        </w:sectPr>
      </w:pPr>
    </w:p>
    <w:bookmarkStart w:id="34" w:name="page35"/>
    <w:bookmarkEnd w:id="34"/>
    <w:p>
      <w:pPr>
        <w:ind w:right="180" w:firstLine="1305"/>
        <w:spacing w:after="0" w:line="272" w:lineRule="auto"/>
        <w:tabs>
          <w:tab w:leader="none" w:pos="19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Securities of each series shall be substantially in the form set forth in a Board Resolution, an Issuer Order or in one or more indentures supplemental hereto, and shall have such appropriate insertions, omissions, substitutions and other variations as are required or not prohibited by this Indenture, and may have such letters, numbers or other marks of identification or designation and such legends or endorsements placed thereon as the Issuer may deem appropriate and as are not prohibited by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spacing w:after="0" w:line="177" w:lineRule="exact"/>
        <w:rPr>
          <w:rFonts w:ascii="Arial" w:cs="Arial" w:eastAsia="Arial" w:hAnsi="Arial"/>
          <w:sz w:val="17"/>
          <w:szCs w:val="17"/>
          <w:color w:val="auto"/>
        </w:rPr>
      </w:pPr>
    </w:p>
    <w:p>
      <w:pPr>
        <w:ind w:right="220" w:firstLine="1305"/>
        <w:spacing w:after="0" w:line="264" w:lineRule="auto"/>
        <w:tabs>
          <w:tab w:leader="none" w:pos="20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and provisions of the Securities shall constitute, and are hereby expressly made, a part of this Indenture, and, to the extent applicable, the Issuer and the Trustee, by their execution and delivery of this Indenture expressly agree to such terms and provisions and to be bound thereby.</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w:t>
      </w:r>
    </w:p>
    <w:p>
      <w:pPr>
        <w:spacing w:after="0" w:line="225" w:lineRule="exact"/>
        <w:rPr>
          <w:sz w:val="20"/>
          <w:szCs w:val="20"/>
          <w:color w:val="auto"/>
        </w:rPr>
      </w:pPr>
    </w:p>
    <w:p>
      <w:pPr>
        <w:jc w:val="both"/>
        <w:ind w:right="60" w:firstLine="1305"/>
        <w:spacing w:after="0" w:line="264" w:lineRule="auto"/>
        <w:tabs>
          <w:tab w:leader="none" w:pos="19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20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that any Global Security shall be dated as of the date specified as contemplated in Section 3.01.</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form of the Trustee’s certificate of authentication to be borne by the Securities shall be substantially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7"/>
          <w:szCs w:val="17"/>
          <w:color w:val="auto"/>
        </w:rPr>
        <w:t>THE BANK OF NEW YORK MELLON,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2126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 by an Authenticating Agent</w:t>
      </w:r>
      <w:r>
        <w:rPr>
          <w:rFonts w:ascii="Arial" w:cs="Arial" w:eastAsia="Arial" w:hAnsi="Arial"/>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7"/>
          <w:szCs w:val="17"/>
          <w:color w:val="auto"/>
        </w:rPr>
        <w:t>THE BANK OF NEW YORK MELLON,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2126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By: [NAME OF AUTHENTICATING AGENT] as Authenticating Agent</w:t>
      </w:r>
    </w:p>
    <w:p>
      <w:pPr>
        <w:spacing w:after="0" w:line="200" w:lineRule="exact"/>
        <w:rPr>
          <w:sz w:val="20"/>
          <w:szCs w:val="20"/>
          <w:color w:val="auto"/>
        </w:rPr>
      </w:pPr>
    </w:p>
    <w:p>
      <w:pPr>
        <w:spacing w:after="0" w:line="25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DEBT SECURITIES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 The Securities may be issued in one or more series. There shall be set forth in an Issuer Order or in one or more indentures supplemental hereto, prior to the issuance of Securities of any series: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77" w:lineRule="auto"/>
        <w:tabs>
          <w:tab w:leader="none" w:pos="199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70" w:lineRule="exact"/>
        <w:rPr>
          <w:rFonts w:ascii="Arial" w:cs="Arial" w:eastAsia="Arial" w:hAnsi="Arial"/>
          <w:sz w:val="18"/>
          <w:szCs w:val="18"/>
          <w:color w:val="auto"/>
        </w:rPr>
      </w:pPr>
    </w:p>
    <w:p>
      <w:pPr>
        <w:ind w:right="280" w:firstLine="1305"/>
        <w:spacing w:after="0" w:line="264" w:lineRule="auto"/>
        <w:tabs>
          <w:tab w:leader="none" w:pos="20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ectPr>
          <w:pgSz w:w="11900" w:h="16838" w:orient="portrait"/>
          <w:cols w:equalWidth="0" w:num="1">
            <w:col w:w="11420"/>
          </w:cols>
          <w:pgMar w:left="240" w:top="341" w:right="239" w:bottom="177" w:gutter="0" w:footer="0" w:header="0"/>
        </w:sectPr>
      </w:pPr>
    </w:p>
    <w:bookmarkStart w:id="35" w:name="page36"/>
    <w:bookmarkEnd w:id="35"/>
    <w:p>
      <w:pPr>
        <w:ind w:right="140" w:firstLine="1305"/>
        <w:spacing w:after="0" w:line="264" w:lineRule="auto"/>
        <w:tabs>
          <w:tab w:leader="none" w:pos="19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81" w:lineRule="exact"/>
        <w:rPr>
          <w:rFonts w:ascii="Arial" w:cs="Arial" w:eastAsia="Arial" w:hAnsi="Arial"/>
          <w:sz w:val="18"/>
          <w:szCs w:val="18"/>
          <w:color w:val="auto"/>
        </w:rPr>
      </w:pPr>
    </w:p>
    <w:p>
      <w:pPr>
        <w:ind w:right="20" w:firstLine="1305"/>
        <w:spacing w:after="0" w:line="293" w:lineRule="auto"/>
        <w:tabs>
          <w:tab w:leader="none" w:pos="20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or rates shall be determined, whether such interest shall be payable in cash or additional Securities of the same series or another class or series of securities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64" w:lineRule="exact"/>
        <w:rPr>
          <w:rFonts w:ascii="Arial" w:cs="Arial" w:eastAsia="Arial" w:hAnsi="Arial"/>
          <w:sz w:val="16"/>
          <w:szCs w:val="16"/>
          <w:color w:val="auto"/>
        </w:rPr>
      </w:pPr>
    </w:p>
    <w:p>
      <w:pPr>
        <w:ind w:right="40" w:firstLine="1305"/>
        <w:spacing w:after="0" w:line="308" w:lineRule="auto"/>
        <w:tabs>
          <w:tab w:leader="none" w:pos="199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46" w:lineRule="exact"/>
        <w:rPr>
          <w:rFonts w:ascii="Arial" w:cs="Arial" w:eastAsia="Arial" w:hAnsi="Arial"/>
          <w:sz w:val="17"/>
          <w:szCs w:val="17"/>
          <w:color w:val="auto"/>
        </w:rPr>
      </w:pPr>
    </w:p>
    <w:p>
      <w:pPr>
        <w:ind w:right="480" w:firstLine="1305"/>
        <w:spacing w:after="0" w:line="264" w:lineRule="auto"/>
        <w:tabs>
          <w:tab w:leader="none" w:pos="20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81" w:lineRule="exact"/>
        <w:rPr>
          <w:rFonts w:ascii="Arial" w:cs="Arial" w:eastAsia="Arial" w:hAnsi="Arial"/>
          <w:sz w:val="18"/>
          <w:szCs w:val="18"/>
          <w:color w:val="auto"/>
        </w:rPr>
      </w:pPr>
    </w:p>
    <w:p>
      <w:pPr>
        <w:ind w:right="20" w:firstLine="1305"/>
        <w:spacing w:after="0" w:line="257" w:lineRule="auto"/>
        <w:tabs>
          <w:tab w:leader="none" w:pos="20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principal of, premium, if any, or interest on Securities of the series are to be payable, at the election of the Issuer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88" w:lineRule="exact"/>
        <w:rPr>
          <w:rFonts w:ascii="Arial" w:cs="Arial" w:eastAsia="Arial" w:hAnsi="Arial"/>
          <w:sz w:val="18"/>
          <w:szCs w:val="18"/>
          <w:color w:val="auto"/>
        </w:rPr>
      </w:pPr>
    </w:p>
    <w:p>
      <w:pPr>
        <w:ind w:right="20" w:firstLine="1305"/>
        <w:spacing w:after="0" w:line="308" w:lineRule="auto"/>
        <w:tabs>
          <w:tab w:leader="none" w:pos="2001"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transfer, exchange or conversion, and the place or places where notices and demands to or upon the Issuer in respect of the Securities of such series may be made;</w:t>
      </w:r>
    </w:p>
    <w:p>
      <w:pPr>
        <w:spacing w:after="0" w:line="170" w:lineRule="exact"/>
        <w:rPr>
          <w:sz w:val="20"/>
          <w:szCs w:val="20"/>
          <w:color w:val="auto"/>
        </w:rPr>
      </w:pPr>
    </w:p>
    <w:p>
      <w:pPr>
        <w:ind w:right="160" w:firstLine="1305"/>
        <w:spacing w:after="0" w:line="308" w:lineRule="auto"/>
        <w:tabs>
          <w:tab w:leader="none" w:pos="200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price or prices at which, the period or periods within which or the date or dates on which, and the terms and conditions upon which Securities of the series may be redeemed, in whole or in part, at the option of the Issuer, if the Issuer is to have that option;</w:t>
      </w:r>
    </w:p>
    <w:p>
      <w:pPr>
        <w:spacing w:after="0" w:line="146" w:lineRule="exact"/>
        <w:rPr>
          <w:rFonts w:ascii="Arial" w:cs="Arial" w:eastAsia="Arial" w:hAnsi="Arial"/>
          <w:sz w:val="17"/>
          <w:szCs w:val="17"/>
          <w:color w:val="auto"/>
        </w:rPr>
      </w:pPr>
    </w:p>
    <w:p>
      <w:pPr>
        <w:ind w:right="20" w:firstLine="1305"/>
        <w:spacing w:after="0" w:line="259" w:lineRule="auto"/>
        <w:tabs>
          <w:tab w:leader="none" w:pos="20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obligation or right, if any, of the Issuer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86" w:lineRule="exact"/>
        <w:rPr>
          <w:rFonts w:ascii="Arial" w:cs="Arial" w:eastAsia="Arial" w:hAnsi="Arial"/>
          <w:sz w:val="18"/>
          <w:szCs w:val="18"/>
          <w:color w:val="auto"/>
        </w:rPr>
      </w:pPr>
    </w:p>
    <w:p>
      <w:pPr>
        <w:ind w:right="100" w:firstLine="1305"/>
        <w:spacing w:after="0" w:line="277"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other than denominations of $2,000 or any integral multiple of $1,000 in excess thereof, the denominations in which Securities of the series shall be issuable;</w:t>
      </w:r>
    </w:p>
    <w:p>
      <w:pPr>
        <w:spacing w:after="0" w:line="170" w:lineRule="exact"/>
        <w:rPr>
          <w:rFonts w:ascii="Arial" w:cs="Arial" w:eastAsia="Arial" w:hAnsi="Arial"/>
          <w:sz w:val="18"/>
          <w:szCs w:val="18"/>
          <w:color w:val="auto"/>
        </w:rPr>
      </w:pPr>
    </w:p>
    <w:p>
      <w:pPr>
        <w:ind w:firstLine="1305"/>
        <w:spacing w:after="0" w:line="277" w:lineRule="auto"/>
        <w:tabs>
          <w:tab w:leader="none" w:pos="20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170" w:lineRule="exact"/>
        <w:rPr>
          <w:rFonts w:ascii="Arial" w:cs="Arial" w:eastAsia="Arial" w:hAnsi="Arial"/>
          <w:sz w:val="18"/>
          <w:szCs w:val="18"/>
          <w:color w:val="auto"/>
        </w:rPr>
      </w:pPr>
    </w:p>
    <w:p>
      <w:pPr>
        <w:ind w:right="300" w:firstLine="1305"/>
        <w:spacing w:after="0" w:line="342" w:lineRule="auto"/>
        <w:tabs>
          <w:tab w:leader="none" w:pos="200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guarantors, if any, of the Securities of the series, and the terms of the guarantees (including provisions relating to seniority, subordination, and the release of the guarantors), if any, and any additions or changes to permit or facilitate guarantees of such Securities;</w:t>
      </w:r>
    </w:p>
    <w:p>
      <w:pPr>
        <w:spacing w:after="0" w:line="123" w:lineRule="exact"/>
        <w:rPr>
          <w:rFonts w:ascii="Arial" w:cs="Arial" w:eastAsia="Arial" w:hAnsi="Arial"/>
          <w:sz w:val="16"/>
          <w:szCs w:val="16"/>
          <w:color w:val="auto"/>
        </w:rPr>
      </w:pPr>
    </w:p>
    <w:p>
      <w:pPr>
        <w:ind w:right="160" w:firstLine="1305"/>
        <w:spacing w:after="0" w:line="277"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as Original Issue Discount Securities and the amount of discount with which such Securities may be issued;</w:t>
      </w:r>
    </w:p>
    <w:p>
      <w:pPr>
        <w:spacing w:after="0" w:line="170" w:lineRule="exact"/>
        <w:rPr>
          <w:rFonts w:ascii="Arial" w:cs="Arial" w:eastAsia="Arial" w:hAnsi="Arial"/>
          <w:sz w:val="18"/>
          <w:szCs w:val="18"/>
          <w:color w:val="auto"/>
        </w:rPr>
      </w:pPr>
    </w:p>
    <w:p>
      <w:pPr>
        <w:ind w:right="80" w:firstLine="1305"/>
        <w:spacing w:after="0" w:line="264"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181" w:lineRule="exact"/>
        <w:rPr>
          <w:rFonts w:ascii="Arial" w:cs="Arial" w:eastAsia="Arial" w:hAnsi="Arial"/>
          <w:sz w:val="18"/>
          <w:szCs w:val="18"/>
          <w:color w:val="auto"/>
        </w:rPr>
      </w:pPr>
    </w:p>
    <w:p>
      <w:pPr>
        <w:ind w:right="60" w:firstLine="1305"/>
        <w:spacing w:after="0" w:line="259"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date as of which any Global Security of the series shall be dated if other than the original issuance of the first Security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 to be issued;</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form or forms of the Securities of the series including such legends as may be required by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4" w:lineRule="auto"/>
        <w:tabs>
          <w:tab w:leader="none" w:pos="20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or property of any Person (including the Issuer), the terms and conditions upon which such Securities will be so convertible or exchangeable, and any additions or changes, if any, to permit or facilitate such conversion or exchange;</w:t>
      </w:r>
    </w:p>
    <w:p>
      <w:pPr>
        <w:sectPr>
          <w:pgSz w:w="11900" w:h="16838" w:orient="portrait"/>
          <w:cols w:equalWidth="0" w:num="1">
            <w:col w:w="11400"/>
          </w:cols>
          <w:pgMar w:left="240" w:top="125" w:right="259" w:bottom="0" w:gutter="0" w:footer="0" w:header="0"/>
        </w:sectPr>
      </w:pPr>
    </w:p>
    <w:bookmarkStart w:id="36" w:name="page37"/>
    <w:bookmarkEnd w:id="36"/>
    <w:p>
      <w:pPr>
        <w:ind w:right="320" w:firstLine="1305"/>
        <w:spacing w:after="0" w:line="277" w:lineRule="auto"/>
        <w:tabs>
          <w:tab w:leader="none" w:pos="2006"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whether the Securities of such series are to be secured and the terms of such security;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Securities of such series;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securities exchange(s) on which the Securities will be listed, if 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addition or change in the provisions related to compensation and reimbursement of the Trustee which applies to Securities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series;</w:t>
      </w:r>
    </w:p>
    <w:p>
      <w:pPr>
        <w:spacing w:after="0" w:line="210" w:lineRule="exact"/>
        <w:rPr>
          <w:rFonts w:ascii="Arial" w:cs="Arial" w:eastAsia="Arial" w:hAnsi="Arial"/>
          <w:sz w:val="16"/>
          <w:szCs w:val="16"/>
          <w:color w:val="auto"/>
        </w:rPr>
      </w:pPr>
    </w:p>
    <w:p>
      <w:pPr>
        <w:ind w:right="320" w:firstLine="1305"/>
        <w:spacing w:after="0" w:line="277" w:lineRule="auto"/>
        <w:tabs>
          <w:tab w:leader="none" w:pos="2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supplemental indentures set forth in Sections 14.01, 14.02 and 14.04 which applies to Securities of such series;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225" w:lineRule="exact"/>
        <w:rPr>
          <w:sz w:val="20"/>
          <w:szCs w:val="20"/>
          <w:color w:val="auto"/>
        </w:rPr>
      </w:pPr>
    </w:p>
    <w:p>
      <w:pPr>
        <w:ind w:right="160" w:firstLine="1305"/>
        <w:spacing w:after="0" w:line="264" w:lineRule="auto"/>
        <w:tabs>
          <w:tab w:leader="none" w:pos="19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VI which applies to Securities of the series; and</w:t>
      </w:r>
    </w:p>
    <w:p>
      <w:pPr>
        <w:spacing w:after="0" w:line="225" w:lineRule="exact"/>
        <w:rPr>
          <w:rFonts w:ascii="Arial" w:cs="Arial" w:eastAsia="Arial" w:hAnsi="Arial"/>
          <w:sz w:val="18"/>
          <w:szCs w:val="18"/>
          <w:color w:val="auto"/>
        </w:rPr>
      </w:pPr>
    </w:p>
    <w:p>
      <w:pPr>
        <w:ind w:right="380" w:firstLine="1305"/>
        <w:spacing w:after="0" w:line="277" w:lineRule="auto"/>
        <w:tabs>
          <w:tab w:leader="none" w:pos="19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herein or set forth in an Issuer Order or in one or more indentures supplemental hereto.</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Unless otherwise specified with respect to the Securities of any series pursuant to this Section 3.01, the Issuer may, at its option, at any time and from time to time, issue additional Securities of any series of Securities previously issued under this Indenture which together shall constitute a single series of Securities under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In the absence of any specification pursuant to Section 3.01 with respect to Securities of any series, the Securities of such series shall be issuable only as Securities in minimum denominations of any integral multiple of $2,000 and any integral multiple of $1,000 in excess thereof, and shall be payable only in U.S. Dollars.</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259" w:lineRule="auto"/>
        <w:tabs>
          <w:tab w:leader="none" w:pos="19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Securities shall be executed in the name and on behalf of the Issuer by the manual, facsimile or PDF signature of the Chairman of the Board of Directors or the Chief Executive Officer, Chief Financial Officer, President, an Executive Vice President, a Vice President or the Treasurer of the General Partner. If the Person whose signature is on a Security no longer holds that office at the time the Security is authenticated and delivered, the Security shall nevertheless be valid.</w:t>
      </w:r>
    </w:p>
    <w:p>
      <w:pPr>
        <w:spacing w:after="0" w:line="186" w:lineRule="exact"/>
        <w:rPr>
          <w:rFonts w:ascii="Arial" w:cs="Arial" w:eastAsia="Arial" w:hAnsi="Arial"/>
          <w:sz w:val="18"/>
          <w:szCs w:val="18"/>
          <w:color w:val="auto"/>
        </w:rPr>
      </w:pPr>
    </w:p>
    <w:p>
      <w:pPr>
        <w:ind w:right="160" w:firstLine="1305"/>
        <w:spacing w:after="0" w:line="297" w:lineRule="auto"/>
        <w:tabs>
          <w:tab w:leader="none" w:pos="200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Issuer may deliver Securities of any series executed by the Issuer to the Trustee for authentication, together with an Issuer Order for the authentication and delivery of such Securities and, if required pursuant to Section 3.01, a supplemental indenture or Issuer Order setting forth the terms of the Securities of a series. The Trustee shall thereupon authenticate and deliver such Securities without any further action by the Issuer. The Issuer Order shall specify the amount of Securities to be authenticated, the date on which the original issue of Securities is to be authenticated and to whom such Securities should be delivered.</w:t>
      </w:r>
    </w:p>
    <w:p>
      <w:pPr>
        <w:spacing w:after="0" w:line="158" w:lineRule="exact"/>
        <w:rPr>
          <w:rFonts w:ascii="Arial" w:cs="Arial" w:eastAsia="Arial" w:hAnsi="Arial"/>
          <w:sz w:val="16"/>
          <w:szCs w:val="16"/>
          <w:color w:val="auto"/>
        </w:rPr>
      </w:pPr>
    </w:p>
    <w:p>
      <w:pPr>
        <w:ind w:right="120" w:firstLine="1305"/>
        <w:spacing w:after="0" w:line="302" w:lineRule="auto"/>
        <w:tabs>
          <w:tab w:leader="none" w:pos="199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and covenants, if any, provided for in the Indenture relating to the issuance and authentication of the Securities and the execution and delivery of the First Supplemental Indenture have been satisfied.</w:t>
      </w:r>
    </w:p>
    <w:p>
      <w:pPr>
        <w:spacing w:after="0" w:line="154" w:lineRule="exact"/>
        <w:rPr>
          <w:rFonts w:ascii="Arial" w:cs="Arial" w:eastAsia="Arial" w:hAnsi="Arial"/>
          <w:sz w:val="16"/>
          <w:szCs w:val="16"/>
          <w:color w:val="auto"/>
        </w:rPr>
      </w:pPr>
    </w:p>
    <w:p>
      <w:pPr>
        <w:ind w:firstLine="1305"/>
        <w:spacing w:after="0" w:line="264" w:lineRule="auto"/>
        <w:tabs>
          <w:tab w:leader="none" w:pos="20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have the right to decline to authenticate and deliver the Securities under this Section 3.03 if the issue of the Securities pursuant to this Indenture will adversely affect the Trustee’s own rights, duties or immunities under the Securities and this Indenture or otherwise in a manner which is not reasonably acceptable to the Trustee.</w:t>
      </w:r>
    </w:p>
    <w:p>
      <w:pPr>
        <w:spacing w:after="0" w:line="181" w:lineRule="exact"/>
        <w:rPr>
          <w:rFonts w:ascii="Arial" w:cs="Arial" w:eastAsia="Arial" w:hAnsi="Arial"/>
          <w:sz w:val="18"/>
          <w:szCs w:val="18"/>
          <w:color w:val="auto"/>
        </w:rPr>
      </w:pPr>
    </w:p>
    <w:p>
      <w:pPr>
        <w:ind w:right="200" w:firstLine="1305"/>
        <w:spacing w:after="0" w:line="277" w:lineRule="auto"/>
        <w:tabs>
          <w:tab w:leader="none" w:pos="19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as otherwise provided pursuant to Section 3.01 with respect to the Securities of such series.</w:t>
      </w:r>
    </w:p>
    <w:p>
      <w:pPr>
        <w:spacing w:after="0" w:line="170" w:lineRule="exact"/>
        <w:rPr>
          <w:rFonts w:ascii="Arial" w:cs="Arial" w:eastAsia="Arial" w:hAnsi="Arial"/>
          <w:sz w:val="18"/>
          <w:szCs w:val="18"/>
          <w:color w:val="auto"/>
        </w:rPr>
      </w:pPr>
    </w:p>
    <w:p>
      <w:pPr>
        <w:jc w:val="both"/>
        <w:ind w:right="700" w:firstLine="1305"/>
        <w:spacing w:after="0" w:line="264" w:lineRule="auto"/>
        <w:tabs>
          <w:tab w:leader="none" w:pos="20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81" w:lineRule="exact"/>
        <w:rPr>
          <w:rFonts w:ascii="Arial" w:cs="Arial" w:eastAsia="Arial" w:hAnsi="Arial"/>
          <w:sz w:val="18"/>
          <w:szCs w:val="18"/>
          <w:color w:val="auto"/>
        </w:rPr>
      </w:pPr>
    </w:p>
    <w:p>
      <w:pPr>
        <w:ind w:firstLine="1305"/>
        <w:spacing w:after="0" w:line="264" w:lineRule="auto"/>
        <w:tabs>
          <w:tab w:leader="none" w:pos="20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Issuer shall establish pursuant to Section 3.01 that the Securities of a series are to be issued in whole or in part in the form of one or more Global Securities, then the Issuer shall execute and upon Issuer Order the Trustee shall authenticate and deliver one or more Global Securities that (i) shall represent an aggregate amount equal to the aggregate principal</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7" w:name="page38"/>
    <w:bookmarkEnd w:id="37"/>
    <w:p>
      <w:pPr>
        <w:ind w:right="40"/>
        <w:spacing w:after="0" w:line="264" w:lineRule="auto"/>
        <w:rPr>
          <w:sz w:val="20"/>
          <w:szCs w:val="20"/>
          <w:color w:val="auto"/>
        </w:rPr>
      </w:pPr>
      <w:r>
        <w:rPr>
          <w:rFonts w:ascii="Arial" w:cs="Arial" w:eastAsia="Arial" w:hAnsi="Arial"/>
          <w:sz w:val="18"/>
          <w:szCs w:val="18"/>
          <w:color w:val="auto"/>
        </w:rPr>
        <w:t>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applicable procedures and (iv) shall bear a legend substantially to the following effect:</w:t>
      </w:r>
    </w:p>
    <w:p>
      <w:pPr>
        <w:spacing w:after="0" w:line="18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170" w:lineRule="exact"/>
        <w:rPr>
          <w:sz w:val="20"/>
          <w:szCs w:val="20"/>
          <w:color w:val="auto"/>
        </w:rPr>
      </w:pPr>
    </w:p>
    <w:p>
      <w:pPr>
        <w:ind w:right="140" w:firstLine="1305"/>
        <w:spacing w:after="0" w:line="342" w:lineRule="auto"/>
        <w:tabs>
          <w:tab w:leader="none" w:pos="20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23" w:lineRule="exact"/>
        <w:rPr>
          <w:rFonts w:ascii="Arial" w:cs="Arial" w:eastAsia="Arial" w:hAnsi="Arial"/>
          <w:sz w:val="16"/>
          <w:szCs w:val="16"/>
          <w:color w:val="auto"/>
        </w:rPr>
      </w:pPr>
    </w:p>
    <w:p>
      <w:pPr>
        <w:ind w:firstLine="1305"/>
        <w:spacing w:after="0" w:line="271" w:lineRule="auto"/>
        <w:tabs>
          <w:tab w:leader="none" w:pos="2006"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Issuer, the Trustee, the Paying Agent and the Registrar and any of their agents as the absolute owner of such Global Security for all purposes whatsoever. Notwithstanding the foregoing, nothing herein shall prevent the Issuer,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2006"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91" w:lineRule="auto"/>
        <w:tabs>
          <w:tab w:leader="none" w:pos="1991"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Pending the preparation of definitive Securities of any series, the Issuer may execute, and upon Issuer Order the Trustee shall authenticate and deliver, temporary Securities that are printed, typewritten, photocopied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Issuer and upon Issuer Order shall be authenticated and delivered by the Trustee upon the same conditions and in substantially the same manner, and with the same effect, as the definitive Security or Securities in lieu of which it is issued.</w:t>
      </w:r>
    </w:p>
    <w:p>
      <w:pPr>
        <w:spacing w:after="0" w:line="167" w:lineRule="exact"/>
        <w:rPr>
          <w:rFonts w:ascii="Arial" w:cs="Arial" w:eastAsia="Arial" w:hAnsi="Arial"/>
          <w:sz w:val="16"/>
          <w:szCs w:val="16"/>
          <w:color w:val="auto"/>
        </w:rPr>
      </w:pPr>
    </w:p>
    <w:p>
      <w:pPr>
        <w:ind w:right="80" w:firstLine="1305"/>
        <w:spacing w:after="0" w:line="255" w:lineRule="auto"/>
        <w:tabs>
          <w:tab w:leader="none" w:pos="20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temporary Securities of any series are issued, the Issuer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Issuer in a Place of Payment for such series, without charge to the Holder. Upon surrender for cancellation of any one or more temporary Securities of any series, the Issuer shall execute and upon Issuer Order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89" w:lineRule="exact"/>
        <w:rPr>
          <w:rFonts w:ascii="Arial" w:cs="Arial" w:eastAsia="Arial" w:hAnsi="Arial"/>
          <w:sz w:val="18"/>
          <w:szCs w:val="18"/>
          <w:color w:val="auto"/>
        </w:rPr>
      </w:pPr>
    </w:p>
    <w:p>
      <w:pPr>
        <w:jc w:val="both"/>
        <w:ind w:right="120" w:firstLine="1305"/>
        <w:spacing w:after="0" w:line="259" w:lineRule="auto"/>
        <w:tabs>
          <w:tab w:leader="none" w:pos="1991"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2" w:lineRule="auto"/>
        <w:tabs>
          <w:tab w:leader="none" w:pos="199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Issuer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Issuer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Issuer may have one or more co-Registrars; the term “Registrar” includes any co-registrar.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342" w:lineRule="auto"/>
        <w:tabs>
          <w:tab w:leader="none" w:pos="192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Issuer shall enter into an appropriate agency agreement with any Registrar or co-Registrar not a party to this Indenture. The agreement shall implement the provisions of this Indenture that relate to such agent. The Issuer shall notify the Trustee of the name and address of each such</w:t>
      </w:r>
    </w:p>
    <w:p>
      <w:pPr>
        <w:sectPr>
          <w:pgSz w:w="11900" w:h="16838" w:orient="portrait"/>
          <w:cols w:equalWidth="0" w:num="1">
            <w:col w:w="11380"/>
          </w:cols>
          <w:pgMar w:left="240" w:top="584" w:right="279" w:bottom="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t>agent. If the Issuer fails to maintain a Registrar for any series, the Trustee shall act as such and shall be entitled to appropriate compensation therefor pursuant to Section 11.01. The Issuer or any Affiliate thereof may act as Registrar, co-Registrar or transfer agent.</w:t>
      </w:r>
    </w:p>
    <w:p>
      <w:pPr>
        <w:spacing w:after="0" w:line="170" w:lineRule="exact"/>
        <w:rPr>
          <w:sz w:val="20"/>
          <w:szCs w:val="20"/>
          <w:color w:val="auto"/>
        </w:rPr>
      </w:pPr>
    </w:p>
    <w:p>
      <w:pPr>
        <w:ind w:right="720" w:firstLine="1305"/>
        <w:spacing w:after="0" w:line="277" w:lineRule="auto"/>
        <w:tabs>
          <w:tab w:leader="none" w:pos="19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hereby appoints the Trustee at its Corporate Trust Office as Registrar in connection with the Securities and this Indenture, until such time as another Person is appointed as such.</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left="1920" w:hanging="615"/>
        <w:spacing w:after="0"/>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w:t>
      </w:r>
    </w:p>
    <w:p>
      <w:pPr>
        <w:spacing w:after="0" w:line="225" w:lineRule="exact"/>
        <w:rPr>
          <w:rFonts w:ascii="Arial" w:cs="Arial" w:eastAsia="Arial" w:hAnsi="Arial"/>
          <w:sz w:val="18"/>
          <w:szCs w:val="18"/>
          <w:color w:val="auto"/>
        </w:rPr>
      </w:pPr>
    </w:p>
    <w:p>
      <w:pPr>
        <w:ind w:right="40" w:firstLine="1953"/>
        <w:spacing w:after="0" w:line="302" w:lineRule="auto"/>
        <w:tabs>
          <w:tab w:leader="none" w:pos="2574" w:val="left"/>
        </w:tabs>
        <w:numPr>
          <w:ilvl w:val="1"/>
          <w:numId w:val="87"/>
        </w:numPr>
        <w:rPr>
          <w:rFonts w:ascii="Arial" w:cs="Arial" w:eastAsia="Arial" w:hAnsi="Arial"/>
          <w:sz w:val="16"/>
          <w:szCs w:val="16"/>
          <w:color w:val="auto"/>
        </w:rPr>
      </w:pPr>
      <w:r>
        <w:rPr>
          <w:rFonts w:ascii="Arial" w:cs="Arial" w:eastAsia="Arial" w:hAnsi="Arial"/>
          <w:sz w:val="16"/>
          <w:szCs w:val="16"/>
          <w:color w:val="auto"/>
        </w:rPr>
        <w:t>Upon surrender for registration of transfer of any Security of any series at the Registrar the Issuer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Issuer or the Trustee unless registered at the Registrar at the request of the Holder, or at the request of his, her or its attorney duly authorized in writing.</w:t>
      </w:r>
    </w:p>
    <w:p>
      <w:pPr>
        <w:spacing w:after="0" w:line="154" w:lineRule="exact"/>
        <w:rPr>
          <w:rFonts w:ascii="Arial" w:cs="Arial" w:eastAsia="Arial" w:hAnsi="Arial"/>
          <w:sz w:val="16"/>
          <w:szCs w:val="16"/>
          <w:color w:val="auto"/>
        </w:rPr>
      </w:pPr>
    </w:p>
    <w:p>
      <w:pPr>
        <w:ind w:right="80" w:firstLine="1953"/>
        <w:spacing w:after="0" w:line="279" w:lineRule="auto"/>
        <w:tabs>
          <w:tab w:leader="none" w:pos="2585" w:val="left"/>
        </w:tabs>
        <w:numPr>
          <w:ilvl w:val="1"/>
          <w:numId w:val="87"/>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rFonts w:ascii="Arial" w:cs="Arial" w:eastAsia="Arial" w:hAnsi="Arial"/>
          <w:sz w:val="17"/>
          <w:szCs w:val="17"/>
          <w:color w:val="auto"/>
        </w:rPr>
      </w:pPr>
    </w:p>
    <w:p>
      <w:pPr>
        <w:ind w:left="1940" w:hanging="63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Exchange.</w:t>
      </w:r>
    </w:p>
    <w:p>
      <w:pPr>
        <w:spacing w:after="0" w:line="225" w:lineRule="exact"/>
        <w:rPr>
          <w:rFonts w:ascii="Arial" w:cs="Arial" w:eastAsia="Arial" w:hAnsi="Arial"/>
          <w:sz w:val="18"/>
          <w:szCs w:val="18"/>
          <w:color w:val="auto"/>
        </w:rPr>
      </w:pPr>
    </w:p>
    <w:p>
      <w:pPr>
        <w:ind w:right="40" w:firstLine="1953"/>
        <w:spacing w:after="0" w:line="264" w:lineRule="auto"/>
        <w:tabs>
          <w:tab w:leader="none" w:pos="25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81" w:lineRule="exact"/>
        <w:rPr>
          <w:rFonts w:ascii="Arial" w:cs="Arial" w:eastAsia="Arial" w:hAnsi="Arial"/>
          <w:sz w:val="18"/>
          <w:szCs w:val="18"/>
          <w:color w:val="auto"/>
        </w:rPr>
      </w:pPr>
    </w:p>
    <w:p>
      <w:pPr>
        <w:ind w:right="380" w:firstLine="1953"/>
        <w:spacing w:after="0" w:line="277" w:lineRule="auto"/>
        <w:tabs>
          <w:tab w:leader="none" w:pos="25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Whenever any Securities are so surrendered for exchange, the Issuer shall execute, and upon Issuer Order the Trustee shall authenticate and deliver, the Securities that the Holder making the exchange is entitled to receive.</w:t>
      </w:r>
    </w:p>
    <w:p>
      <w:pPr>
        <w:spacing w:after="0" w:line="170" w:lineRule="exact"/>
        <w:rPr>
          <w:rFonts w:ascii="Arial" w:cs="Arial" w:eastAsia="Arial" w:hAnsi="Arial"/>
          <w:sz w:val="18"/>
          <w:szCs w:val="18"/>
          <w:color w:val="auto"/>
        </w:rPr>
      </w:pPr>
    </w:p>
    <w:p>
      <w:pPr>
        <w:ind w:right="640" w:firstLine="1305"/>
        <w:spacing w:after="0" w:line="277" w:lineRule="auto"/>
        <w:tabs>
          <w:tab w:leader="none" w:pos="19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Exchange of Global Securities for Individual Securities. Except as provided below, owners of beneficial interests in Global Securities will not be entitled to receive Individual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57" w:lineRule="auto"/>
        <w:tabs>
          <w:tab w:leader="none" w:pos="25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Individual Securities shall be issued to all owners of beneficial interests in a Global Security in exchange for such interests if: (A) at any time the Depositary for the Securities of a series notifies the Issuer that it is unwilling or unable to continue as Depositary for the Securities of such series or if at any time the Depositary for the Securities of such series shall no longer be eligible under Section 3.03(h) and, in each case, a successor Depositary is not appointed by the Issuer within 90 days of such notice, or (B) the Issuer executes and delivers to the Trustee and the Registrar an Officer’s Certificate stating that such Global Security shall be so exchangeable.</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connection with the exchange of an entire Global Security for Individual Securities pursuant to this subsection (c), such Global Security shall be deemed to be surrendered to the Trustee for cancellation, and the Issuer shall execute, and the Trustee, upon receipt of an Issuer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54" w:lineRule="exact"/>
        <w:rPr>
          <w:sz w:val="20"/>
          <w:szCs w:val="20"/>
          <w:color w:val="auto"/>
        </w:rPr>
      </w:pPr>
    </w:p>
    <w:p>
      <w:pPr>
        <w:ind w:right="100" w:firstLine="1953"/>
        <w:spacing w:after="0" w:line="257" w:lineRule="auto"/>
        <w:tabs>
          <w:tab w:leader="none" w:pos="25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88" w:lineRule="exact"/>
        <w:rPr>
          <w:rFonts w:ascii="Arial" w:cs="Arial" w:eastAsia="Arial" w:hAnsi="Arial"/>
          <w:sz w:val="18"/>
          <w:szCs w:val="18"/>
          <w:color w:val="auto"/>
        </w:rPr>
      </w:pPr>
    </w:p>
    <w:p>
      <w:pPr>
        <w:ind w:left="660" w:right="180" w:firstLine="1941"/>
        <w:spacing w:after="0" w:line="277" w:lineRule="auto"/>
        <w:tabs>
          <w:tab w:leader="none" w:pos="32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Security Custodian and Registrar shall notify the Issuer and the Trustee of such instructions, identifying the owner and amount of such beneficial interest in such Global Security;</w:t>
      </w:r>
    </w:p>
    <w:p>
      <w:pPr>
        <w:spacing w:after="0" w:line="170" w:lineRule="exact"/>
        <w:rPr>
          <w:rFonts w:ascii="Arial" w:cs="Arial" w:eastAsia="Arial" w:hAnsi="Arial"/>
          <w:sz w:val="18"/>
          <w:szCs w:val="18"/>
          <w:color w:val="auto"/>
        </w:rPr>
      </w:pPr>
    </w:p>
    <w:p>
      <w:pPr>
        <w:ind w:left="660" w:right="100" w:firstLine="1941"/>
        <w:spacing w:after="0" w:line="264" w:lineRule="auto"/>
        <w:tabs>
          <w:tab w:leader="none" w:pos="322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Issuer shall promptly execute and the Trustee, upon receipt of an Issuer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81" w:lineRule="exact"/>
        <w:rPr>
          <w:rFonts w:ascii="Arial" w:cs="Arial" w:eastAsia="Arial" w:hAnsi="Arial"/>
          <w:sz w:val="18"/>
          <w:szCs w:val="18"/>
          <w:color w:val="auto"/>
        </w:rPr>
      </w:pPr>
    </w:p>
    <w:p>
      <w:pPr>
        <w:ind w:left="660" w:right="40" w:firstLine="1941"/>
        <w:spacing w:after="0" w:line="297" w:lineRule="auto"/>
        <w:tabs>
          <w:tab w:leader="none" w:pos="322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Issuer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58" w:lineRule="exact"/>
        <w:rPr>
          <w:rFonts w:ascii="Arial" w:cs="Arial" w:eastAsia="Arial" w:hAnsi="Arial"/>
          <w:sz w:val="16"/>
          <w:szCs w:val="16"/>
          <w:color w:val="auto"/>
        </w:rPr>
      </w:pPr>
    </w:p>
    <w:p>
      <w:pPr>
        <w:ind w:right="180" w:firstLine="1953"/>
        <w:spacing w:after="0" w:line="308" w:lineRule="auto"/>
        <w:tabs>
          <w:tab w:leader="none" w:pos="2597"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specified by the Issuer pursuant to Section 3.01 with respect to a series of Securities, the Depositary for such series of Securities may surrender a Global Security for such series of Securities in exchange in whole or in part for Individual Securities of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series on such terms as are acceptable to the Issuer and such Depositary. Thereupon, the Issuer shall execute, and upon Issuer Order the Trustee shall authenticate and deliver, without service charge,</w:t>
      </w:r>
    </w:p>
    <w:p>
      <w:pPr>
        <w:sectPr>
          <w:pgSz w:w="11900" w:h="16838" w:orient="portrait"/>
          <w:cols w:equalWidth="0" w:num="1">
            <w:col w:w="11420"/>
          </w:cols>
          <w:pgMar w:left="240" w:top="125" w:right="239" w:bottom="0" w:gutter="0" w:footer="0" w:header="0"/>
        </w:sectPr>
      </w:pPr>
    </w:p>
    <w:bookmarkStart w:id="39" w:name="page40"/>
    <w:bookmarkEnd w:id="39"/>
    <w:p>
      <w:pPr>
        <w:spacing w:after="0" w:line="137" w:lineRule="exact"/>
        <w:rPr>
          <w:sz w:val="20"/>
          <w:szCs w:val="20"/>
          <w:color w:val="auto"/>
        </w:rPr>
      </w:pPr>
    </w:p>
    <w:p>
      <w:pPr>
        <w:ind w:left="660" w:right="140" w:firstLine="1941"/>
        <w:spacing w:after="0" w:line="264" w:lineRule="auto"/>
        <w:tabs>
          <w:tab w:leader="none" w:pos="3237" w:val="left"/>
        </w:tabs>
        <w:numPr>
          <w:ilvl w:val="2"/>
          <w:numId w:val="90"/>
        </w:numPr>
        <w:rPr>
          <w:rFonts w:ascii="Arial" w:cs="Arial" w:eastAsia="Arial" w:hAnsi="Arial"/>
          <w:sz w:val="18"/>
          <w:szCs w:val="18"/>
          <w:color w:val="auto"/>
        </w:rPr>
      </w:pPr>
      <w:r>
        <w:rPr>
          <w:rFonts w:ascii="Arial" w:cs="Arial" w:eastAsia="Arial" w:hAnsi="Arial"/>
          <w:sz w:val="18"/>
          <w:szCs w:val="18"/>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81" w:lineRule="exact"/>
        <w:rPr>
          <w:rFonts w:ascii="Arial" w:cs="Arial" w:eastAsia="Arial" w:hAnsi="Arial"/>
          <w:sz w:val="18"/>
          <w:szCs w:val="18"/>
          <w:color w:val="auto"/>
        </w:rPr>
      </w:pPr>
    </w:p>
    <w:p>
      <w:pPr>
        <w:ind w:left="660" w:right="40" w:firstLine="1941"/>
        <w:spacing w:after="0" w:line="308" w:lineRule="auto"/>
        <w:tabs>
          <w:tab w:leader="none" w:pos="3227" w:val="left"/>
        </w:tabs>
        <w:numPr>
          <w:ilvl w:val="2"/>
          <w:numId w:val="90"/>
        </w:numPr>
        <w:rPr>
          <w:rFonts w:ascii="Arial" w:cs="Arial" w:eastAsia="Arial" w:hAnsi="Arial"/>
          <w:sz w:val="17"/>
          <w:szCs w:val="17"/>
          <w:color w:val="auto"/>
        </w:rPr>
      </w:pPr>
      <w:r>
        <w:rPr>
          <w:rFonts w:ascii="Arial" w:cs="Arial" w:eastAsia="Arial" w:hAnsi="Arial"/>
          <w:sz w:val="17"/>
          <w:szCs w:val="17"/>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46" w:lineRule="exact"/>
        <w:rPr>
          <w:rFonts w:ascii="Arial" w:cs="Arial" w:eastAsia="Arial" w:hAnsi="Arial"/>
          <w:sz w:val="17"/>
          <w:szCs w:val="17"/>
          <w:color w:val="auto"/>
        </w:rPr>
      </w:pPr>
    </w:p>
    <w:p>
      <w:pPr>
        <w:ind w:right="280" w:firstLine="1953"/>
        <w:spacing w:after="0" w:line="277" w:lineRule="auto"/>
        <w:tabs>
          <w:tab w:leader="none" w:pos="25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any exchange provided for in clauses (i) through (iii), the Issuer will execute and upon Issuer Order the Trustee will authenticate and deliver Individual Securities in registered form in authorized denominations.</w:t>
      </w:r>
    </w:p>
    <w:p>
      <w:pPr>
        <w:spacing w:after="0" w:line="170" w:lineRule="exact"/>
        <w:rPr>
          <w:rFonts w:ascii="Arial" w:cs="Arial" w:eastAsia="Arial" w:hAnsi="Arial"/>
          <w:sz w:val="18"/>
          <w:szCs w:val="18"/>
          <w:color w:val="auto"/>
        </w:rPr>
      </w:pPr>
    </w:p>
    <w:p>
      <w:pPr>
        <w:ind w:right="280" w:firstLine="1953"/>
        <w:spacing w:after="0" w:line="279" w:lineRule="auto"/>
        <w:tabs>
          <w:tab w:leader="none" w:pos="2575" w:val="left"/>
        </w:tabs>
        <w:numPr>
          <w:ilvl w:val="1"/>
          <w:numId w:val="91"/>
        </w:numPr>
        <w:rPr>
          <w:rFonts w:ascii="Arial" w:cs="Arial" w:eastAsia="Arial" w:hAnsi="Arial"/>
          <w:sz w:val="17"/>
          <w:szCs w:val="17"/>
          <w:color w:val="auto"/>
        </w:rPr>
      </w:pPr>
      <w:r>
        <w:rPr>
          <w:rFonts w:ascii="Arial" w:cs="Arial" w:eastAsia="Arial" w:hAnsi="Arial"/>
          <w:sz w:val="17"/>
          <w:szCs w:val="17"/>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1" w:lineRule="exact"/>
        <w:rPr>
          <w:rFonts w:ascii="Arial" w:cs="Arial" w:eastAsia="Arial" w:hAnsi="Arial"/>
          <w:sz w:val="17"/>
          <w:szCs w:val="17"/>
          <w:color w:val="auto"/>
        </w:rPr>
      </w:pPr>
    </w:p>
    <w:p>
      <w:pPr>
        <w:ind w:right="140" w:firstLine="1305"/>
        <w:spacing w:after="0" w:line="342" w:lineRule="auto"/>
        <w:tabs>
          <w:tab w:leader="none" w:pos="192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valid obligations of the Issuer evidencing the same debt, and entitled to the same benefits under this Indenture, as the Securities surrendered for such registration of transfer or exchange.</w:t>
      </w:r>
    </w:p>
    <w:p>
      <w:pPr>
        <w:spacing w:after="0" w:line="123" w:lineRule="exact"/>
        <w:rPr>
          <w:rFonts w:ascii="Arial" w:cs="Arial" w:eastAsia="Arial" w:hAnsi="Arial"/>
          <w:sz w:val="16"/>
          <w:szCs w:val="16"/>
          <w:color w:val="auto"/>
        </w:rPr>
      </w:pPr>
    </w:p>
    <w:p>
      <w:pPr>
        <w:ind w:right="140" w:firstLine="1305"/>
        <w:spacing w:after="0" w:line="286" w:lineRule="auto"/>
        <w:tabs>
          <w:tab w:leader="none" w:pos="1917" w:val="left"/>
        </w:tabs>
        <w:numPr>
          <w:ilvl w:val="0"/>
          <w:numId w:val="92"/>
        </w:numPr>
        <w:rPr>
          <w:rFonts w:ascii="Arial" w:cs="Arial" w:eastAsia="Arial" w:hAnsi="Arial"/>
          <w:sz w:val="17"/>
          <w:szCs w:val="17"/>
          <w:color w:val="auto"/>
        </w:rPr>
      </w:pPr>
      <w:r>
        <w:rPr>
          <w:rFonts w:ascii="Arial" w:cs="Arial" w:eastAsia="Arial" w:hAnsi="Arial"/>
          <w:sz w:val="17"/>
          <w:szCs w:val="17"/>
          <w:color w:val="auto"/>
        </w:rPr>
        <w:t>Every Security presented or surrendered for registration of transfer, or for exchange or payment shall (if so required by the Issuer, the Trustee or the Registrar) be duly endorsed, or be accompanied by a written instrument or instruments of transfer in form satisfactory to the Issuer, the Trustee and the Registrar, duly executed by the Holder thereof or by his, her or its attorney duly authorized in writing.</w:t>
      </w:r>
    </w:p>
    <w:p>
      <w:pPr>
        <w:spacing w:after="0" w:line="165" w:lineRule="exact"/>
        <w:rPr>
          <w:rFonts w:ascii="Arial" w:cs="Arial" w:eastAsia="Arial" w:hAnsi="Arial"/>
          <w:sz w:val="17"/>
          <w:szCs w:val="17"/>
          <w:color w:val="auto"/>
        </w:rPr>
      </w:pPr>
    </w:p>
    <w:p>
      <w:pPr>
        <w:ind w:right="60" w:firstLine="1305"/>
        <w:spacing w:after="0" w:line="259" w:lineRule="auto"/>
        <w:tabs>
          <w:tab w:leader="none" w:pos="19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service charge will be made for any registration of transfer or exchange of Securities. The Issuer or the Trustee may require payment of a sum sufficient to cover any tax, assessment or other governmental charge that may be imposed in connection with any registration of transfer or exchange of Securities, other than those expressly provided in this Indenture to be made at the Issuer’s own expense or without expense or charge to the Holders.</w:t>
      </w:r>
    </w:p>
    <w:p>
      <w:pPr>
        <w:spacing w:after="0" w:line="186" w:lineRule="exact"/>
        <w:rPr>
          <w:rFonts w:ascii="Arial" w:cs="Arial" w:eastAsia="Arial" w:hAnsi="Arial"/>
          <w:sz w:val="18"/>
          <w:szCs w:val="18"/>
          <w:color w:val="auto"/>
        </w:rPr>
      </w:pPr>
    </w:p>
    <w:p>
      <w:pPr>
        <w:ind w:right="600" w:firstLine="1305"/>
        <w:spacing w:after="0" w:line="264" w:lineRule="auto"/>
        <w:tabs>
          <w:tab w:leader="none" w:pos="19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transmission, or (ii) register, transfer or exchange any Security so selected for redemption in whole or in part, except the unredeemed portion of any Security being redeemed in part.</w:t>
      </w:r>
    </w:p>
    <w:p>
      <w:pPr>
        <w:spacing w:after="0" w:line="170" w:lineRule="exact"/>
        <w:rPr>
          <w:sz w:val="20"/>
          <w:szCs w:val="20"/>
          <w:color w:val="auto"/>
        </w:rPr>
      </w:pPr>
    </w:p>
    <w:p>
      <w:pPr>
        <w:ind w:firstLine="1305"/>
        <w:spacing w:after="0" w:line="302" w:lineRule="auto"/>
        <w:tabs>
          <w:tab w:leader="none" w:pos="1927"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or exchange of any Security, the Issuer,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Issuer, the Trustee, the Paying Agent, the Registrar, any co-Registrar or any of their agents shall be affected by any notice to the contrary.</w:t>
      </w:r>
    </w:p>
    <w:p>
      <w:pPr>
        <w:spacing w:after="0" w:line="154" w:lineRule="exact"/>
        <w:rPr>
          <w:rFonts w:ascii="Arial" w:cs="Arial" w:eastAsia="Arial" w:hAnsi="Arial"/>
          <w:sz w:val="16"/>
          <w:szCs w:val="16"/>
          <w:color w:val="auto"/>
        </w:rPr>
      </w:pPr>
    </w:p>
    <w:p>
      <w:pPr>
        <w:ind w:left="1940" w:hanging="635"/>
        <w:spacing w:after="0"/>
        <w:tabs>
          <w:tab w:leader="none" w:pos="19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case a successor Issuer (“Successor Issuer”) has executed an indenture supplemental hereto with the Trustee pursuant to</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Article XIV, any of the Securities authenticated or delivered pursuant to such transaction may, from time to time, at the request of the Successor Issuer, be exchanged for other Securities executed in the name of the Successor Issuer with such changes in phraseology and form as may be appropriate, but otherwise identical to the Securities surrendered for such exchange and of like principal amount; and the Trustee, upon Issuer Order of the Successor Issuer, shall authenticate and deliver Securities as specified in such order for the purpose of such exchange. If Securities shall at any time be authenticated and delivered in any new name of a Successor Issuer pursuant to this Section 3.06 in exchange or substitution for or upon registration of transfer of any Securities, such Successor Issuer, at the option of the Holders but without expense to them, shall provide for the exchange of all Securities at the time Outstanding for Securities authenticated and delivered in such new name.</w:t>
      </w:r>
    </w:p>
    <w:p>
      <w:pPr>
        <w:spacing w:after="0" w:line="181" w:lineRule="exact"/>
        <w:rPr>
          <w:sz w:val="20"/>
          <w:szCs w:val="20"/>
          <w:color w:val="auto"/>
        </w:rPr>
      </w:pPr>
    </w:p>
    <w:p>
      <w:pPr>
        <w:jc w:val="both"/>
        <w:ind w:right="300" w:firstLine="1305"/>
        <w:spacing w:after="0" w:line="264" w:lineRule="auto"/>
        <w:tabs>
          <w:tab w:leader="none" w:pos="19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Holder of a Security agrees to indemnify the Issuer and the Trustee against any liability that may result from the transfer, exchange or assignment of such Holder’s Security in violation of any provision of this Indenture and/or applicable United States federal or state securities laws.</w:t>
      </w:r>
    </w:p>
    <w:p>
      <w:pPr>
        <w:spacing w:after="0" w:line="181" w:lineRule="exact"/>
        <w:rPr>
          <w:rFonts w:ascii="Arial" w:cs="Arial" w:eastAsia="Arial" w:hAnsi="Arial"/>
          <w:sz w:val="18"/>
          <w:szCs w:val="18"/>
          <w:color w:val="auto"/>
        </w:rPr>
      </w:pPr>
    </w:p>
    <w:p>
      <w:pPr>
        <w:ind w:right="60" w:firstLine="1305"/>
        <w:spacing w:after="0" w:line="259" w:lineRule="auto"/>
        <w:tabs>
          <w:tab w:leader="none" w:pos="19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Neither the Trustee nor any agent of the Trustee shall have any responsibility for any actions taken or not taken by the Depositary.</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3.07</w:t>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79" w:lineRule="auto"/>
        <w:tabs>
          <w:tab w:leader="none" w:pos="1917"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(i) any mutilated Security is surrendered to the Trustee at its Corporate Trust Office or (ii) the Issuer and the Trustee receive evidence to their satisfaction of the destruction, loss or theft of any Security, and there is delivered to the Issuer and the Trustee security or indemnity satisfactory to them to save each of them and any Paying Agent harmless, and neither the Issuer nor the Trustee receives notice that such Security has been acquired by a protected purchaser, then the Issuer shall execute and upon Issuer Order the Trustee shall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authenticate and deliver, in exchange for or in lieu of any such mutilated, destroyed, lost or stolen Security, a new Security of the same series and of like tenor, form, terms and principal amount, bearing a number not contemporaneously outstanding, and neither gain nor loss in interest shall result from such</w:t>
      </w:r>
    </w:p>
    <w:p>
      <w:pPr>
        <w:sectPr>
          <w:pgSz w:w="11900" w:h="16975" w:orient="portrait"/>
          <w:cols w:equalWidth="0" w:num="1">
            <w:col w:w="11400"/>
          </w:cols>
          <w:pgMar w:left="240" w:top="125" w:right="25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exchange or substitution.</w:t>
      </w:r>
    </w:p>
    <w:p>
      <w:pPr>
        <w:spacing w:after="0" w:line="225" w:lineRule="exact"/>
        <w:rPr>
          <w:sz w:val="20"/>
          <w:szCs w:val="20"/>
          <w:color w:val="auto"/>
        </w:rPr>
      </w:pPr>
    </w:p>
    <w:p>
      <w:pPr>
        <w:ind w:right="240" w:firstLine="1305"/>
        <w:spacing w:after="0" w:line="277" w:lineRule="auto"/>
        <w:tabs>
          <w:tab w:leader="none" w:pos="192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Issuer in its discretion may, instead of issuing a new Security, pay the amount due on such Security in accordance with its terms.</w:t>
      </w:r>
    </w:p>
    <w:p>
      <w:pPr>
        <w:spacing w:after="0" w:line="170" w:lineRule="exact"/>
        <w:rPr>
          <w:rFonts w:ascii="Arial" w:cs="Arial" w:eastAsia="Arial" w:hAnsi="Arial"/>
          <w:sz w:val="18"/>
          <w:szCs w:val="18"/>
          <w:color w:val="auto"/>
        </w:rPr>
      </w:pPr>
    </w:p>
    <w:p>
      <w:pPr>
        <w:ind w:right="140" w:firstLine="1305"/>
        <w:spacing w:after="0" w:line="264" w:lineRule="auto"/>
        <w:tabs>
          <w:tab w:leader="none" w:pos="19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the Issuer may require the payment of a sum sufficient to cover any tax or other governmental charge that may be imposed in respect thereto and any other expenses (including the fees and expenses of the Trustee) connected therewith.</w:t>
      </w:r>
    </w:p>
    <w:p>
      <w:pPr>
        <w:spacing w:after="0" w:line="181" w:lineRule="exact"/>
        <w:rPr>
          <w:rFonts w:ascii="Arial" w:cs="Arial" w:eastAsia="Arial" w:hAnsi="Arial"/>
          <w:sz w:val="18"/>
          <w:szCs w:val="18"/>
          <w:color w:val="auto"/>
        </w:rPr>
      </w:pPr>
    </w:p>
    <w:p>
      <w:pPr>
        <w:ind w:right="120" w:firstLine="1305"/>
        <w:spacing w:after="0" w:line="312" w:lineRule="auto"/>
        <w:tabs>
          <w:tab w:leader="none" w:pos="19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Issuer,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6" w:lineRule="exact"/>
        <w:rPr>
          <w:rFonts w:ascii="Arial" w:cs="Arial" w:eastAsia="Arial" w:hAnsi="Arial"/>
          <w:sz w:val="16"/>
          <w:szCs w:val="16"/>
          <w:color w:val="auto"/>
        </w:rPr>
      </w:pPr>
    </w:p>
    <w:p>
      <w:pPr>
        <w:ind w:right="240" w:firstLine="1305"/>
        <w:spacing w:after="0" w:line="277" w:lineRule="auto"/>
        <w:tabs>
          <w:tab w:leader="none" w:pos="19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5" w:lineRule="auto"/>
        <w:tabs>
          <w:tab w:leader="none" w:pos="1917"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Issuer, by check mailed to the address of the Person entitled thereto as such address shall appear in the Register or, in accordance with arrangements satisfactory to the Trustee, by wire transfer to an account designated by the Holder.</w:t>
      </w:r>
    </w:p>
    <w:p>
      <w:pPr>
        <w:spacing w:after="0" w:line="193" w:lineRule="exact"/>
        <w:rPr>
          <w:rFonts w:ascii="Arial" w:cs="Arial" w:eastAsia="Arial" w:hAnsi="Arial"/>
          <w:sz w:val="18"/>
          <w:szCs w:val="18"/>
          <w:color w:val="auto"/>
        </w:rPr>
      </w:pPr>
    </w:p>
    <w:p>
      <w:pPr>
        <w:ind w:right="240" w:firstLine="1305"/>
        <w:spacing w:after="0" w:line="286" w:lineRule="auto"/>
        <w:tabs>
          <w:tab w:leader="none" w:pos="19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Issuer, at its election in each case, as provided in clause (i) or (ii) below:</w:t>
      </w:r>
    </w:p>
    <w:p>
      <w:pPr>
        <w:spacing w:after="0" w:line="165" w:lineRule="exact"/>
        <w:rPr>
          <w:rFonts w:ascii="Arial" w:cs="Arial" w:eastAsia="Arial" w:hAnsi="Arial"/>
          <w:sz w:val="17"/>
          <w:szCs w:val="17"/>
          <w:color w:val="auto"/>
        </w:rPr>
      </w:pPr>
    </w:p>
    <w:p>
      <w:pPr>
        <w:ind w:right="80" w:firstLine="1953"/>
        <w:spacing w:after="0" w:line="279" w:lineRule="auto"/>
        <w:tabs>
          <w:tab w:leader="none" w:pos="2574"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Issuer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Issuer shall notify the Trustee in writing of the amount of Defaulted Interest proposed to be paid on each such Security and the date of the proposed payment, and at the same time the Issuer shall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given to each Holder of such Securities in the manner set forth in Section 16.04, not less than 10 calendar days prior to such Special Record Date. Notice of the proposed payment of such Defaulted Interest and the Special Record Date therefor having been mailed or transmitted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69" w:lineRule="exact"/>
        <w:rPr>
          <w:sz w:val="20"/>
          <w:szCs w:val="20"/>
          <w:color w:val="auto"/>
        </w:rPr>
      </w:pPr>
    </w:p>
    <w:p>
      <w:pPr>
        <w:ind w:right="40" w:firstLine="1953"/>
        <w:spacing w:after="0" w:line="312" w:lineRule="auto"/>
        <w:tabs>
          <w:tab w:leader="none" w:pos="25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Issuer may make payment of any Defaulted Interest on Securities in any other lawful manner not inconsistent with the requirements of any securities exchange on which such Securities may be listed, and upon such notice as may be required by any such exchange, if, after notice given by the Issuer to the Trustee of the proposed payment pursuant to this clause, such manner of payment shall be deemed practicable by the Trustee.</w:t>
      </w:r>
    </w:p>
    <w:p>
      <w:pPr>
        <w:spacing w:after="0" w:line="146" w:lineRule="exact"/>
        <w:rPr>
          <w:rFonts w:ascii="Arial" w:cs="Arial" w:eastAsia="Arial" w:hAnsi="Arial"/>
          <w:sz w:val="16"/>
          <w:szCs w:val="16"/>
          <w:color w:val="auto"/>
        </w:rPr>
      </w:pPr>
    </w:p>
    <w:p>
      <w:pPr>
        <w:ind w:right="100" w:firstLine="1305"/>
        <w:spacing w:after="0" w:line="264" w:lineRule="auto"/>
        <w:tabs>
          <w:tab w:leader="none" w:pos="1917"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Issuer may at any time deliver to the Trustee for cancellation any Securities previously authenticated and delivered hereunder that the Issuer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Issuer upon its request therefor. The acquisition of any Securities by the Issuer shall not operate as a redemption or satisfaction of the Indebtedness represented thereby unless and until such Securities are surrendered to the Trustee for cancellation.</w:t>
      </w:r>
    </w:p>
    <w:p>
      <w:pPr>
        <w:spacing w:after="0" w:line="18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Currency of Payments in Respect of Securities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41" w:name="page42"/>
    <w:bookmarkEnd w:id="41"/>
    <w:p>
      <w:pPr>
        <w:ind w:firstLine="1305"/>
        <w:spacing w:after="0" w:line="277" w:lineRule="auto"/>
        <w:tabs>
          <w:tab w:leader="none" w:pos="19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otherwise specified pursuant to Section 3.01 for Securities of any series, payment of the principal of and premium, if any, and interest on Securities of such series will be made in U.S. Dollars.</w:t>
      </w:r>
    </w:p>
    <w:p>
      <w:pPr>
        <w:spacing w:after="0" w:line="170" w:lineRule="exact"/>
        <w:rPr>
          <w:rFonts w:ascii="Arial" w:cs="Arial" w:eastAsia="Arial" w:hAnsi="Arial"/>
          <w:sz w:val="18"/>
          <w:szCs w:val="18"/>
          <w:color w:val="auto"/>
        </w:rPr>
      </w:pPr>
    </w:p>
    <w:p>
      <w:pPr>
        <w:ind w:firstLine="1305"/>
        <w:spacing w:after="0" w:line="293" w:lineRule="auto"/>
        <w:tabs>
          <w:tab w:leader="none" w:pos="192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64" w:lineRule="exact"/>
        <w:rPr>
          <w:rFonts w:ascii="Arial" w:cs="Arial" w:eastAsia="Arial" w:hAnsi="Arial"/>
          <w:sz w:val="16"/>
          <w:szCs w:val="16"/>
          <w:color w:val="auto"/>
        </w:rPr>
      </w:pPr>
    </w:p>
    <w:p>
      <w:pPr>
        <w:ind w:right="40" w:firstLine="1305"/>
        <w:spacing w:after="0" w:line="276" w:lineRule="auto"/>
        <w:tabs>
          <w:tab w:leader="none" w:pos="191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decision or determination to be made regarding exchange rates shall be made by an agent appointed by the Issuer; provided, that such agent shall accept such appointment in writing and the terms of such appointment shall, in the opinion of the Issuer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Issuer, the Trustee and all Holders of the Securities.</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Judgments</w:t>
      </w:r>
      <w:r>
        <w:rPr>
          <w:rFonts w:ascii="Arial" w:cs="Arial" w:eastAsia="Arial" w:hAnsi="Arial"/>
          <w:sz w:val="16"/>
          <w:szCs w:val="16"/>
          <w:color w:val="auto"/>
        </w:rPr>
        <w:t>. The Issuer may provide pursuant to Section 3.01 for Securities of any series that (a) the obligation, if any, of the Issuer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Issuer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Issuer shall pay such additional amounts as may be necessary to compensate for such shortfall; and (d) any obligation of the Issuer not discharged by such payment shall be due as a separate and independent obligation and, until discharged as provided herein, shall continue in full force and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CUSIP Numbers</w:t>
      </w:r>
      <w:r>
        <w:rPr>
          <w:rFonts w:ascii="Arial" w:cs="Arial" w:eastAsia="Arial" w:hAnsi="Arial"/>
          <w:sz w:val="18"/>
          <w:szCs w:val="18"/>
          <w:color w:val="auto"/>
        </w:rPr>
        <w:t>. The Issuer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ISIN or other similar numbers.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Applicability of Right of Redemption</w:t>
      </w:r>
      <w:r>
        <w:rPr>
          <w:rFonts w:ascii="Arial" w:cs="Arial" w:eastAsia="Arial" w:hAnsi="Arial"/>
          <w:sz w:val="18"/>
          <w:szCs w:val="18"/>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9" w:lineRule="auto"/>
        <w:tabs>
          <w:tab w:leader="none" w:pos="19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the Issuer shall at any time elect to redeem all or any portion of the Securities of a series then Outstanding, it shall at least 30 days prior to the Redemption Date fixed by the Issuer (unless a shorter period shall be satisfactory to the Trustee) notify the Trustee of such Redemption Date and of the principal amount of Securities to be redeemed, and thereupon the Trustee shall select,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the Depositary to the extent applicable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Issuer in writing of the Securities and portions of Securities so selected.</w:t>
      </w:r>
    </w:p>
    <w:p>
      <w:pPr>
        <w:spacing w:after="0" w:line="166" w:lineRule="exact"/>
        <w:rPr>
          <w:rFonts w:ascii="Arial" w:cs="Arial" w:eastAsia="Arial" w:hAnsi="Arial"/>
          <w:sz w:val="16"/>
          <w:szCs w:val="16"/>
          <w:color w:val="auto"/>
        </w:rPr>
      </w:pPr>
    </w:p>
    <w:p>
      <w:pPr>
        <w:ind w:right="20" w:firstLine="1305"/>
        <w:spacing w:after="0" w:line="259" w:lineRule="auto"/>
        <w:tabs>
          <w:tab w:leader="none" w:pos="19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Issuer shall so direct, Securities registered in the name of the Issuer, any Affiliate or any Subsidiary thereof shall not be included in the Securities selected for redemption.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02" w:lineRule="auto"/>
        <w:tabs>
          <w:tab w:leader="none" w:pos="191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election of the Issuer to redeem any Securities of any series shall be evidenced by a Board Resolution. Notice of redemption shall be given by the Issuer or, at the Issuer’s request, by the Trustee in the name and at the expense of the Issuer, not less than 15 nor more than 60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w:t>
      </w:r>
    </w:p>
    <w:p>
      <w:pPr>
        <w:sectPr>
          <w:pgSz w:w="11900" w:h="16838" w:orient="portrait"/>
          <w:cols w:equalWidth="0" w:num="1">
            <w:col w:w="11400"/>
          </w:cols>
          <w:pgMar w:left="240" w:top="125" w:right="259" w:bottom="0" w:gutter="0" w:footer="0" w:header="0"/>
        </w:sectPr>
      </w:pPr>
    </w:p>
    <w:bookmarkStart w:id="42" w:name="page43"/>
    <w:bookmarkEnd w:id="42"/>
    <w:p>
      <w:pPr>
        <w:ind w:right="320"/>
        <w:spacing w:after="0" w:line="342" w:lineRule="auto"/>
        <w:rPr>
          <w:sz w:val="20"/>
          <w:szCs w:val="20"/>
          <w:color w:val="auto"/>
        </w:rPr>
      </w:pPr>
      <w:r>
        <w:rPr>
          <w:rFonts w:ascii="Arial" w:cs="Arial" w:eastAsia="Arial" w:hAnsi="Arial"/>
          <w:sz w:val="16"/>
          <w:szCs w:val="16"/>
          <w:color w:val="auto"/>
        </w:rPr>
        <w:t>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24" w:lineRule="exact"/>
        <w:rPr>
          <w:sz w:val="20"/>
          <w:szCs w:val="20"/>
          <w:color w:val="auto"/>
        </w:rPr>
      </w:pPr>
    </w:p>
    <w:p>
      <w:pPr>
        <w:ind w:right="20" w:firstLine="1305"/>
        <w:spacing w:after="0" w:line="277" w:lineRule="auto"/>
        <w:tabs>
          <w:tab w:leader="none" w:pos="19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notices of redemption shall identify the Securities to be redeemed (including CUSIP, ISIN or other similar numbers, if available along with the statement in Section 3.13) and shall state:</w:t>
      </w:r>
    </w:p>
    <w:p>
      <w:pPr>
        <w:spacing w:after="0" w:line="170" w:lineRule="exact"/>
        <w:rPr>
          <w:rFonts w:ascii="Arial" w:cs="Arial" w:eastAsia="Arial" w:hAnsi="Arial"/>
          <w:sz w:val="18"/>
          <w:szCs w:val="18"/>
          <w:color w:val="auto"/>
        </w:rPr>
      </w:pPr>
    </w:p>
    <w:p>
      <w:pPr>
        <w:ind w:right="320" w:firstLine="1953"/>
        <w:spacing w:after="0" w:line="277" w:lineRule="auto"/>
        <w:tabs>
          <w:tab w:leader="none" w:pos="257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election by the Issuer to redeem Securities of such series pursuant to provisions contained in this Indenture or the terms of the Securities of such series or a supplemental indenture establishing such series, if such be the case;</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right="540" w:firstLine="1953"/>
        <w:spacing w:after="0" w:line="277" w:lineRule="auto"/>
        <w:tabs>
          <w:tab w:leader="none" w:pos="258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170" w:lineRule="exact"/>
        <w:rPr>
          <w:rFonts w:ascii="Arial" w:cs="Arial" w:eastAsia="Arial" w:hAnsi="Arial"/>
          <w:sz w:val="18"/>
          <w:szCs w:val="18"/>
          <w:color w:val="auto"/>
        </w:rPr>
      </w:pPr>
    </w:p>
    <w:p>
      <w:pPr>
        <w:ind w:right="20" w:firstLine="1953"/>
        <w:spacing w:after="0" w:line="277" w:lineRule="auto"/>
        <w:tabs>
          <w:tab w:leader="none" w:pos="257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are to be surrendered for payment of the Redemption Price; and</w:t>
      </w:r>
    </w:p>
    <w:p>
      <w:pPr>
        <w:spacing w:after="0" w:line="248" w:lineRule="exact"/>
        <w:rPr>
          <w:rFonts w:ascii="Arial" w:cs="Arial" w:eastAsia="Arial" w:hAnsi="Arial"/>
          <w:sz w:val="16"/>
          <w:szCs w:val="16"/>
          <w:color w:val="auto"/>
        </w:rPr>
      </w:pPr>
    </w:p>
    <w:p>
      <w:pPr>
        <w:ind w:left="2600" w:hanging="647"/>
        <w:spacing w:after="0"/>
        <w:tabs>
          <w:tab w:leader="none" w:pos="2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applicable conditions to such redemption,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notice of redemption published as contemplated by Section 16.04 need not identify particular Securities to be redeemed.</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Notice of redemption of such Securities to be redeemed at the election of the Company shall be given by the Company or, at the Company’s written request made at least five Business Days prior to the date on which notice is to be given, by the Trustee in the name and at the expense of the Company.</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11:00 a.m., New York City time, on the Redemption Date for any Securities, the Issuer shall deposit with the Trustee or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Paying Agent (or, if the Issuer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 Notice of redemption having been given as aforesaid, any Securities so to be redeemed shall, on the Redemption Date, become due and payable at the Redemption Price and from and after such date (unless the Issuer shall Default in the payment of the Redemption Price) such Securities shall cease to bear interest. Upon surrender of any such Security for redemption in accordance with said notice, such Security shall be paid by the Issuer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Security that is to be redeemed only in part shall be surrendered at the Corporate Trust Office or such other office or agency of the Issuer as is specified pursuant to Section 3.01 with, if the Issuer, the Registrar or the Trustee so requires, due endorsement by, or a written instrument of transfer in form satisfactory to the Issuer, the Registrar and the Trustee duly executed by the Holder thereof or his, her or its attorney duly authorized in writing, and the Issuer shall execute, and upon Issuer Order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Issuer shall execute, and upon Issuer Order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2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Applicability of Sinking Fund</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64" w:lineRule="auto"/>
        <w:tabs>
          <w:tab w:leader="none" w:pos="19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provided, however, that if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43" w:name="page44"/>
    <w:bookmarkEnd w:id="43"/>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such terms of a series of Securities shall conflict with any provision of this Article, the terms of such series shall govern.</w:t>
      </w:r>
    </w:p>
    <w:p>
      <w:pPr>
        <w:spacing w:after="0" w:line="225" w:lineRule="exact"/>
        <w:rPr>
          <w:sz w:val="20"/>
          <w:szCs w:val="20"/>
          <w:color w:val="auto"/>
        </w:rPr>
      </w:pPr>
    </w:p>
    <w:p>
      <w:pPr>
        <w:ind w:right="100" w:firstLine="1305"/>
        <w:spacing w:after="0" w:line="259" w:lineRule="auto"/>
        <w:tabs>
          <w:tab w:leader="none" w:pos="19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8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Mandatory Sinking Fund Obligation</w:t>
      </w:r>
      <w:r>
        <w:rPr>
          <w:rFonts w:ascii="Arial" w:cs="Arial" w:eastAsia="Arial" w:hAnsi="Arial"/>
          <w:sz w:val="17"/>
          <w:szCs w:val="17"/>
          <w:color w:val="auto"/>
        </w:rPr>
        <w:t>. The Issuer may, at its option, satisfy any Mandatory Sinking Fund Payment obligation, in whole or in part, with respect to a particular series of Securities by (a) delivering to the Trustee Securities of such series in transferable form theretofore purchased or otherwise acquired by the Issuer or redeemed at the election of the Issuer pursuant to Section 4.03 or (b) receiving credit for Securities of such series (not previously so credited) acquired by the Issuer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Issuer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Issuer, at or before the time so required, to give such notice and deliver such Securities the Mandatory Sinking Fund Payment obligation shall be paid entirely in moneys.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Optional Redemption at Sinking Fund Redemption Price</w:t>
      </w:r>
      <w:r>
        <w:rPr>
          <w:rFonts w:ascii="Arial" w:cs="Arial" w:eastAsia="Arial" w:hAnsi="Arial"/>
          <w:sz w:val="17"/>
          <w:szCs w:val="17"/>
          <w:color w:val="auto"/>
        </w:rPr>
        <w:t>. In addition to the sinking fund requirements of Section 5.02, to the extent, if any, provided for by the terms of a particular series of Securities, the Issuer may, at its option, make an Optional Sinking Fund Payment with respect to such Securities. Unless otherwise provided by such terms, (a) to the extent that the right of the Issuer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Issuer intends to exercise its right to make such optional payment in any year it shall deliver to the Trustee not less than 45 days prior to the relevant sinking fund payment date an Officer’s Certificate stating that the Issuer will exercise such optional right, and specifying the amount which the Issuer will pay on or before the next succeeding sinking fund payment date. Such Officer’s Certificate shall also state that no Event of Default has occurred and is continuing.</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Application of Sinking Fund Payment</w:t>
      </w:r>
      <w:r>
        <w:rPr>
          <w:rFonts w:ascii="Arial" w:cs="Arial" w:eastAsia="Arial" w:hAnsi="Arial"/>
          <w:sz w:val="16"/>
          <w:szCs w:val="16"/>
          <w:color w:val="auto"/>
        </w:rPr>
        <w:t>.</w:t>
      </w:r>
    </w:p>
    <w:p>
      <w:pPr>
        <w:spacing w:after="0" w:line="225" w:lineRule="exact"/>
        <w:rPr>
          <w:sz w:val="20"/>
          <w:szCs w:val="20"/>
          <w:color w:val="auto"/>
        </w:rPr>
      </w:pPr>
    </w:p>
    <w:p>
      <w:pPr>
        <w:jc w:val="both"/>
        <w:ind w:right="40" w:firstLine="1305"/>
        <w:spacing w:after="0" w:line="264" w:lineRule="auto"/>
        <w:tabs>
          <w:tab w:leader="none" w:pos="19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Issuer shall so request, or such equivalent sum for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Issuer, thereupon cause notice of redemption of the Securities to be given in substantially the manner provided in Section 4.03 (a) for the redemption of Securities in part at the option of the Issuer,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83" w:lineRule="exact"/>
        <w:rPr>
          <w:sz w:val="20"/>
          <w:szCs w:val="20"/>
          <w:color w:val="auto"/>
        </w:rPr>
      </w:pPr>
    </w:p>
    <w:p>
      <w:pPr>
        <w:ind w:right="400" w:firstLine="1305"/>
        <w:spacing w:after="0" w:line="308" w:lineRule="auto"/>
        <w:tabs>
          <w:tab w:leader="none" w:pos="192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or prior to each sinking fund payment date, the Issuer shall pay to the Trustee a sum equal to all interest accrued to but not including the date fixed for redemption on Securities to be redeemed on such sinking fund payment date pursuant to this Section 5.04.</w:t>
      </w:r>
    </w:p>
    <w:p>
      <w:pPr>
        <w:spacing w:after="0" w:line="146" w:lineRule="exact"/>
        <w:rPr>
          <w:rFonts w:ascii="Arial" w:cs="Arial" w:eastAsia="Arial" w:hAnsi="Arial"/>
          <w:sz w:val="17"/>
          <w:szCs w:val="17"/>
          <w:color w:val="auto"/>
        </w:rPr>
      </w:pPr>
    </w:p>
    <w:p>
      <w:pPr>
        <w:ind w:firstLine="1305"/>
        <w:spacing w:after="0" w:line="289" w:lineRule="auto"/>
        <w:tabs>
          <w:tab w:leader="none" w:pos="191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written notice,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PARTICULAR COVENANTS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hereby covenants and agrees as follows: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Payments of Securities</w:t>
      </w:r>
      <w:r>
        <w:rPr>
          <w:rFonts w:ascii="Arial" w:cs="Arial" w:eastAsia="Arial" w:hAnsi="Arial"/>
          <w:sz w:val="18"/>
          <w:szCs w:val="18"/>
          <w:color w:val="auto"/>
        </w:rPr>
        <w:t>. The Issuer will duly and punctually pay the principal of and premium, if any, on each series of Securities, and the interest which shall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accrued thereon, at the dates and place and in the manner provided in the Securities and in this Indenture.</w:t>
      </w:r>
    </w:p>
    <w:p>
      <w:pPr>
        <w:sectPr>
          <w:pgSz w:w="11900" w:h="16851" w:orient="portrait"/>
          <w:cols w:equalWidth="0" w:num="1">
            <w:col w:w="11400"/>
          </w:cols>
          <w:pgMar w:left="240" w:top="125" w:right="259" w:bottom="0" w:gutter="0" w:footer="0" w:header="0"/>
          <w:type w:val="continuous"/>
        </w:sectPr>
      </w:pPr>
    </w:p>
    <w:bookmarkStart w:id="44" w:name="page45"/>
    <w:bookmarkEnd w:id="44"/>
    <w:p>
      <w:pPr>
        <w:spacing w:after="0" w:line="9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Paying Agent</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5" w:lineRule="auto"/>
        <w:tabs>
          <w:tab w:leader="none" w:pos="19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Issuer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Issuer in respect of the Securities and this Indenture may be served (the “Paying Agent”).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Paying Agent to receive all presentations, surrenders, notices and demands.</w:t>
      </w:r>
    </w:p>
    <w:p>
      <w:pPr>
        <w:spacing w:after="0" w:line="189" w:lineRule="exact"/>
        <w:rPr>
          <w:rFonts w:ascii="Arial" w:cs="Arial" w:eastAsia="Arial" w:hAnsi="Arial"/>
          <w:sz w:val="18"/>
          <w:szCs w:val="18"/>
          <w:color w:val="auto"/>
        </w:rPr>
      </w:pPr>
    </w:p>
    <w:p>
      <w:pPr>
        <w:ind w:right="60" w:firstLine="1305"/>
        <w:spacing w:after="0" w:line="272" w:lineRule="auto"/>
        <w:tabs>
          <w:tab w:leader="none" w:pos="192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Issuer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Issuer of its obligations described in the preceding paragraph. The Issuer will give prompt written notice to the Trustee of any such additional designation or rescission of designation and of any change in the location of any such different or additional office or agency. The Issuer shall enter into an appropriate agency agreement with any Paying Agent not a party to this Indenture. The agreement shall implement the provisions of this Indenture that relate to such agent. The Issuer shall notify the Trustee of the name and address of each such agent. The Issuer or any Affiliate thereof may act as Paying Agent.</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To Hold Payment in Trust</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5" w:lineRule="auto"/>
        <w:tabs>
          <w:tab w:leader="none" w:pos="191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Issuer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Issuer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Issuer or any Affiliate thereof, if the Issuer or such Affiliate is then acting as Paying Agent, the Trustee shall replace the Issuer or such Affiliate as Paying Agent.</w:t>
      </w:r>
    </w:p>
    <w:p>
      <w:pPr>
        <w:spacing w:after="0" w:line="189" w:lineRule="exact"/>
        <w:rPr>
          <w:rFonts w:ascii="Arial" w:cs="Arial" w:eastAsia="Arial" w:hAnsi="Arial"/>
          <w:sz w:val="18"/>
          <w:szCs w:val="18"/>
          <w:color w:val="auto"/>
        </w:rPr>
      </w:pPr>
    </w:p>
    <w:p>
      <w:pPr>
        <w:ind w:right="60" w:firstLine="1305"/>
        <w:spacing w:after="0" w:line="259" w:lineRule="auto"/>
        <w:tabs>
          <w:tab w:leader="none" w:pos="19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Issuer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Issuer will deposit with such Paying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Agent a sum sufficient to pay such principal and premium, if any, or interest, such sum to be held in trust for the benefit of the Holders of such Securities or the Trustee, and (unless such Paying Agent is the Trustee), the Issuer or any other obligor of such Securities will promptly notify the Trustee of its payment or failure to make such payment.</w:t>
      </w:r>
    </w:p>
    <w:p>
      <w:pPr>
        <w:spacing w:after="0" w:line="181" w:lineRule="exact"/>
        <w:rPr>
          <w:sz w:val="20"/>
          <w:szCs w:val="20"/>
          <w:color w:val="auto"/>
        </w:rPr>
      </w:pPr>
    </w:p>
    <w:p>
      <w:pPr>
        <w:ind w:right="20" w:firstLine="1305"/>
        <w:spacing w:after="0" w:line="342" w:lineRule="auto"/>
        <w:tabs>
          <w:tab w:leader="none" w:pos="191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the Paying Agent shall be other than the Trustee, the Issuer will cause such Paying Agent to execute and deliver to the Trustee an instrument in which such Paying Agent shall agree with the Trustee, subject to the provisions of this Section 6.03, that such Paying Agent shall:</w:t>
      </w:r>
    </w:p>
    <w:p>
      <w:pPr>
        <w:spacing w:after="0" w:line="123" w:lineRule="exact"/>
        <w:rPr>
          <w:rFonts w:ascii="Arial" w:cs="Arial" w:eastAsia="Arial" w:hAnsi="Arial"/>
          <w:sz w:val="16"/>
          <w:szCs w:val="16"/>
          <w:color w:val="auto"/>
        </w:rPr>
      </w:pPr>
    </w:p>
    <w:p>
      <w:pPr>
        <w:ind w:right="360" w:firstLine="1953"/>
        <w:spacing w:after="0" w:line="342" w:lineRule="auto"/>
        <w:tabs>
          <w:tab w:leader="none" w:pos="2574" w:val="left"/>
        </w:tabs>
        <w:numPr>
          <w:ilvl w:val="2"/>
          <w:numId w:val="110"/>
        </w:numPr>
        <w:rPr>
          <w:rFonts w:ascii="Arial" w:cs="Arial" w:eastAsia="Arial" w:hAnsi="Arial"/>
          <w:sz w:val="16"/>
          <w:szCs w:val="16"/>
          <w:color w:val="auto"/>
        </w:rPr>
      </w:pPr>
      <w:r>
        <w:rPr>
          <w:rFonts w:ascii="Arial" w:cs="Arial" w:eastAsia="Arial" w:hAnsi="Arial"/>
          <w:sz w:val="16"/>
          <w:szCs w:val="16"/>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23" w:lineRule="exact"/>
        <w:rPr>
          <w:rFonts w:ascii="Arial" w:cs="Arial" w:eastAsia="Arial" w:hAnsi="Arial"/>
          <w:sz w:val="16"/>
          <w:szCs w:val="16"/>
          <w:color w:val="auto"/>
        </w:rPr>
      </w:pPr>
    </w:p>
    <w:p>
      <w:pPr>
        <w:ind w:right="40" w:firstLine="1953"/>
        <w:spacing w:after="0" w:line="277" w:lineRule="auto"/>
        <w:tabs>
          <w:tab w:leader="none" w:pos="258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give to the Trustee notice of any Default by the Issuer or any other obligor upon the Securities of that series in the making of any payment of the principal of and premium, if any, or interest on the Securities of that series; and</w:t>
      </w:r>
    </w:p>
    <w:p>
      <w:pPr>
        <w:spacing w:after="0" w:line="170" w:lineRule="exact"/>
        <w:rPr>
          <w:rFonts w:ascii="Arial" w:cs="Arial" w:eastAsia="Arial" w:hAnsi="Arial"/>
          <w:sz w:val="18"/>
          <w:szCs w:val="18"/>
          <w:color w:val="auto"/>
        </w:rPr>
      </w:pPr>
    </w:p>
    <w:p>
      <w:pPr>
        <w:ind w:right="360" w:firstLine="1953"/>
        <w:spacing w:after="0" w:line="277" w:lineRule="auto"/>
        <w:tabs>
          <w:tab w:leader="none" w:pos="259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pay to the Trustee all sums so held in trust by such Paying Agent.</w:t>
      </w:r>
    </w:p>
    <w:p>
      <w:pPr>
        <w:spacing w:after="0" w:line="170" w:lineRule="exact"/>
        <w:rPr>
          <w:rFonts w:ascii="Arial" w:cs="Arial" w:eastAsia="Arial" w:hAnsi="Arial"/>
          <w:sz w:val="18"/>
          <w:szCs w:val="18"/>
          <w:color w:val="auto"/>
        </w:rPr>
      </w:pPr>
    </w:p>
    <w:p>
      <w:pPr>
        <w:ind w:right="40" w:firstLine="656"/>
        <w:spacing w:after="0" w:line="259" w:lineRule="auto"/>
        <w:tabs>
          <w:tab w:leader="none" w:pos="12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Anything in this Section 6.03 to the contrary notwithstanding, the Issuer may at any time, for the purpose of obtaining a release, satisfaction or discharge of this Indenture or for any other reason, pay or cause to be paid to the Trustee all sums held in trust by the Issuer or by any Paying Agent other than the Trustee as required by this Section 6.03, such sums to be held by the Trustee upon the same trusts as those upon which such sums were held by the Issuer or such Paying Agent.</w:t>
      </w:r>
    </w:p>
    <w:p>
      <w:pPr>
        <w:spacing w:after="0" w:line="186" w:lineRule="exact"/>
        <w:rPr>
          <w:rFonts w:ascii="Arial" w:cs="Arial" w:eastAsia="Arial" w:hAnsi="Arial"/>
          <w:sz w:val="18"/>
          <w:szCs w:val="18"/>
          <w:color w:val="auto"/>
        </w:rPr>
      </w:pPr>
    </w:p>
    <w:p>
      <w:pPr>
        <w:ind w:firstLine="656"/>
        <w:spacing w:after="0" w:line="270" w:lineRule="auto"/>
        <w:tabs>
          <w:tab w:leader="none" w:pos="126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money deposited with the Trustee or any Paying Agent, or then held by the Issuer, in trust for the payment of the principal of and premium, if any, or interest on any Security of any series and remaining unclaimed for two years after such principal and premium, if any, or interest has become due and payable shall be paid to the Issuer upon Issuer Order along with any interest that has accumulated thereon as a result of such money being invested at the written direction of the Issuer, or (if then held by the Issuer) shall be discharged from such trust, and the Holder of such Security shall thereafter, as an unsecured general creditor, look only to the Issuer for payment of such amounts without interest thereon, and all liability of the Trustee or such Paying Agent with respect to such trust money, and all liability of the Issuer as trustee thereof, shall thereupon cease; provided, however, that the Trustee or such Paying Agent before being required to make any such repayment, may at the expense of the Issuer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Merger, Consolidation and Sale of Assets</w:t>
      </w:r>
      <w:r>
        <w:rPr>
          <w:rFonts w:ascii="Arial" w:cs="Arial" w:eastAsia="Arial" w:hAnsi="Arial"/>
          <w:sz w:val="18"/>
          <w:szCs w:val="18"/>
          <w:color w:val="auto"/>
        </w:rPr>
        <w:t>. Except as otherwise provided as contemplated by Section 3.01 with respect to any series of Securities:</w:t>
      </w:r>
    </w:p>
    <w:p>
      <w:pPr>
        <w:sectPr>
          <w:pgSz w:w="11900" w:h="16929" w:orient="portrait"/>
          <w:cols w:equalWidth="0" w:num="1">
            <w:col w:w="11400"/>
          </w:cols>
          <w:pgMar w:left="240" w:top="341" w:right="259" w:bottom="0" w:gutter="0" w:footer="0" w:header="0"/>
        </w:sectPr>
      </w:pPr>
    </w:p>
    <w:bookmarkStart w:id="45" w:name="page46"/>
    <w:bookmarkEnd w:id="45"/>
    <w:p>
      <w:pPr>
        <w:spacing w:after="0" w:line="79" w:lineRule="exact"/>
        <w:rPr>
          <w:sz w:val="20"/>
          <w:szCs w:val="20"/>
          <w:color w:val="auto"/>
        </w:rPr>
      </w:pPr>
    </w:p>
    <w:p>
      <w:pPr>
        <w:ind w:right="140" w:firstLine="1305"/>
        <w:spacing w:after="0" w:line="257" w:lineRule="auto"/>
        <w:tabs>
          <w:tab w:leader="none" w:pos="19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Issuer May Consolidate, Etc., Only on Certain Terms. Nothing contained in this Indenture or in any of the Securities shall prevent any consolidation or merger of the Issuer with or into any other Person or Persons (whether or not affiliated with the Issuer), or successive consolidations or mergers in which either the Issuer will be the continuing entity or the Issuer or its successor or successors shall be a party or parties, or shall prevent any conveyance, transfer or lease of all or substantially all of the property of the Issuer, to any other Person (whether or not affiliated with the Issuer); provided, however, that:</w:t>
      </w:r>
    </w:p>
    <w:p>
      <w:pPr>
        <w:spacing w:after="0" w:line="188" w:lineRule="exact"/>
        <w:rPr>
          <w:rFonts w:ascii="Arial" w:cs="Arial" w:eastAsia="Arial" w:hAnsi="Arial"/>
          <w:sz w:val="18"/>
          <w:szCs w:val="18"/>
          <w:color w:val="auto"/>
        </w:rPr>
      </w:pPr>
    </w:p>
    <w:p>
      <w:pPr>
        <w:ind w:firstLine="1953"/>
        <w:spacing w:after="0" w:line="272" w:lineRule="auto"/>
        <w:tabs>
          <w:tab w:leader="none" w:pos="2574"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in case the Issuer shall consolidate with or merge into another Person or convey, transfer or lease all or substantially all of its properties and assets to any Person, the entity formed by such consolidation or into which the Issuer is merged or the Person which acquires by conveyance or transfer, or which leases, all or substantially all of the properties of the Issuer shall be a Person organized and existing under the laws of the United States, any state thereof or the District of Columbia and shall expressly assume, by an indenture (or indentures, if at such time there is more than one Trustee) supplemental hereto, executed by the successor Person and delivered to the Trustee, in form satisfactory to the Trustee, the due and punctual payment of the principal of, any premium and interest on the Securities and the performance and observance of every covenant and obligation in this Indenture and the Outstanding Securities on the part of the Issuer to be performed or observed;</w:t>
      </w:r>
    </w:p>
    <w:p>
      <w:pPr>
        <w:spacing w:after="0" w:line="177" w:lineRule="exact"/>
        <w:rPr>
          <w:rFonts w:ascii="Arial" w:cs="Arial" w:eastAsia="Arial" w:hAnsi="Arial"/>
          <w:sz w:val="17"/>
          <w:szCs w:val="17"/>
          <w:color w:val="auto"/>
        </w:rPr>
      </w:pPr>
    </w:p>
    <w:p>
      <w:pPr>
        <w:ind w:right="260" w:firstLine="1953"/>
        <w:spacing w:after="0" w:line="277" w:lineRule="auto"/>
        <w:tabs>
          <w:tab w:leader="none" w:pos="258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or event which,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right="80" w:firstLine="1953"/>
        <w:spacing w:after="0" w:line="259" w:lineRule="auto"/>
        <w:tabs>
          <w:tab w:leader="none" w:pos="259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either the Issuer or the successor Person shall have delivered to the Trustee an Officer’s Certificate and an Opinion of Counsel, each stating that such consolidation, merger, conveyance, transfer or lease and, if a supplemental indenture is required in connection with such transaction, such supplemental indenture comply with this Section 6.04 and that all conditions precedent herein provided for relating to such transaction have been complied with.</w:t>
      </w:r>
    </w:p>
    <w:p>
      <w:pPr>
        <w:spacing w:after="0" w:line="186" w:lineRule="exact"/>
        <w:rPr>
          <w:rFonts w:ascii="Arial" w:cs="Arial" w:eastAsia="Arial" w:hAnsi="Arial"/>
          <w:sz w:val="18"/>
          <w:szCs w:val="18"/>
          <w:color w:val="auto"/>
        </w:rPr>
      </w:pPr>
    </w:p>
    <w:p>
      <w:pPr>
        <w:ind w:firstLine="1305"/>
        <w:spacing w:after="0" w:line="297" w:lineRule="auto"/>
        <w:tabs>
          <w:tab w:leader="none" w:pos="192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Successor Person Substituted for Issuer. Upon any consolidation by the Issuer with or merger of the Issuer into any other Person or any conveyance, transfer or lease of all or substantially all of the properties and assets of the Issuer to any Person in accordance with Section 6.04(a),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the predecessor Person shall be released from all obligations and covenants under this Indenture and the Securities.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Issuer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and improvements thereof, all as in the judgment of the Issuer may be necessary so that the business carried on in connection therewith may be properly conducted at all times; provided, however, that nothing in this Section 6.05 shall prevent the Issuer or any Subsidiary from, among other things, selling or otherwise disposing for value any of its properties in the ordinary course of its business.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Issuer will, and will cause each of its Subsidiaries to, keep all of its material properties insured against loss or damage with insurers of recognized responsibility, in commercially reasonable amounts and types.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Existence</w:t>
      </w:r>
      <w:r>
        <w:rPr>
          <w:rFonts w:ascii="Arial" w:cs="Arial" w:eastAsia="Arial" w:hAnsi="Arial"/>
          <w:sz w:val="16"/>
          <w:szCs w:val="16"/>
          <w:color w:val="auto"/>
        </w:rPr>
        <w:t>. Subject to Section 6.04, the Issuer shall do or cause to be done all things necessary to preserve and keep in full force and effect its existence, all material rights (charter and statutory) and material franchises; provided, however, that the foregoing shall not obligate the Issuer to preserve any such right or franchise if the Issuer shall determine that the preservation thereof is no longer desirable in the conduct of its business.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The Issuer will pay or discharge or cause to be paid or discharged, before the same shall become delinquent, (1) all taxes, assessments and governmental charges levied or imposed upon it or any Significant Subsidiary or upon the income, profits or property of the Issuer or any Significant Subsidiary, and (2) all lawful claims for labor, materials and supplies which, if unpaid, might by law become a lien upon the property of the Issuer or any Significant Subsidiary; provided, however, that the Issuer shall not be required to pay or discharge or cause to be paid or discharged any such tax, assessment, charge or claim whose amount, applicability or validity is being contested in good faith by appropriate proceedings.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Except as otherwise provided as contemplated by Section 3.01 with respect to any series of Securities, the Issuer shall furnish to the Trustee annually, within 120 days after the end of each fiscal year, a brief certificate from the principal executive officer, principal financial officer, principal accounting officer or vice president and treasurer of the General Partner as to his or her knowledge of the Issuer’s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Conditional Waiver by Holders of Securities</w:t>
      </w:r>
      <w:r>
        <w:rPr>
          <w:rFonts w:ascii="Arial" w:cs="Arial" w:eastAsia="Arial" w:hAnsi="Arial"/>
          <w:sz w:val="18"/>
          <w:szCs w:val="18"/>
          <w:color w:val="auto"/>
        </w:rPr>
        <w:t>. Anything in this Indenture to the contrary notwithstanding, the Issuer may fail or omit in any particular instance to comply with a covenant or condition set forth herein with respect to any series of Securities if the Issuer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condition, but no such waiver shall extend to or affect such covenant or condition except to the extent so expressly waived, or impair any right consequent thereon and, until such waiver shall have become effective, the obligations of the Issuer and the duties of the Trustee in respect of any such covenant or condition shall remain in full force and effect.</w:t>
      </w:r>
    </w:p>
    <w:p>
      <w:pPr>
        <w:sectPr>
          <w:pgSz w:w="11900" w:h="16918" w:orient="portrait"/>
          <w:cols w:equalWidth="0" w:num="1">
            <w:col w:w="11420"/>
          </w:cols>
          <w:pgMar w:left="240" w:top="341" w:right="239" w:bottom="0" w:gutter="0" w:footer="0" w:header="0"/>
        </w:sectPr>
      </w:pPr>
    </w:p>
    <w:bookmarkStart w:id="46" w:name="page47"/>
    <w:bookmarkEnd w:id="46"/>
    <w:p>
      <w:pPr>
        <w:spacing w:after="0" w:line="10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Issuer shall deliver to the Trustee as soon as possible and in any event within five days after the Issuer becomes aware of the occurrence of any Event of Default or an event which, with the giving of notice or the lapse of time or both, would constitute an Event of Default, an Officer’s Certificate setting forth the details of such Event of Default or Default and the action which the Issuer proposes to take with respect thereto.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REMEDIES OF TRUSTEE AND SECURITYHOLDERS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166" w:lineRule="exact"/>
        <w:rPr>
          <w:sz w:val="20"/>
          <w:szCs w:val="20"/>
          <w:color w:val="auto"/>
        </w:rPr>
      </w:pPr>
    </w:p>
    <w:p>
      <w:pPr>
        <w:ind w:right="620" w:firstLine="1305"/>
        <w:spacing w:after="0" w:line="277" w:lineRule="auto"/>
        <w:tabs>
          <w:tab w:leader="none" w:pos="19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failure of the Issuer to pay any installment of interest on any Security of such series when and as the same shall become payable, which failure shall have continued unremedied for a period of 30 days;</w:t>
      </w:r>
    </w:p>
    <w:p>
      <w:pPr>
        <w:spacing w:after="0" w:line="170" w:lineRule="exact"/>
        <w:rPr>
          <w:rFonts w:ascii="Arial" w:cs="Arial" w:eastAsia="Arial" w:hAnsi="Arial"/>
          <w:sz w:val="18"/>
          <w:szCs w:val="18"/>
          <w:color w:val="auto"/>
        </w:rPr>
      </w:pPr>
    </w:p>
    <w:p>
      <w:pPr>
        <w:ind w:right="280" w:firstLine="1305"/>
        <w:spacing w:after="0" w:line="264" w:lineRule="auto"/>
        <w:tabs>
          <w:tab w:leader="none" w:pos="19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failure of the Issuer to pay the principal of (and premium, if any, on) any Security of such series, when and as the same shall become payable, whether at Maturity as therein expressed, by call for redemption (otherwise than pursuant to a sinking fund), by acceleration under this Indenture or otherwise;</w:t>
      </w:r>
    </w:p>
    <w:p>
      <w:pPr>
        <w:spacing w:after="0" w:line="181" w:lineRule="exact"/>
        <w:rPr>
          <w:rFonts w:ascii="Arial" w:cs="Arial" w:eastAsia="Arial" w:hAnsi="Arial"/>
          <w:sz w:val="18"/>
          <w:szCs w:val="18"/>
          <w:color w:val="auto"/>
        </w:rPr>
      </w:pPr>
    </w:p>
    <w:p>
      <w:pPr>
        <w:ind w:right="420" w:firstLine="1305"/>
        <w:spacing w:after="0" w:line="277" w:lineRule="auto"/>
        <w:tabs>
          <w:tab w:leader="none" w:pos="19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failure of the Issuer to pay a sinking fund installment, if any, when and as the same shall become payable by the terms of a Security of such series, which failure shall have continued unremedied for a period of 30 days;</w:t>
      </w:r>
    </w:p>
    <w:p>
      <w:pPr>
        <w:spacing w:after="0" w:line="170" w:lineRule="exact"/>
        <w:rPr>
          <w:rFonts w:ascii="Arial" w:cs="Arial" w:eastAsia="Arial" w:hAnsi="Arial"/>
          <w:sz w:val="18"/>
          <w:szCs w:val="18"/>
          <w:color w:val="auto"/>
        </w:rPr>
      </w:pPr>
    </w:p>
    <w:p>
      <w:pPr>
        <w:ind w:right="40" w:firstLine="1305"/>
        <w:spacing w:after="0" w:line="272" w:lineRule="auto"/>
        <w:tabs>
          <w:tab w:leader="none" w:pos="192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failure of the Issuer, other than a failure which is the subject of a consent obtained in accordance with Section 6.10,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60 days after written notice shall have been given to the Issuer by the Trustee or shall have been given to the Issuer and the Trustee by Holders of 25% or more in aggregate principal amount of the Securities of such series then Outstanding,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specifying such failure, requiring the Issuer to remedy the same and stating that such notice is a “Notice of Default” hereunder;</w:t>
      </w:r>
    </w:p>
    <w:p>
      <w:pPr>
        <w:spacing w:after="0" w:line="225" w:lineRule="exact"/>
        <w:rPr>
          <w:sz w:val="20"/>
          <w:szCs w:val="20"/>
          <w:color w:val="auto"/>
        </w:rPr>
      </w:pPr>
    </w:p>
    <w:p>
      <w:pPr>
        <w:ind w:right="80" w:firstLine="1305"/>
        <w:spacing w:after="0" w:line="257" w:lineRule="auto"/>
        <w:tabs>
          <w:tab w:leader="none" w:pos="19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decree or order for relief in respect of the Issuer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Isssuer or of substantially all the property of the Issuer or ordering the winding-up or liquidation of its affairs and such decree or order shall remain unstayed and in effect for a period of 90 consecutive days;</w:t>
      </w:r>
    </w:p>
    <w:p>
      <w:pPr>
        <w:spacing w:after="0" w:line="188" w:lineRule="exact"/>
        <w:rPr>
          <w:rFonts w:ascii="Arial" w:cs="Arial" w:eastAsia="Arial" w:hAnsi="Arial"/>
          <w:sz w:val="18"/>
          <w:szCs w:val="18"/>
          <w:color w:val="auto"/>
        </w:rPr>
      </w:pPr>
    </w:p>
    <w:p>
      <w:pPr>
        <w:ind w:right="60" w:firstLine="1305"/>
        <w:spacing w:after="0" w:line="255" w:lineRule="auto"/>
        <w:tabs>
          <w:tab w:leader="none" w:pos="19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commencement by the Issuer of a voluntary case under the federal bankruptcy laws, as now or hereafter constituted, or any other applicable federal or state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trustee, custodian or sequestrator (or similar official) of the Issuer or of substantially all the property of the Issuer or the making by it of an assignment for the benefit of creditors or the admission by it in writing of its inability to pay its debts generally as they become due, or the taking of corporate action by the Issuer in furtherance of any action; or</w:t>
      </w:r>
    </w:p>
    <w:p>
      <w:pPr>
        <w:spacing w:after="0" w:line="193" w:lineRule="exact"/>
        <w:rPr>
          <w:rFonts w:ascii="Arial" w:cs="Arial" w:eastAsia="Arial" w:hAnsi="Arial"/>
          <w:sz w:val="18"/>
          <w:szCs w:val="18"/>
          <w:color w:val="auto"/>
        </w:rPr>
      </w:pPr>
    </w:p>
    <w:p>
      <w:pPr>
        <w:ind w:firstLine="1305"/>
        <w:spacing w:after="0" w:line="259" w:lineRule="auto"/>
        <w:tabs>
          <w:tab w:leader="none" w:pos="19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other Event of Default with respect to Securities of such series as provided in Section 3.01; provided, however, that no event described in clause (d) or (other than with respect to a payment default) (g) above shall constitute an Event of Default hereunder until a written notice of any such event is received by a Responsible Officer of the Trustee at the Corporate Trust Office, and such notice refers to the facts underlying such event, the Securities generally, the Issuer and the Indenture.</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Notwithstanding the foregoing provisions of this Section 7.01, if the principal or any premium or interest on any Security is payable in a Currency other than the Currency of the United States and such Currency is not available to the Issuer for making payment thereof due to the imposition of exchange controls or other circumstances beyond the control of the Issuer, the Issuer will be entitled to satisfy its obligations to Holders of the Securities by making such payment in the Currency of the United States in an amount equal to the Currency of the United States equivalent of the amount payable in such other Currency, as determined by the Issuer’s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Acceleration; Rescission and Annulment</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302" w:lineRule="auto"/>
        <w:tabs>
          <w:tab w:leader="none" w:pos="191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w:t>
      </w:r>
    </w:p>
    <w:p>
      <w:pPr>
        <w:sectPr>
          <w:pgSz w:w="11900" w:h="16945" w:orient="portrait"/>
          <w:cols w:equalWidth="0" w:num="1">
            <w:col w:w="11420"/>
          </w:cols>
          <w:pgMar w:left="240" w:top="341" w:right="239" w:bottom="0" w:gutter="0" w:footer="0" w:header="0"/>
        </w:sectPr>
      </w:pPr>
    </w:p>
    <w:bookmarkStart w:id="47" w:name="page48"/>
    <w:bookmarkEnd w:id="47"/>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Discount Securities, such portion of the principal amount as may be specified in the terms of that series) of and all accrued and unpaid interest on all the Securities of such series then Outstanding to be due and payable immediately by a notice in writing to the Issuer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Issuer in respect of the payment of principal of and interest on the Securities of such series shall terminate.</w:t>
      </w:r>
    </w:p>
    <w:p>
      <w:pPr>
        <w:spacing w:after="0" w:line="182" w:lineRule="exact"/>
        <w:rPr>
          <w:sz w:val="20"/>
          <w:szCs w:val="20"/>
          <w:color w:val="auto"/>
        </w:rPr>
      </w:pPr>
    </w:p>
    <w:p>
      <w:pPr>
        <w:ind w:right="40" w:firstLine="1305"/>
        <w:spacing w:after="0" w:line="257" w:lineRule="auto"/>
        <w:tabs>
          <w:tab w:leader="none" w:pos="19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provisions of Section 7.02(a) are subject to the condition that at any time after the principal of all the Securities of such series, to which any one or more of the above-described Events of Default is applicable, shall have been so declared to be due and payable, and before a judgment or decree for payment of the money due has been obtained by the Trustee as hereinafter provided in this Article, the Event of Default giving rise to such acceleration shall, without further act, be deemed to have been waived, and such acceleration and its consequences shall, without further act, be deemed to have been rescinded and annulled, if:</w:t>
      </w:r>
    </w:p>
    <w:p>
      <w:pPr>
        <w:spacing w:after="0" w:line="188" w:lineRule="exact"/>
        <w:rPr>
          <w:rFonts w:ascii="Arial" w:cs="Arial" w:eastAsia="Arial" w:hAnsi="Arial"/>
          <w:sz w:val="18"/>
          <w:szCs w:val="18"/>
          <w:color w:val="auto"/>
        </w:rPr>
      </w:pPr>
    </w:p>
    <w:p>
      <w:pPr>
        <w:ind w:right="440" w:firstLine="1953"/>
        <w:spacing w:after="0" w:line="277" w:lineRule="auto"/>
        <w:tabs>
          <w:tab w:leader="none" w:pos="257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Issuer has paid or deposited with the Trustee or Paying Agent a sum in the Currency in which such Securities are denominated (subject to Section 7.01 and except as otherwise provided pursuant to Section 3.01) sufficient to pay</w:t>
      </w:r>
    </w:p>
    <w:p>
      <w:pPr>
        <w:spacing w:after="0" w:line="170" w:lineRule="exact"/>
        <w:rPr>
          <w:rFonts w:ascii="Arial" w:cs="Arial" w:eastAsia="Arial" w:hAnsi="Arial"/>
          <w:sz w:val="18"/>
          <w:szCs w:val="18"/>
          <w:color w:val="auto"/>
        </w:rPr>
      </w:pPr>
    </w:p>
    <w:p>
      <w:pPr>
        <w:ind w:left="660" w:right="40" w:firstLine="1941"/>
        <w:spacing w:after="0" w:line="277" w:lineRule="auto"/>
        <w:tabs>
          <w:tab w:leader="none" w:pos="3237"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amounts owing the Trustee and any predecessor trustee hereunder under Section 11.01(a) (provided, however, that all sums payable under this clause (A) shall be paid in U.S. Dollars);</w:t>
      </w:r>
    </w:p>
    <w:p>
      <w:pPr>
        <w:spacing w:after="0" w:line="170" w:lineRule="exact"/>
        <w:rPr>
          <w:rFonts w:ascii="Arial" w:cs="Arial" w:eastAsia="Arial" w:hAnsi="Arial"/>
          <w:sz w:val="18"/>
          <w:szCs w:val="18"/>
          <w:color w:val="auto"/>
        </w:rPr>
      </w:pPr>
    </w:p>
    <w:p>
      <w:pPr>
        <w:ind w:left="660" w:right="20" w:firstLine="1941"/>
        <w:spacing w:after="0" w:line="342" w:lineRule="auto"/>
        <w:tabs>
          <w:tab w:leader="none" w:pos="3227" w:val="left"/>
        </w:tabs>
        <w:numPr>
          <w:ilvl w:val="2"/>
          <w:numId w:val="116"/>
        </w:numPr>
        <w:rPr>
          <w:rFonts w:ascii="Arial" w:cs="Arial" w:eastAsia="Arial" w:hAnsi="Arial"/>
          <w:sz w:val="16"/>
          <w:szCs w:val="16"/>
          <w:color w:val="auto"/>
        </w:rPr>
      </w:pPr>
      <w:r>
        <w:rPr>
          <w:rFonts w:ascii="Arial" w:cs="Arial" w:eastAsia="Arial" w:hAnsi="Arial"/>
          <w:sz w:val="16"/>
          <w:szCs w:val="16"/>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123" w:lineRule="exact"/>
        <w:rPr>
          <w:rFonts w:ascii="Arial" w:cs="Arial" w:eastAsia="Arial" w:hAnsi="Arial"/>
          <w:sz w:val="16"/>
          <w:szCs w:val="16"/>
          <w:color w:val="auto"/>
        </w:rPr>
      </w:pPr>
    </w:p>
    <w:p>
      <w:pPr>
        <w:ind w:left="660" w:right="200" w:firstLine="1941"/>
        <w:spacing w:after="0" w:line="308" w:lineRule="auto"/>
        <w:tabs>
          <w:tab w:leader="none" w:pos="3227" w:val="left"/>
        </w:tabs>
        <w:numPr>
          <w:ilvl w:val="2"/>
          <w:numId w:val="116"/>
        </w:numPr>
        <w:rPr>
          <w:rFonts w:ascii="Arial" w:cs="Arial" w:eastAsia="Arial" w:hAnsi="Arial"/>
          <w:sz w:val="17"/>
          <w:szCs w:val="17"/>
          <w:color w:val="auto"/>
        </w:rPr>
      </w:pPr>
      <w:r>
        <w:rPr>
          <w:rFonts w:ascii="Arial" w:cs="Arial" w:eastAsia="Arial" w:hAnsi="Arial"/>
          <w:sz w:val="17"/>
          <w:szCs w:val="17"/>
          <w:color w:val="auto"/>
        </w:rPr>
        <w:t>the principal of and accrued and unpaid premium, if any, on any Securities of such series that have become due otherwise than by such acceleration with interest thereon to the extent that interest thereon shall be legally enforceable, 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overdue installment of interest at the rate borne by or prescribed in such Securities; and</w:t>
      </w:r>
    </w:p>
    <w:p>
      <w:pPr>
        <w:spacing w:after="0" w:line="225" w:lineRule="exact"/>
        <w:rPr>
          <w:sz w:val="20"/>
          <w:szCs w:val="20"/>
          <w:color w:val="auto"/>
        </w:rPr>
      </w:pPr>
    </w:p>
    <w:p>
      <w:pPr>
        <w:jc w:val="both"/>
        <w:ind w:right="480" w:firstLine="1953"/>
        <w:spacing w:after="0" w:line="264" w:lineRule="auto"/>
        <w:tabs>
          <w:tab w:leader="none" w:pos="258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every other Default and Event of Default with respect to Securities of that series, other than the non-payment of the principal of, or any premium and interest on, Securities of that series which have become due solely by such acceleration, have been cured or waived as provided in Section 7.06.</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rFonts w:ascii="Arial" w:cs="Arial" w:eastAsia="Arial" w:hAnsi="Arial"/>
          <w:sz w:val="18"/>
          <w:szCs w:val="18"/>
          <w:color w:val="auto"/>
        </w:rPr>
      </w:pPr>
    </w:p>
    <w:p>
      <w:pPr>
        <w:ind w:right="20" w:firstLine="1305"/>
        <w:spacing w:after="0" w:line="255" w:lineRule="auto"/>
        <w:tabs>
          <w:tab w:leader="none" w:pos="19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Other Remedies</w:t>
      </w:r>
      <w:r>
        <w:rPr>
          <w:rFonts w:ascii="Arial" w:cs="Arial" w:eastAsia="Arial" w:hAnsi="Arial"/>
          <w:sz w:val="17"/>
          <w:szCs w:val="17"/>
          <w:color w:val="auto"/>
        </w:rPr>
        <w:t>. If the Issuer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Issuer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Issuer or any other obligor upon the Securities of such series, and collect the moneys adjudged or decreed to be payable out of the property of the Issuer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Trustee without the possession of any of the Securities and without the production of any thereof at any trial or any proceeding relative thereto.</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Trustee as Attorney-in-Fact</w:t>
      </w:r>
      <w:r>
        <w:rPr>
          <w:rFonts w:ascii="Arial" w:cs="Arial" w:eastAsia="Arial" w:hAnsi="Arial"/>
          <w:sz w:val="16"/>
          <w:szCs w:val="16"/>
          <w:color w:val="auto"/>
        </w:rPr>
        <w:t>. The Trustee is hereby appointed, and each and every Holder of the Securities, by receiving and holding the same, shall be conclusively deemed to have appointed the Trustee, the true and lawful attorney-in-fact of such Holder, with authority to make or file (whether or not the Issuer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Issuer or any other obligor upon the Securities or to their respective creditors or property, any and all claims, proofs of</w:t>
      </w:r>
    </w:p>
    <w:p>
      <w:pPr>
        <w:sectPr>
          <w:pgSz w:w="11900" w:h="16941" w:orient="portrait"/>
          <w:cols w:equalWidth="0" w:num="1">
            <w:col w:w="11420"/>
          </w:cols>
          <w:pgMar w:left="240" w:top="125" w:right="239" w:bottom="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t>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83"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Priorities</w:t>
      </w:r>
      <w:r>
        <w:rPr>
          <w:rFonts w:ascii="Arial" w:cs="Arial" w:eastAsia="Arial" w:hAnsi="Arial"/>
          <w:sz w:val="18"/>
          <w:szCs w:val="18"/>
          <w:color w:val="auto"/>
        </w:rPr>
        <w:t>. Any moneys or properties collected by the Trustee with respect to a series of Securities under this Article VII shall be applied in the following order,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to the Trustee and any predecessor trustee hereunder under Section 11.01(a).</w:t>
      </w:r>
    </w:p>
    <w:p>
      <w:pPr>
        <w:spacing w:after="0" w:line="225"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Second: Subject to Article XV (to the extent applicable to any series of Securities then outstanding), to the payment of the amounts then due and unpaid for principal of and any premium and interest on the Outstanding Securities of each series in respect of which or for the benefit of which such money has been collected, ratably, without preference or priority of any kind, according to the aggregate amounts due and payable on such Outstanding Securities for principal and any premium and interest,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surplus then remaining shall be paid to the Issuer or as directed by a court of competent jurisdiction.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Control by Securityholders; Waiver of Past Defaults</w:t>
      </w:r>
      <w:r>
        <w:rPr>
          <w:rFonts w:ascii="Arial" w:cs="Arial" w:eastAsia="Arial" w:hAnsi="Arial"/>
          <w:sz w:val="16"/>
          <w:szCs w:val="16"/>
          <w:color w:val="auto"/>
        </w:rPr>
        <w:t>. The Holders of a majority in principal amount of the Securities of any series at the time Outstanding may direct the time, method and place of conducting any proceeding for any remedy available to the Trustee pursuant to this Indenture, or of exercising any trust or power hereby conferred upon the Trustee pursuant to this Indenture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Issuer,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7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Issuer, which is absolute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w:t>
      </w:r>
    </w:p>
    <w:p>
      <w:pPr>
        <w:sectPr>
          <w:pgSz w:w="11900" w:h="16838" w:orient="portrait"/>
          <w:cols w:equalWidth="0" w:num="1">
            <w:col w:w="11420"/>
          </w:cols>
          <w:pgMar w:left="240" w:top="125" w:right="239" w:bottom="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color w:val="auto"/>
        </w:rPr>
        <w:t>for the enforcement of the payment of the principal of or premium, if any, or the interest on, any of the Securities of such series, on or after the respective due dates expressed in such Securities.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Issuer,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Evidence of Action of Securityholders</w:t>
      </w:r>
      <w:r>
        <w:rPr>
          <w:rFonts w:ascii="Arial" w:cs="Arial" w:eastAsia="Arial" w:hAnsi="Arial"/>
          <w:sz w:val="17"/>
          <w:szCs w:val="17"/>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Issuer),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or Holding of Securities</w:t>
      </w:r>
      <w:r>
        <w:rPr>
          <w:rFonts w:ascii="Arial" w:cs="Arial" w:eastAsia="Arial" w:hAnsi="Arial"/>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170" w:lineRule="exact"/>
        <w:rPr>
          <w:sz w:val="20"/>
          <w:szCs w:val="20"/>
          <w:color w:val="auto"/>
        </w:rPr>
      </w:pPr>
    </w:p>
    <w:p>
      <w:pPr>
        <w:ind w:right="120" w:firstLine="1305"/>
        <w:spacing w:after="0" w:line="276" w:lineRule="auto"/>
        <w:tabs>
          <w:tab w:leader="none" w:pos="199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ownership of Securities of any series shall be proved by the Register of such Securities or by a certificate of the Registrar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series.</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record of any Holders’ meeting shall be proved in the manner provided in Section 9.06.</w:t>
      </w:r>
    </w:p>
    <w:p>
      <w:pPr>
        <w:spacing w:after="0" w:line="225" w:lineRule="exact"/>
        <w:rPr>
          <w:rFonts w:ascii="Arial" w:cs="Arial" w:eastAsia="Arial" w:hAnsi="Arial"/>
          <w:sz w:val="18"/>
          <w:szCs w:val="18"/>
          <w:color w:val="auto"/>
        </w:rPr>
      </w:pPr>
    </w:p>
    <w:p>
      <w:pPr>
        <w:ind w:right="580" w:firstLine="1305"/>
        <w:spacing w:after="0" w:line="277" w:lineRule="auto"/>
        <w:tabs>
          <w:tab w:leader="none" w:pos="20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8.02 as it shall deem appropriate or necessary, so long as the request is a reasonable one.</w:t>
      </w:r>
    </w:p>
    <w:p>
      <w:pPr>
        <w:spacing w:after="0" w:line="170" w:lineRule="exact"/>
        <w:rPr>
          <w:rFonts w:ascii="Arial" w:cs="Arial" w:eastAsia="Arial" w:hAnsi="Arial"/>
          <w:sz w:val="18"/>
          <w:szCs w:val="18"/>
          <w:color w:val="auto"/>
        </w:rPr>
      </w:pPr>
    </w:p>
    <w:p>
      <w:pPr>
        <w:ind w:firstLine="1305"/>
        <w:spacing w:after="0" w:line="259" w:lineRule="auto"/>
        <w:tabs>
          <w:tab w:leader="none" w:pos="19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Issuer shall solicit from the Holders of Securities of any series any action, the Issuer may, at its option, evidenced by Board Resolution, fix in advance a record date for the determination of Holders of Securities entitled to take such action, but the Issuer shall have no obligation to do so. Any such record date shall be fixed at the Issuer’s discretion. If such a record date is fixed, such action may be sought or given before or after the record date, but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right="40" w:firstLine="1305"/>
        <w:spacing w:after="0" w:line="276" w:lineRule="auto"/>
        <w:tabs>
          <w:tab w:leader="none" w:pos="199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Issuer, the Trustee and any agent of the Issuer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Issuer, the Trustee nor any agent of the Issuer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72" w:lineRule="exact"/>
        <w:rPr>
          <w:rFonts w:ascii="Arial" w:cs="Arial" w:eastAsia="Arial" w:hAnsi="Arial"/>
          <w:sz w:val="17"/>
          <w:szCs w:val="17"/>
          <w:color w:val="auto"/>
        </w:rPr>
      </w:pPr>
    </w:p>
    <w:p>
      <w:pPr>
        <w:ind w:right="280" w:firstLine="1305"/>
        <w:spacing w:after="0" w:line="264" w:lineRule="auto"/>
        <w:tabs>
          <w:tab w:leader="none" w:pos="20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None of the Issuer,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ectPr>
          <w:pgSz w:w="11900" w:h="16838" w:orient="portrait"/>
          <w:cols w:equalWidth="0" w:num="1">
            <w:col w:w="11400"/>
          </w:cols>
          <w:pgMar w:left="240" w:top="125" w:right="259" w:bottom="0" w:gutter="0" w:footer="0" w:header="0"/>
        </w:sectPr>
      </w:pPr>
    </w:p>
    <w:bookmarkStart w:id="50" w:name="page51"/>
    <w:bookmarkEnd w:id="50"/>
    <w:p>
      <w:pPr>
        <w:ind w:right="260" w:firstLine="648"/>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Effect of Consents</w:t>
      </w:r>
      <w:r>
        <w:rPr>
          <w:rFonts w:ascii="Arial" w:cs="Arial" w:eastAsia="Arial" w:hAnsi="Arial"/>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 A meeting of Securityholders of any or all series may be called at any time and from time to time pursuant to the provisions of this Article IX for any of the following purposes:</w:t>
      </w:r>
    </w:p>
    <w:p>
      <w:pPr>
        <w:spacing w:after="0" w:line="170" w:lineRule="exact"/>
        <w:rPr>
          <w:sz w:val="20"/>
          <w:szCs w:val="20"/>
          <w:color w:val="auto"/>
        </w:rPr>
      </w:pPr>
    </w:p>
    <w:p>
      <w:pPr>
        <w:jc w:val="both"/>
        <w:ind w:right="460" w:firstLine="1305"/>
        <w:spacing w:after="0" w:line="264" w:lineRule="auto"/>
        <w:tabs>
          <w:tab w:leader="none" w:pos="1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give any notice to the Issuer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XI;</w:t>
      </w:r>
    </w:p>
    <w:p>
      <w:pPr>
        <w:spacing w:after="0" w:line="225" w:lineRule="exact"/>
        <w:rPr>
          <w:rFonts w:ascii="Arial" w:cs="Arial" w:eastAsia="Arial" w:hAnsi="Arial"/>
          <w:sz w:val="18"/>
          <w:szCs w:val="18"/>
          <w:color w:val="auto"/>
        </w:rPr>
      </w:pPr>
    </w:p>
    <w:p>
      <w:pPr>
        <w:ind w:left="5620" w:right="260" w:hanging="4315"/>
        <w:spacing w:after="0" w:line="528" w:lineRule="auto"/>
        <w:tabs>
          <w:tab w:leader="none" w:pos="19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consent to the execution of an Indenture or of indentures supplemental hereto pursuant to the provisions of Section 14.02; or 44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180" w:firstLine="1305"/>
        <w:spacing w:after="0" w:line="308" w:lineRule="auto"/>
        <w:tabs>
          <w:tab w:leader="none" w:pos="20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-696595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Call of Meetings by Trustee</w:t>
      </w:r>
      <w:r>
        <w:rPr>
          <w:rFonts w:ascii="Arial" w:cs="Arial" w:eastAsia="Arial" w:hAnsi="Arial"/>
          <w:sz w:val="16"/>
          <w:szCs w:val="16"/>
          <w:color w:val="auto"/>
        </w:rPr>
        <w:t>. The Trustee may (but shall not be required)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Issuer. Such notice shall be mailed not less than 20 nor more than 90 days prior to the date fixed for the meeting.</w:t>
      </w:r>
    </w:p>
    <w:p>
      <w:pPr>
        <w:spacing w:after="0" w:line="15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Call of Meetings by Issuer or Securityholders</w:t>
      </w:r>
      <w:r>
        <w:rPr>
          <w:rFonts w:ascii="Arial" w:cs="Arial" w:eastAsia="Arial" w:hAnsi="Arial"/>
          <w:sz w:val="18"/>
          <w:szCs w:val="18"/>
          <w:color w:val="auto"/>
        </w:rPr>
        <w:t>. In case at any time the Issuer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Issuer or such Securityholders may determine the time and the place for such meeting and may call such meeting to take any action authorized in Section 9.01, by mailing notice thereof as provided in Section 9.02.</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Qualifications for Voting</w:t>
      </w:r>
      <w:r>
        <w:rPr>
          <w:rFonts w:ascii="Arial" w:cs="Arial" w:eastAsia="Arial" w:hAnsi="Arial"/>
          <w:sz w:val="16"/>
          <w:szCs w:val="16"/>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Issuer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Regulation of Meetings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59" w:lineRule="auto"/>
        <w:tabs>
          <w:tab w:leader="none" w:pos="19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86" w:lineRule="exact"/>
        <w:rPr>
          <w:rFonts w:ascii="Arial" w:cs="Arial" w:eastAsia="Arial" w:hAnsi="Arial"/>
          <w:sz w:val="18"/>
          <w:szCs w:val="18"/>
          <w:color w:val="auto"/>
        </w:rPr>
      </w:pPr>
    </w:p>
    <w:p>
      <w:pPr>
        <w:ind w:right="60" w:firstLine="1305"/>
        <w:spacing w:after="0" w:line="264" w:lineRule="auto"/>
        <w:tabs>
          <w:tab w:leader="none" w:pos="20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of the meeting, unless the meeting shall have been called by the Issuer or by Securityholders as provided in Section 9.03, in which case the Issuer or the Securityholders calling the meeting, as the case may be, shall in like manner appoint a temporary chair.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permanent chairman and a permanent secretary of the meeting shall be elected by majority vote of the meeting.</w:t>
      </w:r>
    </w:p>
    <w:p>
      <w:pPr>
        <w:spacing w:after="0" w:line="225" w:lineRule="exact"/>
        <w:rPr>
          <w:sz w:val="20"/>
          <w:szCs w:val="20"/>
          <w:color w:val="auto"/>
        </w:rPr>
      </w:pPr>
    </w:p>
    <w:p>
      <w:pPr>
        <w:ind w:right="100" w:firstLine="1305"/>
        <w:spacing w:after="0" w:line="253" w:lineRule="auto"/>
        <w:tabs>
          <w:tab w:leader="none" w:pos="19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any meeting of Securityholders of a series, each Securityholder of such series of such Securityholder’s proxy shall be entitled to one vote for each $1,000 principal amount of Securities of such series Outstanding held or represented by such Securityholder;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ectPr>
          <w:pgSz w:w="11900" w:h="16838" w:orient="portrait"/>
          <w:cols w:equalWidth="0" w:num="1">
            <w:col w:w="11400"/>
          </w:cols>
          <w:pgMar w:left="240" w:top="125" w:right="259" w:bottom="4" w:gutter="0" w:footer="0" w:header="0"/>
        </w:sectPr>
      </w:pPr>
    </w:p>
    <w:bookmarkStart w:id="51" w:name="page52"/>
    <w:bookmarkEnd w:id="51"/>
    <w:p>
      <w:pPr>
        <w:ind w:right="40" w:firstLine="648"/>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Voting</w:t>
      </w:r>
      <w:r>
        <w:rPr>
          <w:rFonts w:ascii="Arial" w:cs="Arial" w:eastAsia="Arial" w:hAnsi="Arial"/>
          <w:sz w:val="17"/>
          <w:szCs w:val="17"/>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or 9.03. The record shall show the principal amounts of the Securities voting in favor of or against any resolution. The record shall be signed and verified by the affidavits of the permanent chairman and secretary of the meeting and one of the duplicates shall be delivered to the Issuer and the other to the Trustee to be preserved by the Trustee.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u w:val="single" w:color="auto"/>
          <w:color w:val="auto"/>
        </w:rPr>
        <w:t>REPORTS BY THE ISSUER AND THE TRUSTEE AND SECURITYHOLDERS’ LISTS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u w:val="single" w:color="auto"/>
          <w:color w:val="auto"/>
        </w:rPr>
        <w:t>Reports by Trustee</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59"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186" w:lineRule="exact"/>
        <w:rPr>
          <w:rFonts w:ascii="Arial" w:cs="Arial" w:eastAsia="Arial" w:hAnsi="Arial"/>
          <w:sz w:val="18"/>
          <w:szCs w:val="18"/>
          <w:color w:val="auto"/>
        </w:rPr>
      </w:pPr>
    </w:p>
    <w:p>
      <w:pPr>
        <w:ind w:right="20" w:firstLine="1305"/>
        <w:spacing w:after="0" w:line="259"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Issuer agrees to notify the Trustee when, as and if the Securities become listed on any stock exchange or any delisting thereof.</w:t>
      </w:r>
    </w:p>
    <w:p>
      <w:pPr>
        <w:spacing w:after="0" w:line="186" w:lineRule="exact"/>
        <w:rPr>
          <w:rFonts w:ascii="Arial" w:cs="Arial" w:eastAsia="Arial" w:hAnsi="Arial"/>
          <w:sz w:val="18"/>
          <w:szCs w:val="18"/>
          <w:color w:val="auto"/>
        </w:rPr>
      </w:pPr>
    </w:p>
    <w:p>
      <w:pPr>
        <w:ind w:right="220" w:firstLine="1305"/>
        <w:spacing w:after="0" w:line="277"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Issuer will reimburse the Trustee for all expenses incurred in the preparation and transmission of any report pursuant to the provisions of this Section 10.01 and of Section 10.02.</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Reports by the Issuer</w:t>
      </w:r>
      <w:r>
        <w:rPr>
          <w:rFonts w:ascii="Arial" w:cs="Arial" w:eastAsia="Arial" w:hAnsi="Arial"/>
          <w:sz w:val="17"/>
          <w:szCs w:val="17"/>
          <w:color w:val="auto"/>
        </w:rPr>
        <w:t>. The Issuer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71"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Securityholders’ Lists</w:t>
      </w:r>
      <w:r>
        <w:rPr>
          <w:rFonts w:ascii="Arial" w:cs="Arial" w:eastAsia="Arial" w:hAnsi="Arial"/>
          <w:sz w:val="16"/>
          <w:szCs w:val="16"/>
          <w:color w:val="auto"/>
        </w:rPr>
        <w:t>. The Issuer covenants and agrees that it will furnish or cause to be furnished to the Trustee:</w:t>
      </w:r>
    </w:p>
    <w:p>
      <w:pPr>
        <w:spacing w:after="0" w:line="225" w:lineRule="exact"/>
        <w:rPr>
          <w:sz w:val="20"/>
          <w:szCs w:val="20"/>
          <w:color w:val="auto"/>
        </w:rPr>
      </w:pPr>
    </w:p>
    <w:p>
      <w:pPr>
        <w:ind w:right="120" w:firstLine="1305"/>
        <w:spacing w:after="0" w:line="264"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305"/>
        <w:spacing w:after="0" w:line="277" w:lineRule="auto"/>
        <w:tabs>
          <w:tab w:leader="none" w:pos="20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receipt by the Issuer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provided, however, that so long as the Trustee shall be the Registrar, such lists described in (a) and (b) above shall not be required to be furnished.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Rights of Trustees; Compensation and Indemnity</w:t>
      </w:r>
      <w:r>
        <w:rPr>
          <w:rFonts w:ascii="Arial" w:cs="Arial" w:eastAsia="Arial" w:hAnsi="Arial"/>
          <w:sz w:val="17"/>
          <w:szCs w:val="17"/>
          <w:color w:val="auto"/>
        </w:rPr>
        <w:t>. The Trustee accepts the trusts created by this Indenture upon the terms and conditions hereof, including the following, to all of which the parties hereto and the Holders from time to time of the Securities agree:</w:t>
      </w:r>
    </w:p>
    <w:p>
      <w:pPr>
        <w:spacing w:after="0" w:line="147" w:lineRule="exact"/>
        <w:rPr>
          <w:sz w:val="20"/>
          <w:szCs w:val="20"/>
          <w:color w:val="auto"/>
        </w:rPr>
      </w:pPr>
    </w:p>
    <w:p>
      <w:pPr>
        <w:ind w:firstLine="1305"/>
        <w:spacing w:after="0" w:line="312" w:lineRule="auto"/>
        <w:tabs>
          <w:tab w:leader="none" w:pos="199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Trustee shall be entitled to such reasonable compensation as the Issuer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Issuer shall reimburse the Trustee promptly upon its request for all</w:t>
      </w:r>
    </w:p>
    <w:p>
      <w:pPr>
        <w:sectPr>
          <w:pgSz w:w="11900" w:h="16838" w:orient="portrait"/>
          <w:cols w:equalWidth="0" w:num="1">
            <w:col w:w="11400"/>
          </w:cols>
          <w:pgMar w:left="240" w:top="125" w:right="259" w:bottom="0" w:gutter="0" w:footer="0" w:header="0"/>
        </w:sectPr>
      </w:pPr>
    </w:p>
    <w:bookmarkStart w:id="52" w:name="page53"/>
    <w:bookmarkEnd w:id="52"/>
    <w:p>
      <w:pPr>
        <w:ind w:right="80"/>
        <w:spacing w:after="0" w:line="342" w:lineRule="auto"/>
        <w:rPr>
          <w:sz w:val="20"/>
          <w:szCs w:val="20"/>
          <w:color w:val="auto"/>
        </w:rPr>
      </w:pPr>
      <w:r>
        <w:rPr>
          <w:rFonts w:ascii="Arial" w:cs="Arial" w:eastAsia="Arial" w:hAnsi="Arial"/>
          <w:sz w:val="16"/>
          <w:szCs w:val="16"/>
          <w:color w:val="auto"/>
        </w:rPr>
        <w:t>reasonable out-of-pocket expenses, disbursements and advances incurred or made by the Trustee (including the reasonable expenses and disbursements of its agents and counsel), except any such expense, disbursement or advance as may be attributable to its own negligence, bad faith or willful misconduct.</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Issuer also agrees to indemnify each of the Trustee and any predecessor Trustee hereunder for, and to hold it harmless against, any and all loss, liability, damage, claim, or expense incurred without its own negligence, willful misconduct or bad faith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attributable to its negligence, willful misconduct or bad faith. The Trustee shall notify the Issuer promptly of any claim for which it may seek indemnity; provided that the failure by the Trustee to so notify the Issuer shall not relieve the Issuer of its obligations hereunder to the extent it is not materially prejudiced as a result thereof. The Trustee may have one separate counsel of its selection and the Issuer shall pay the reasonable fees and expenses of such counsel. The Issuer need not pay for any settlement made without its consent, which consent shall not be unreasonably withheld.</w:t>
      </w:r>
    </w:p>
    <w:p>
      <w:pPr>
        <w:spacing w:after="0" w:line="16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security for the performance of the obligations of the Issuer under this Section 11.01(a), the Trustee shall have a lien upon all property and funds held or collected by the Trustee as such, except funds held in trust by the Trustee to pay principal of, premium, if any, and interest on any Securities.</w:t>
      </w:r>
    </w:p>
    <w:p>
      <w:pPr>
        <w:spacing w:after="0" w:line="12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Notwithstanding any provisions of this Indenture to the contrary, the obligations of the Issuer to compensate and indemnify the Trustee under this Section 11.01(a) shall survive the resignation or removal of the Trustee, the termination of this Indenture and any satisfaction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181" w:lineRule="exact"/>
        <w:rPr>
          <w:sz w:val="20"/>
          <w:szCs w:val="20"/>
          <w:color w:val="auto"/>
        </w:rPr>
      </w:pPr>
    </w:p>
    <w:p>
      <w:pPr>
        <w:ind w:right="260" w:firstLine="1305"/>
        <w:spacing w:after="0" w:line="342" w:lineRule="auto"/>
        <w:tabs>
          <w:tab w:leader="none" w:pos="20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23" w:lineRule="exact"/>
        <w:rPr>
          <w:rFonts w:ascii="Arial" w:cs="Arial" w:eastAsia="Arial" w:hAnsi="Arial"/>
          <w:sz w:val="16"/>
          <w:szCs w:val="16"/>
          <w:color w:val="auto"/>
        </w:rPr>
      </w:pPr>
    </w:p>
    <w:p>
      <w:pPr>
        <w:ind w:firstLine="1305"/>
        <w:spacing w:after="0" w:line="291" w:lineRule="auto"/>
        <w:tabs>
          <w:tab w:leader="none" w:pos="199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Trustee shall not be responsible in any manner whatsoever for the correctness of the recitals herein or in the Securities (except its certificates of authentication thereon) contained, all of which are made solely by the Issuer;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Issuer are true and accurate, subject to the qualifications set forth therein. The Trustee shall not be accountable for the use or application by the Issuer of any Securities, or the proceeds of any Securities, authenticated and delivered by the Trustee in conformity with the provisions of this Indenture.</w:t>
      </w:r>
    </w:p>
    <w:p>
      <w:pPr>
        <w:spacing w:after="0" w:line="167" w:lineRule="exact"/>
        <w:rPr>
          <w:rFonts w:ascii="Arial" w:cs="Arial" w:eastAsia="Arial" w:hAnsi="Arial"/>
          <w:sz w:val="16"/>
          <w:szCs w:val="16"/>
          <w:color w:val="auto"/>
        </w:rPr>
      </w:pPr>
    </w:p>
    <w:p>
      <w:pPr>
        <w:ind w:right="40" w:firstLine="1305"/>
        <w:spacing w:after="0" w:line="264" w:lineRule="auto"/>
        <w:tabs>
          <w:tab w:leader="none" w:pos="20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to the extent permitted by Section 11.02, any Opinion of Counsel shall be full and complete authorization and protection in respect of any action taken or suffered by the Trustee hereunder in good faith and in accordance with such Opinion of Counsel.</w:t>
      </w:r>
    </w:p>
    <w:p>
      <w:pPr>
        <w:spacing w:after="0" w:line="181" w:lineRule="exact"/>
        <w:rPr>
          <w:rFonts w:ascii="Arial" w:cs="Arial" w:eastAsia="Arial" w:hAnsi="Arial"/>
          <w:sz w:val="18"/>
          <w:szCs w:val="18"/>
          <w:color w:val="auto"/>
        </w:rPr>
      </w:pPr>
    </w:p>
    <w:p>
      <w:pPr>
        <w:ind w:right="20" w:firstLine="1305"/>
        <w:spacing w:after="0" w:line="276" w:lineRule="auto"/>
        <w:tabs>
          <w:tab w:leader="none" w:pos="199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to the extent permitted by Section 11.02, may rely upon the certificate of an Officer of the General Partner as to the adoption of any Board Resolution of the Board of Directors of the General Partner or resolution by the General Partner on behalf of the Issuer, and any request, direction, order or demand of the Issuer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General Partner (unless other evidence in respect thereof be herein specifically prescribed).</w:t>
      </w:r>
    </w:p>
    <w:p>
      <w:pPr>
        <w:spacing w:after="0" w:line="172" w:lineRule="exact"/>
        <w:rPr>
          <w:rFonts w:ascii="Arial" w:cs="Arial" w:eastAsia="Arial" w:hAnsi="Arial"/>
          <w:sz w:val="17"/>
          <w:szCs w:val="17"/>
          <w:color w:val="auto"/>
        </w:rPr>
      </w:pPr>
    </w:p>
    <w:p>
      <w:pPr>
        <w:ind w:right="40" w:firstLine="1305"/>
        <w:spacing w:after="0" w:line="264" w:lineRule="auto"/>
        <w:tabs>
          <w:tab w:leader="none" w:pos="20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Section 11.04, the Trustee or any agent of the Trustee, in its individual or any other capacity, may become the owner or pledgee of Securities and, subject to Sections 310(b) and 311 of the Trust Indenture Act, may otherwise deal with the Issuer with the same rights it would have had if it were not the Trustee or such agent.</w:t>
      </w:r>
    </w:p>
    <w:p>
      <w:pPr>
        <w:spacing w:after="0" w:line="181" w:lineRule="exact"/>
        <w:rPr>
          <w:rFonts w:ascii="Arial" w:cs="Arial" w:eastAsia="Arial" w:hAnsi="Arial"/>
          <w:sz w:val="18"/>
          <w:szCs w:val="18"/>
          <w:color w:val="auto"/>
        </w:rPr>
      </w:pPr>
    </w:p>
    <w:p>
      <w:pPr>
        <w:ind w:right="220" w:firstLine="1305"/>
        <w:spacing w:after="0" w:line="308" w:lineRule="auto"/>
        <w:tabs>
          <w:tab w:leader="none" w:pos="200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Issuer.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9" w:lineRule="auto"/>
        <w:tabs>
          <w:tab w:leader="none" w:pos="19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86" w:lineRule="exact"/>
        <w:rPr>
          <w:rFonts w:ascii="Arial" w:cs="Arial" w:eastAsia="Arial" w:hAnsi="Arial"/>
          <w:sz w:val="18"/>
          <w:szCs w:val="18"/>
          <w:color w:val="auto"/>
        </w:rPr>
      </w:pPr>
    </w:p>
    <w:p>
      <w:pPr>
        <w:ind w:right="300" w:firstLine="1305"/>
        <w:spacing w:after="0" w:line="286" w:lineRule="auto"/>
        <w:tabs>
          <w:tab w:leader="none" w:pos="192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the provisions of Section 11.02,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165" w:lineRule="exact"/>
        <w:rPr>
          <w:rFonts w:ascii="Arial" w:cs="Arial" w:eastAsia="Arial" w:hAnsi="Arial"/>
          <w:sz w:val="17"/>
          <w:szCs w:val="17"/>
          <w:color w:val="auto"/>
        </w:rPr>
      </w:pPr>
    </w:p>
    <w:p>
      <w:pPr>
        <w:ind w:firstLine="1305"/>
        <w:spacing w:after="0" w:line="259" w:lineRule="auto"/>
        <w:tabs>
          <w:tab w:leader="none" w:pos="192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186" w:lineRule="exact"/>
        <w:rPr>
          <w:rFonts w:ascii="Arial" w:cs="Arial" w:eastAsia="Arial" w:hAnsi="Arial"/>
          <w:sz w:val="18"/>
          <w:szCs w:val="18"/>
          <w:color w:val="auto"/>
        </w:rPr>
      </w:pPr>
    </w:p>
    <w:p>
      <w:pPr>
        <w:ind w:right="340" w:firstLine="1305"/>
        <w:spacing w:after="0" w:line="277" w:lineRule="auto"/>
        <w:tabs>
          <w:tab w:leader="none" w:pos="19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ectPr>
          <w:pgSz w:w="11900" w:h="16838" w:orient="portrait"/>
          <w:cols w:equalWidth="0" w:num="1">
            <w:col w:w="11400"/>
          </w:cols>
          <w:pgMar w:left="240" w:top="125" w:right="259" w:bottom="0" w:gutter="0" w:footer="0" w:header="0"/>
        </w:sectPr>
      </w:pPr>
    </w:p>
    <w:bookmarkStart w:id="53" w:name="page54"/>
    <w:bookmarkEnd w:id="53"/>
    <w:p>
      <w:pPr>
        <w:ind w:right="60" w:firstLine="1305"/>
        <w:spacing w:after="0" w:line="264" w:lineRule="auto"/>
        <w:tabs>
          <w:tab w:leader="none" w:pos="192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provisions of Section 11.02, the Trustee shall not be deemed to have knowledge or notice of any Default or Event of Default unless a Responsible Officer of the Trustee has written notice thereof or unless the Holders of not less than 25% of the Outstanding Securities notify the Trustee thereof.</w:t>
      </w:r>
    </w:p>
    <w:p>
      <w:pPr>
        <w:spacing w:after="0" w:line="181" w:lineRule="exact"/>
        <w:rPr>
          <w:rFonts w:ascii="Arial" w:cs="Arial" w:eastAsia="Arial" w:hAnsi="Arial"/>
          <w:sz w:val="18"/>
          <w:szCs w:val="18"/>
          <w:color w:val="auto"/>
        </w:rPr>
      </w:pPr>
    </w:p>
    <w:p>
      <w:pPr>
        <w:ind w:right="120" w:firstLine="1305"/>
        <w:spacing w:after="0" w:line="259" w:lineRule="auto"/>
        <w:tabs>
          <w:tab w:leader="none" w:pos="193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186" w:lineRule="exact"/>
        <w:rPr>
          <w:rFonts w:ascii="Arial" w:cs="Arial" w:eastAsia="Arial" w:hAnsi="Arial"/>
          <w:sz w:val="18"/>
          <w:szCs w:val="18"/>
          <w:color w:val="auto"/>
        </w:rPr>
      </w:pPr>
    </w:p>
    <w:p>
      <w:pPr>
        <w:ind w:right="540" w:firstLine="1305"/>
        <w:spacing w:after="0" w:line="277" w:lineRule="auto"/>
        <w:tabs>
          <w:tab w:leader="none" w:pos="19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70" w:lineRule="exact"/>
        <w:rPr>
          <w:rFonts w:ascii="Arial" w:cs="Arial" w:eastAsia="Arial" w:hAnsi="Arial"/>
          <w:sz w:val="18"/>
          <w:szCs w:val="18"/>
          <w:color w:val="auto"/>
        </w:rPr>
      </w:pPr>
    </w:p>
    <w:p>
      <w:pPr>
        <w:ind w:right="220" w:firstLine="1305"/>
        <w:spacing w:after="0" w:line="342" w:lineRule="auto"/>
        <w:tabs>
          <w:tab w:leader="none" w:pos="192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no event shall the Trustee be liable for any indirect, special, punitive or consequential loss or damage of any kind whatsoever, including, but not limited to, lost profits, even if it has been advised of the likelihood of such loss or damage and regardless of the form of action.</w:t>
      </w:r>
    </w:p>
    <w:p>
      <w:pPr>
        <w:spacing w:after="0" w:line="123" w:lineRule="exact"/>
        <w:rPr>
          <w:rFonts w:ascii="Arial" w:cs="Arial" w:eastAsia="Arial" w:hAnsi="Arial"/>
          <w:sz w:val="16"/>
          <w:szCs w:val="16"/>
          <w:color w:val="auto"/>
        </w:rPr>
      </w:pPr>
    </w:p>
    <w:p>
      <w:pPr>
        <w:ind w:right="820" w:firstLine="1305"/>
        <w:spacing w:after="0" w:line="342" w:lineRule="auto"/>
        <w:tabs>
          <w:tab w:leader="none" w:pos="192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no event shall the Trustee be liable for any failure or delay in the performance of its obligations hereunder because of circumstances beyond its control, including, but not limited to, acts of God, flood, war (whether declared or undeclared), terrorism, strikes,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work stoppages, civil or military disturbances, nuclear or natural catastrophes, fire, riot, embargo, loss or malfunctions of utilities, communications or computer (software and hardware) services, government action, including any laws, ordinances, regulations, governmental action or the like which delay, restrict or prohibit the providing of the services contemplated by this Indenture.</w:t>
      </w:r>
    </w:p>
    <w:p>
      <w:pPr>
        <w:spacing w:after="0" w:line="18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305"/>
        <w:spacing w:after="0" w:line="259" w:lineRule="auto"/>
        <w:tabs>
          <w:tab w:leader="none" w:pos="191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86" w:lineRule="exact"/>
        <w:rPr>
          <w:rFonts w:ascii="Arial" w:cs="Arial" w:eastAsia="Arial" w:hAnsi="Arial"/>
          <w:sz w:val="18"/>
          <w:szCs w:val="18"/>
          <w:color w:val="auto"/>
        </w:rPr>
      </w:pPr>
    </w:p>
    <w:p>
      <w:pPr>
        <w:ind w:right="440" w:firstLine="1305"/>
        <w:spacing w:after="0" w:line="308" w:lineRule="auto"/>
        <w:tabs>
          <w:tab w:leader="none" w:pos="192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146" w:lineRule="exact"/>
        <w:rPr>
          <w:rFonts w:ascii="Arial" w:cs="Arial" w:eastAsia="Arial" w:hAnsi="Arial"/>
          <w:sz w:val="17"/>
          <w:szCs w:val="17"/>
          <w:color w:val="auto"/>
        </w:rPr>
      </w:pPr>
    </w:p>
    <w:p>
      <w:pPr>
        <w:ind w:right="560" w:firstLine="1953"/>
        <w:spacing w:after="0" w:line="277" w:lineRule="auto"/>
        <w:tabs>
          <w:tab w:leader="none" w:pos="257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unless and until an Event of Default specified in Section 7.01 with respect to the Securities of any series shall have happened which at the time is continuing,</w:t>
      </w:r>
    </w:p>
    <w:p>
      <w:pPr>
        <w:spacing w:after="0" w:line="170" w:lineRule="exact"/>
        <w:rPr>
          <w:rFonts w:ascii="Arial" w:cs="Arial" w:eastAsia="Arial" w:hAnsi="Arial"/>
          <w:sz w:val="18"/>
          <w:szCs w:val="18"/>
          <w:color w:val="auto"/>
        </w:rPr>
      </w:pPr>
    </w:p>
    <w:p>
      <w:pPr>
        <w:ind w:left="660" w:right="80" w:firstLine="1941"/>
        <w:spacing w:after="0" w:line="264" w:lineRule="auto"/>
        <w:tabs>
          <w:tab w:leader="none" w:pos="323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181" w:lineRule="exact"/>
        <w:rPr>
          <w:rFonts w:ascii="Arial" w:cs="Arial" w:eastAsia="Arial" w:hAnsi="Arial"/>
          <w:sz w:val="18"/>
          <w:szCs w:val="18"/>
          <w:color w:val="auto"/>
        </w:rPr>
      </w:pPr>
    </w:p>
    <w:p>
      <w:pPr>
        <w:ind w:left="660" w:right="100" w:firstLine="1941"/>
        <w:spacing w:after="0" w:line="297" w:lineRule="auto"/>
        <w:tabs>
          <w:tab w:leader="none" w:pos="3227" w:val="left"/>
        </w:tabs>
        <w:numPr>
          <w:ilvl w:val="2"/>
          <w:numId w:val="131"/>
        </w:numPr>
        <w:rPr>
          <w:rFonts w:ascii="Arial" w:cs="Arial" w:eastAsia="Arial" w:hAnsi="Arial"/>
          <w:sz w:val="16"/>
          <w:szCs w:val="16"/>
          <w:color w:val="auto"/>
        </w:rPr>
      </w:pPr>
      <w:r>
        <w:rPr>
          <w:rFonts w:ascii="Arial" w:cs="Arial" w:eastAsia="Arial" w:hAnsi="Arial"/>
          <w:sz w:val="16"/>
          <w:szCs w:val="16"/>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58" w:lineRule="exact"/>
        <w:rPr>
          <w:rFonts w:ascii="Arial" w:cs="Arial" w:eastAsia="Arial" w:hAnsi="Arial"/>
          <w:sz w:val="16"/>
          <w:szCs w:val="16"/>
          <w:color w:val="auto"/>
        </w:rPr>
      </w:pPr>
    </w:p>
    <w:p>
      <w:pPr>
        <w:ind w:right="180" w:firstLine="1953"/>
        <w:spacing w:after="0" w:line="342" w:lineRule="auto"/>
        <w:tabs>
          <w:tab w:leader="none" w:pos="258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23" w:lineRule="exact"/>
        <w:rPr>
          <w:rFonts w:ascii="Arial" w:cs="Arial" w:eastAsia="Arial" w:hAnsi="Arial"/>
          <w:sz w:val="16"/>
          <w:szCs w:val="16"/>
          <w:color w:val="auto"/>
        </w:rPr>
      </w:pPr>
    </w:p>
    <w:p>
      <w:pPr>
        <w:ind w:right="60" w:firstLine="1953"/>
        <w:spacing w:after="0" w:line="286" w:lineRule="auto"/>
        <w:tabs>
          <w:tab w:leader="none" w:pos="2597"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305"/>
        <w:spacing w:after="0" w:line="286" w:lineRule="auto"/>
        <w:tabs>
          <w:tab w:leader="none" w:pos="191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5" w:lineRule="exact"/>
        <w:rPr>
          <w:rFonts w:ascii="Arial" w:cs="Arial" w:eastAsia="Arial" w:hAnsi="Arial"/>
          <w:sz w:val="17"/>
          <w:szCs w:val="17"/>
          <w:color w:val="auto"/>
        </w:rPr>
      </w:pPr>
    </w:p>
    <w:p>
      <w:pPr>
        <w:ind w:right="160" w:firstLine="1305"/>
        <w:spacing w:after="0" w:line="277" w:lineRule="auto"/>
        <w:tabs>
          <w:tab w:leader="none" w:pos="19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Issuer,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ectPr>
          <w:pgSz w:w="11900" w:h="16838" w:orient="portrait"/>
          <w:cols w:equalWidth="0" w:num="1">
            <w:col w:w="11400"/>
          </w:cols>
          <w:pgMar w:left="240" w:top="125" w:right="259" w:bottom="0" w:gutter="0" w:footer="0" w:header="0"/>
        </w:sectPr>
      </w:pPr>
    </w:p>
    <w:bookmarkStart w:id="54" w:name="page55"/>
    <w:bookmarkEnd w:id="54"/>
    <w:p>
      <w:pPr>
        <w:ind w:left="660"/>
        <w:spacing w:after="0"/>
        <w:tabs>
          <w:tab w:leader="none" w:pos="18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59" w:lineRule="auto"/>
        <w:tabs>
          <w:tab w:leader="none" w:pos="19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shall at all times satisfy the requirements of TIA Section 310(a). The Trustee shall have a combined capital and surplus of at least $100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86" w:lineRule="exact"/>
        <w:rPr>
          <w:rFonts w:ascii="Arial" w:cs="Arial" w:eastAsia="Arial" w:hAnsi="Arial"/>
          <w:sz w:val="18"/>
          <w:szCs w:val="18"/>
          <w:color w:val="auto"/>
        </w:rPr>
      </w:pPr>
    </w:p>
    <w:p>
      <w:pPr>
        <w:ind w:right="40" w:firstLine="1305"/>
        <w:spacing w:after="0" w:line="291" w:lineRule="auto"/>
        <w:tabs>
          <w:tab w:leader="none" w:pos="19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Trustee shall comply with TIA Section 310(b); provided, however, that there shall be excluded from the operation of TIA Section 310(b)(i) any indenture or indentures under which other securities or certificates of interest or participation in other securities of the Issuer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Resignation and Notice; Removal</w:t>
      </w:r>
      <w:r>
        <w:rPr>
          <w:rFonts w:ascii="Arial" w:cs="Arial" w:eastAsia="Arial" w:hAnsi="Arial"/>
          <w:sz w:val="18"/>
          <w:szCs w:val="18"/>
          <w:color w:val="auto"/>
        </w:rPr>
        <w:t>. The Trustee, or any successor to it hereafter appointed, may upon thirty days written notice resign and be discharged of the trusts hereby created with respect to any one or more or all series of Securities by giving to the Issuer notice in writing. Such resignation shall take effect upon the appointment of a successor Trustee and the acceptance of such appointment by such successor Trustee. Any Trustee hereunder may be removed with respect to any series of Securities upon at least thirty days written notice by the filing with such Trustee and the delivery to the Issuer of an instrument or instruments in writing signed by the Holders of a majority in principal amount of the Securities of such series then Outstanding, specifying such removal and the date when it shall become effective.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right="120" w:firstLine="656"/>
        <w:spacing w:after="0" w:line="264" w:lineRule="auto"/>
        <w:tabs>
          <w:tab w:leader="none" w:pos="127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Issuer or by any Holder who has been a bona fide Holder of a Security for at least six months (or, if it is a shorter period, the period since the initial issuance of the Securities of such series), or</w:t>
      </w:r>
    </w:p>
    <w:p>
      <w:pPr>
        <w:spacing w:after="0" w:line="181" w:lineRule="exact"/>
        <w:rPr>
          <w:rFonts w:ascii="Arial" w:cs="Arial" w:eastAsia="Arial" w:hAnsi="Arial"/>
          <w:sz w:val="18"/>
          <w:szCs w:val="18"/>
          <w:color w:val="auto"/>
        </w:rPr>
      </w:pPr>
    </w:p>
    <w:p>
      <w:pPr>
        <w:jc w:val="both"/>
        <w:ind w:right="60" w:firstLine="656"/>
        <w:spacing w:after="0" w:line="264" w:lineRule="auto"/>
        <w:tabs>
          <w:tab w:leader="none" w:pos="127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11.04 and shall fail to resign after written request therefor by the Issuer or by any Holder who has been a bona fide Holder of a Security for at least six months (or, if it is a shorter period, the period since the initial issuance of the Securities of such series), or</w:t>
      </w:r>
    </w:p>
    <w:p>
      <w:pPr>
        <w:spacing w:after="0" w:line="181" w:lineRule="exact"/>
        <w:rPr>
          <w:rFonts w:ascii="Arial" w:cs="Arial" w:eastAsia="Arial" w:hAnsi="Arial"/>
          <w:sz w:val="18"/>
          <w:szCs w:val="18"/>
          <w:color w:val="auto"/>
        </w:rPr>
      </w:pPr>
    </w:p>
    <w:p>
      <w:pPr>
        <w:ind w:right="100" w:firstLine="656"/>
        <w:spacing w:after="0" w:line="264" w:lineRule="auto"/>
        <w:tabs>
          <w:tab w:leader="none" w:pos="127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then, in any such case, (i) the Issuer by written notice to the Trustee may remove the Trustee and appoint a successor Trustee with respect to all Securities, or</w:t>
      </w:r>
    </w:p>
    <w:p>
      <w:pPr>
        <w:spacing w:after="0" w:line="46" w:lineRule="exact"/>
        <w:rPr>
          <w:sz w:val="20"/>
          <w:szCs w:val="20"/>
          <w:color w:val="auto"/>
        </w:rPr>
      </w:pPr>
    </w:p>
    <w:p>
      <w:pPr>
        <w:jc w:val="both"/>
        <w:ind w:right="300" w:firstLine="8"/>
        <w:spacing w:after="0" w:line="277" w:lineRule="auto"/>
        <w:tabs>
          <w:tab w:leader="none" w:pos="26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8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Successor Trustee by Appointment.</w:t>
      </w:r>
    </w:p>
    <w:p>
      <w:pPr>
        <w:spacing w:after="0" w:line="225" w:lineRule="exact"/>
        <w:rPr>
          <w:sz w:val="20"/>
          <w:szCs w:val="20"/>
          <w:color w:val="auto"/>
        </w:rPr>
      </w:pPr>
    </w:p>
    <w:p>
      <w:pPr>
        <w:ind w:right="120" w:firstLine="1305"/>
        <w:spacing w:after="0" w:line="259" w:lineRule="auto"/>
        <w:tabs>
          <w:tab w:leader="none" w:pos="191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case at any time the Trustee shall resign, or shall be removed (unless the Trustee shall be removed as provided in Section 11.04(b), in which event the vacancy shall be filled as provided in said subdivision), or shall become incapable of acting, or shall be adjudged bankrupt or insolvent, or if a receiver of the Trustee or of its property shall be appointed, or if any public officer shall take charge or control of the Trustee or of its property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principal amount of the Securities of that or those series then Outstanding, by an instrument or instruments in writing signed in duplicate by such Holders and filed, one original thereof with the Issuer and the other with the successor Trustee; but, until a successor Trustee shall have been so appointed by the Holders of Securities of that or those series as herein authorized, the Issuer, or, in case all or substantially all the assets of the Issuer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of the Issuer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Issuer, or by such receivers, trustees or assignees.</w:t>
      </w:r>
    </w:p>
    <w:p>
      <w:pPr>
        <w:sectPr>
          <w:pgSz w:w="11900" w:h="16838" w:orient="portrait"/>
          <w:cols w:equalWidth="0" w:num="1">
            <w:col w:w="11420"/>
          </w:cols>
          <w:pgMar w:left="240" w:top="125" w:right="239" w:bottom="0" w:gutter="0" w:footer="0" w:header="0"/>
        </w:sectPr>
      </w:pPr>
    </w:p>
    <w:bookmarkStart w:id="55" w:name="page56"/>
    <w:bookmarkEnd w:id="55"/>
    <w:p>
      <w:pPr>
        <w:spacing w:after="0" w:line="106" w:lineRule="exact"/>
        <w:rPr>
          <w:sz w:val="20"/>
          <w:szCs w:val="20"/>
          <w:color w:val="auto"/>
        </w:rPr>
      </w:pPr>
    </w:p>
    <w:p>
      <w:pPr>
        <w:ind w:right="20" w:firstLine="1305"/>
        <w:spacing w:after="0" w:line="272" w:lineRule="auto"/>
        <w:tabs>
          <w:tab w:leader="none" w:pos="192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any Trustee with respect to the Securities of one or more series shall resign or be removed and a successor Trustee shall not have been appointed within 30 days by the Issuer or by the Holders of the Securities of such series or, if any successor Trustee so appointed shall not have accepted its appointment within 30 days after such appointment shall have been made, the resigning Trustee at the expense of the Issuer may apply to any court of competent jurisdiction for the appointment of a successor Trustee. If in any other case a successor Trustee shall not be appointed pursuant to the foregoing provisions of this Section 11.06 within 60 days, the Holder of any Security of the applicable series or any retiring Trustee at the expense of the Issuer may apply to any court of competent jurisdiction to appoint a successor Trustee. Such court may thereupon, in any such case, after such notice, if any, as such court may deem proper and prescribe, appoint a successor Trustee.</w:t>
      </w:r>
    </w:p>
    <w:p>
      <w:pPr>
        <w:spacing w:after="0" w:line="177" w:lineRule="exact"/>
        <w:rPr>
          <w:rFonts w:ascii="Arial" w:cs="Arial" w:eastAsia="Arial" w:hAnsi="Arial"/>
          <w:sz w:val="17"/>
          <w:szCs w:val="17"/>
          <w:color w:val="auto"/>
        </w:rPr>
      </w:pPr>
    </w:p>
    <w:p>
      <w:pPr>
        <w:ind w:right="140" w:firstLine="1305"/>
        <w:spacing w:after="0" w:line="273" w:lineRule="auto"/>
        <w:tabs>
          <w:tab w:leader="none" w:pos="191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successor Trustee appointed hereunder with respect to the Securities of one or more series shall execute, acknowledge and deliver to its predecessor Trustee and to the Issuer,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properties held by such predecessor Trustee as Trustee hereunder, subject nevertheless to its lien provided for in Section 11.01(a). Nevertheless, on the written request of the Issuer or of the successor Trustee or of the Holders of at least 10% in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or the Issuer shall make, execute, acknowledge and deliver any and all instruments in writing for more fully and effectually vesting in and confirming to such successor Trustee all such authority, rights, powers, trusts, immunities, duties and obligations.</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Successor Trustee by Merger</w:t>
      </w:r>
      <w:r>
        <w:rPr>
          <w:rFonts w:ascii="Arial" w:cs="Arial" w:eastAsia="Arial" w:hAnsi="Arial"/>
          <w:sz w:val="16"/>
          <w:szCs w:val="16"/>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Right to Rely on Officer’s Certificate</w:t>
      </w:r>
      <w:r>
        <w:rPr>
          <w:rFonts w:ascii="Arial" w:cs="Arial" w:eastAsia="Arial" w:hAnsi="Arial"/>
          <w:sz w:val="18"/>
          <w:szCs w:val="18"/>
          <w:color w:val="auto"/>
        </w:rPr>
        <w:t>. 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 The Trustee may appoint an agent (the “Authenticating Agent”) reasonably acceptable to the Issuer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8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5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Issuer and shall give written notice of such</w:t>
      </w:r>
    </w:p>
    <w:p>
      <w:pPr>
        <w:sectPr>
          <w:pgSz w:w="11900" w:h="16945" w:orient="portrait"/>
          <w:cols w:equalWidth="0" w:num="1">
            <w:col w:w="11420"/>
          </w:cols>
          <w:pgMar w:left="240" w:top="125" w:right="239" w:bottom="0" w:gutter="0" w:footer="0" w:header="0"/>
        </w:sectPr>
      </w:pPr>
    </w:p>
    <w:bookmarkStart w:id="56" w:name="page57"/>
    <w:bookmarkEnd w:id="56"/>
    <w:p>
      <w:pPr>
        <w:spacing w:after="0" w:line="3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11.09, and the Trustee shall be entitled to be reimbursed for such payments, subject to the provisions of Section 11.01.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u w:val="single" w:color="auto"/>
          <w:color w:val="auto"/>
        </w:rPr>
        <w:t>Communications by Securityholders with Other Securityholders</w:t>
      </w:r>
      <w:r>
        <w:rPr>
          <w:rFonts w:ascii="Arial" w:cs="Arial" w:eastAsia="Arial" w:hAnsi="Arial"/>
          <w:sz w:val="16"/>
          <w:szCs w:val="16"/>
          <w:color w:val="auto"/>
        </w:rPr>
        <w:t>. Holders of Securities may communicate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312(b) of the Trust Indenture Act with other Holders with respect to their rights under this Indenture or the Securities. The Issuer, the Trustee,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Registrar and anyone else shall have the protection of Section 312(c) of the Trust Indenture Act with respect to such communications.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SATISFACTION AND DISCHARGE; DEFEASANCE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the Securities of all series issued pursuant to this Indenture, except as otherwise specified pursuant to Section 3.01.</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with respect to the Securities of any series (if all series issued under this Indenture are not to be affected), shall, upon Issuer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12.02), and the Trustee, at the expense of the Issuer, shall execute proper instruments acknowledging satisfaction and discharge of this Indenture with respect to the Securities of such series, when,</w:t>
      </w:r>
    </w:p>
    <w:p>
      <w:pPr>
        <w:spacing w:after="0" w:line="184" w:lineRule="exact"/>
        <w:rPr>
          <w:sz w:val="20"/>
          <w:szCs w:val="20"/>
          <w:color w:val="auto"/>
        </w:rPr>
      </w:pPr>
    </w:p>
    <w:p>
      <w:pPr>
        <w:ind w:left="1280" w:hanging="624"/>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right="140" w:firstLine="1953"/>
        <w:spacing w:after="0" w:line="259" w:lineRule="auto"/>
        <w:tabs>
          <w:tab w:leader="none" w:pos="25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Issuer and thereafter repaid to the Issuer or discharged from such trust, as provided in Section 6.03) have been delivered to the Trustee for cancellation; or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220" w:hanging="619"/>
        <w:spacing w:after="0"/>
        <w:tabs>
          <w:tab w:leader="none" w:pos="32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660" w:right="260" w:firstLine="1941"/>
        <w:spacing w:after="0" w:line="264" w:lineRule="auto"/>
        <w:tabs>
          <w:tab w:leader="none" w:pos="322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redeemable at the option of the Issuer (including, without limitation, by operation of any mandatory sinking fund), are to be called for redemption within one year under arrangements satisfactory to the Trustee for the giving of notice of redemption by the Trustee in the name, and at the expense, of the Issuer,</w:t>
      </w:r>
    </w:p>
    <w:p>
      <w:pPr>
        <w:spacing w:after="0" w:line="181"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and the Issuer, in the case of (A), (B) or (C) above, has irrevocably deposited or caused to be deposited with the Trustee or Paying Agent as trust funds in trust for the purpose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the Trustee or any Paying Agent is required to return the monies then on deposit with or held by the Trustee or such Paying Agent to the Issuer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Issuer under this Indenture with respect to such Securities shall not be deemed terminated or discharged;</w:t>
      </w:r>
    </w:p>
    <w:p>
      <w:pPr>
        <w:spacing w:after="0" w:line="182" w:lineRule="exact"/>
        <w:rPr>
          <w:sz w:val="20"/>
          <w:szCs w:val="20"/>
          <w:color w:val="auto"/>
        </w:rPr>
      </w:pPr>
    </w:p>
    <w:p>
      <w:pPr>
        <w:ind w:left="1940" w:hanging="635"/>
        <w:spacing w:after="0"/>
        <w:tabs>
          <w:tab w:leader="none" w:pos="19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Issuer has paid or caused to be paid all other sums payable hereunder by the Issuer with respect to the Securities of such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firstLine="1305"/>
        <w:spacing w:after="0" w:line="284" w:lineRule="auto"/>
        <w:tabs>
          <w:tab w:leader="none" w:pos="191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Issuer has delivered to the Trustee an Officer’s Certificate and an Opinion of Counsel each stating that all conditions precedent herein provided for relating to the satisfaction and discharge of this Indenture with respect to such series have been complied with. Notwithstanding the satisfaction and discharge of this Indenture with respect to the Securities of any series, the obligations of the Issuer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Issuer to convert or exchange, such Securities into other securities or property, and, if money shall have been deposited with the Trustee pursuant to clause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 this Section, the obligations of the Trustee under Section 12.07 and Section 6.03(e) shall survive such satisfaction and discharge.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u w:val="single" w:color="auto"/>
          <w:color w:val="auto"/>
        </w:rPr>
        <w:t>Defeasance and Covenant Defeasance upon Deposit of Moneys or U.S. Government Obligations</w:t>
      </w:r>
    </w:p>
    <w:p>
      <w:pPr>
        <w:sectPr>
          <w:pgSz w:w="11900" w:h="16874" w:orient="portrait"/>
          <w:cols w:equalWidth="0" w:num="1">
            <w:col w:w="11400"/>
          </w:cols>
          <w:pgMar w:left="240" w:top="125" w:right="259" w:bottom="0" w:gutter="0" w:footer="0" w:header="0"/>
        </w:sectPr>
      </w:pPr>
    </w:p>
    <w:bookmarkStart w:id="57" w:name="page58"/>
    <w:bookmarkEnd w:id="57"/>
    <w:p>
      <w:pPr>
        <w:spacing w:after="0" w:line="1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Issuer’s option, either (x) the Issuer shall be deemed to have been Discharged (as defined below) from its obligations with respect to Securities of any series on the first day after the applicable conditions set forth below have been satisfied or (y) the Issuer shall cease to be under any obligation to comply with any term, provision or condition set forth in Section 6.04 and Section 10.02 with respect to Securities of any series (and, if so specified pursuant to</w:t>
      </w:r>
    </w:p>
    <w:p>
      <w:pPr>
        <w:ind w:right="40"/>
        <w:spacing w:after="0" w:line="261" w:lineRule="auto"/>
        <w:rPr>
          <w:sz w:val="20"/>
          <w:szCs w:val="20"/>
          <w:color w:val="auto"/>
        </w:rPr>
      </w:pPr>
      <w:r>
        <w:rPr>
          <w:rFonts w:ascii="Arial" w:cs="Arial" w:eastAsia="Arial" w:hAnsi="Arial"/>
          <w:sz w:val="18"/>
          <w:szCs w:val="18"/>
          <w:color w:val="auto"/>
        </w:rPr>
        <w:t>Section 3.01, any other restrictive covenant added for the benefit of such series pursuant to Section 3.01) (“covenant defeasance”) upon the satisfaction of the applicable conditions set forth below:</w:t>
      </w:r>
    </w:p>
    <w:p>
      <w:pPr>
        <w:spacing w:after="0" w:line="184" w:lineRule="exact"/>
        <w:rPr>
          <w:sz w:val="20"/>
          <w:szCs w:val="20"/>
          <w:color w:val="auto"/>
        </w:rPr>
      </w:pPr>
    </w:p>
    <w:p>
      <w:pPr>
        <w:ind w:right="60" w:firstLine="1305"/>
        <w:spacing w:after="0" w:line="308" w:lineRule="auto"/>
        <w:tabs>
          <w:tab w:leader="none" w:pos="191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Issuer shall have deposited or caused to be deposited irrevocably with the Trustee as trust funds in trust, specifically pledged as security for, and dedicated solely to, the benefit of the Holders of the Securities of such series (i) money in the Currency in which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Securities are payable in an amount, or (ii) U.S. Government Obligations (as defined below) that, through the payment of interest and principal in respect thereof in accordance with their terms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165" w:lineRule="exact"/>
        <w:rPr>
          <w:sz w:val="20"/>
          <w:szCs w:val="20"/>
          <w:color w:val="auto"/>
        </w:rPr>
      </w:pPr>
    </w:p>
    <w:p>
      <w:pPr>
        <w:ind w:right="280" w:firstLine="1305"/>
        <w:spacing w:after="0" w:line="277" w:lineRule="auto"/>
        <w:tabs>
          <w:tab w:leader="none" w:pos="192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170" w:lineRule="exact"/>
        <w:rPr>
          <w:rFonts w:ascii="Arial" w:cs="Arial" w:eastAsia="Arial" w:hAnsi="Arial"/>
          <w:sz w:val="18"/>
          <w:szCs w:val="18"/>
          <w:color w:val="auto"/>
        </w:rPr>
      </w:pPr>
    </w:p>
    <w:p>
      <w:pPr>
        <w:ind w:right="120" w:firstLine="1305"/>
        <w:spacing w:after="0" w:line="297" w:lineRule="auto"/>
        <w:tabs>
          <w:tab w:leader="none" w:pos="191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Opinion of Counsel to the effect that Holders of the Securities of such series will not recognize income, gain or loss for U.S. federal income tax purposes as a result of the Issuer’s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Issuer from or published by the Internal Revenue Service;</w:t>
      </w:r>
    </w:p>
    <w:p>
      <w:pPr>
        <w:spacing w:after="0" w:line="158" w:lineRule="exact"/>
        <w:rPr>
          <w:rFonts w:ascii="Arial" w:cs="Arial" w:eastAsia="Arial" w:hAnsi="Arial"/>
          <w:sz w:val="16"/>
          <w:szCs w:val="16"/>
          <w:color w:val="auto"/>
        </w:rPr>
      </w:pPr>
    </w:p>
    <w:p>
      <w:pPr>
        <w:ind w:right="100" w:firstLine="1305"/>
        <w:spacing w:after="0" w:line="276" w:lineRule="auto"/>
        <w:tabs>
          <w:tab w:leader="none" w:pos="192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Issuer shall have given to the Trustee irrevocable instructions to redeem such Securities on such date and shall have made arrangements satisfactory to the Trustee for the giving of notice of such redemption by the Trustee in the name, and at the expense, of the Issuer; and</w:t>
      </w:r>
    </w:p>
    <w:p>
      <w:pPr>
        <w:spacing w:after="0" w:line="172" w:lineRule="exact"/>
        <w:rPr>
          <w:rFonts w:ascii="Arial" w:cs="Arial" w:eastAsia="Arial" w:hAnsi="Arial"/>
          <w:sz w:val="17"/>
          <w:szCs w:val="17"/>
          <w:color w:val="auto"/>
        </w:rPr>
      </w:pPr>
    </w:p>
    <w:p>
      <w:pPr>
        <w:ind w:right="360" w:firstLine="1305"/>
        <w:spacing w:after="0" w:line="277" w:lineRule="auto"/>
        <w:tabs>
          <w:tab w:leader="none" w:pos="191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all conditions precedent to such action under this Indenture have been complied with.</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“Discharged” means, with respect to the Securities of any series, that the Issuer shall be deemed to have paid and discharged the entire indebtedness represented by, and obligations under, the Securities of such series and to have satisfied all the obligations under this Indenture relating to the Securities of such series (and the Trustee, at the expense of the Issuer,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Issuer to convert or exchange, such Securities into such other securities or property, (E) the provisions of this Article XII and (F) the rights, powers, trusts, duties and immunities of the Trustee hereunder.</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Repayment to Issuer</w:t>
      </w:r>
      <w:r>
        <w:rPr>
          <w:rFonts w:ascii="Arial" w:cs="Arial" w:eastAsia="Arial" w:hAnsi="Arial"/>
          <w:sz w:val="18"/>
          <w:szCs w:val="18"/>
          <w:color w:val="auto"/>
        </w:rPr>
        <w:t>. The Trustee and any Paying Agent shall promptly pay to the Issuer (or to its designee) upon delivery of a Issuer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trust and security agreement entered into pursuant to Section 12.06. The provisions of Section 6.03(e) shall apply to any money held by the Trustee or any Paying Agent under this Article.</w:t>
      </w:r>
    </w:p>
    <w:p>
      <w:pPr>
        <w:spacing w:after="0" w:line="19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Indemnity for U.S. Government Obligations</w:t>
      </w:r>
      <w:r>
        <w:rPr>
          <w:rFonts w:ascii="Arial" w:cs="Arial" w:eastAsia="Arial" w:hAnsi="Arial"/>
          <w:sz w:val="16"/>
          <w:szCs w:val="16"/>
          <w:color w:val="auto"/>
        </w:rPr>
        <w:t>. The Issuer shall pay and shall indemnify the Trustee against any tax, fee or other charge imposed on or assessed against the deposited U.S. Government Obligations or the principal or interest received on such U.S. Government Obligations.</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Deposits to Be Held in Escrow</w:t>
      </w:r>
      <w:r>
        <w:rPr>
          <w:rFonts w:ascii="Arial" w:cs="Arial" w:eastAsia="Arial" w:hAnsi="Arial"/>
          <w:sz w:val="16"/>
          <w:szCs w:val="16"/>
          <w:color w:val="auto"/>
        </w:rPr>
        <w:t>. Any deposits with the Trustee referred to in Section 12.03 above shall be irrevocable (except to the extent provided in Sections 12.04 and 12.07) and shall be made under the terms of an escrow trust agreement. If any Outstanding Securities of a series are to</w:t>
      </w:r>
    </w:p>
    <w:p>
      <w:pPr>
        <w:sectPr>
          <w:pgSz w:w="11900" w:h="16975" w:orient="portrait"/>
          <w:cols w:equalWidth="0" w:num="1">
            <w:col w:w="11400"/>
          </w:cols>
          <w:pgMar w:left="240" w:top="341" w:right="259" w:bottom="0" w:gutter="0" w:footer="0" w:header="0"/>
        </w:sectPr>
      </w:pPr>
    </w:p>
    <w:bookmarkStart w:id="58" w:name="page59"/>
    <w:bookmarkEnd w:id="58"/>
    <w:p>
      <w:pPr>
        <w:ind w:right="80"/>
        <w:spacing w:after="0" w:line="276" w:lineRule="auto"/>
        <w:rPr>
          <w:sz w:val="20"/>
          <w:szCs w:val="20"/>
          <w:color w:val="auto"/>
        </w:rPr>
      </w:pPr>
      <w:r>
        <w:rPr>
          <w:rFonts w:ascii="Arial" w:cs="Arial" w:eastAsia="Arial" w:hAnsi="Arial"/>
          <w:sz w:val="17"/>
          <w:szCs w:val="17"/>
          <w:color w:val="auto"/>
        </w:rPr>
        <w:t>be redeemed prior to their Stated Maturity, whether pursuant to any optional redemption provisions or in accordance with any mandatory or optional sinking fund requirement, the applicable escrow trust agreement shall provide therefor and the Issuer shall make such arrangements as are satisfactory to the Trustee for the giving of notice of redemption by the Trustee in the name, and at the expense, of the Issuer. The agreement shall provide that, upon satisfaction of any mandatory sinking fund payment requirements, whether by deposit of moneys, application of proceeds of deposited U.S. Government Obligations or, if permitted, by delivery of Securities, the Trustee shall pay or deliver over to the Issuer as excess moneys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12.04 all funds or obligations then held under the agreement and allocable to the sinking fund payment requirements so satisfied.</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Securities of a series with respect to which such deposits are made may be subject to later redemption at the option of the Issuer or pursuant to optional sinking fund payments, the applicable escrow trust agreement may, at the option of the Issuer, provide therefor. In the case of an optional redemption in whole or in part, such agreement shall require the Issuer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Issuer as excess funds pursuant to Section 12.04 all funds or obligations then held under such agreement and allocable to the Securities to be redeemed. In the case of exercise of optional sinking fund payment rights by the Issuer, such agreement shall, at the option of the Issuer, provide that upon deposit by the Issuer with the Trustee of funds pursuant to such exercise the Trustee shall pay or deliver over to the Issuer as excess funds pursuant to Section 12.04 all funds or obligations then held under such agreement for such series and allocable to the Securities to be redeemed.</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2" w:lineRule="auto"/>
        <w:tabs>
          <w:tab w:leader="none" w:pos="199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Neither the Trustee nor any other Paying Agent shall be required to pay interest on any moneys deposited pursuant to the provisions of this Indenture, except such as it shall agree with the Issuer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Issuer upon its written request and thereafter, anything in this Indenture to the contrary notwithstanding, any rights of the Holders of Securities of such series in respect of which such moneys shall have been deposited shall be enforceable only against the Issuer, and all liability of the Trustee or such other Paying Agent with respect to such moneys shall thereafter cease.</w:t>
      </w:r>
    </w:p>
    <w:p>
      <w:pPr>
        <w:spacing w:after="0" w:line="177" w:lineRule="exact"/>
        <w:rPr>
          <w:rFonts w:ascii="Arial" w:cs="Arial" w:eastAsia="Arial" w:hAnsi="Arial"/>
          <w:sz w:val="17"/>
          <w:szCs w:val="17"/>
          <w:color w:val="auto"/>
        </w:rPr>
      </w:pPr>
    </w:p>
    <w:p>
      <w:pPr>
        <w:ind w:right="60" w:firstLine="1305"/>
        <w:spacing w:after="0" w:line="273" w:lineRule="auto"/>
        <w:tabs>
          <w:tab w:leader="none" w:pos="200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Subject to Section 6.03(e), any monies and U.S. Government Obligations which at any time shall be deposited by the Issuer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Deposits of Non-U.S. Currencies</w:t>
      </w:r>
      <w:r>
        <w:rPr>
          <w:rFonts w:ascii="Arial" w:cs="Arial" w:eastAsia="Arial" w:hAnsi="Arial"/>
          <w:sz w:val="18"/>
          <w:szCs w:val="18"/>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the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Certificate or established in the supplemental indenture under which the Securities of such series are issued.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IMMUNITY OF CERTAIN PERSONS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No Personal Liability</w:t>
      </w:r>
      <w:r>
        <w:rPr>
          <w:rFonts w:ascii="Arial" w:cs="Arial" w:eastAsia="Arial" w:hAnsi="Arial"/>
          <w:sz w:val="17"/>
          <w:szCs w:val="17"/>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partner, stockholder, officer or director, as such, past, present or future, of the Issuer or of any successor Corporation, either directly or through the Issuer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partner, stockholder, officer or director, as such, past, present or future, of the Issuer or of any successor Corporation, either directly or through the Issuer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partner, stockholder, officer and director is, by the acceptance of the Securities and as a condition of, and as part of the consideration for, the execution of this Indenture and the issue of the Securities expressly waived and released.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Without Consent of Securityholders</w:t>
      </w:r>
      <w:r>
        <w:rPr>
          <w:rFonts w:ascii="Arial" w:cs="Arial" w:eastAsia="Arial" w:hAnsi="Arial"/>
          <w:sz w:val="17"/>
          <w:szCs w:val="17"/>
          <w:color w:val="auto"/>
        </w:rPr>
        <w:t>. Except as otherwise provided as contemplated by Section 3.01 with respect to any series of Securities, when authorized by or pursuant to a Board Resolution, the Issuer and the Trustee, at any time and from time to time, may enter into one or more indentures supplemental hereto, in form satisfactory to the Trustee, for any one or more of or all the following purposes:</w:t>
      </w:r>
    </w:p>
    <w:p>
      <w:pPr>
        <w:spacing w:after="0" w:line="166" w:lineRule="exact"/>
        <w:rPr>
          <w:sz w:val="20"/>
          <w:szCs w:val="20"/>
          <w:color w:val="auto"/>
        </w:rPr>
      </w:pPr>
    </w:p>
    <w:p>
      <w:pPr>
        <w:ind w:right="100" w:firstLine="1305"/>
        <w:spacing w:after="0" w:line="312" w:lineRule="auto"/>
        <w:tabs>
          <w:tab w:leader="none" w:pos="199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add to the covenants and agreements of the Issuer,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w:t>
      </w:r>
    </w:p>
    <w:p>
      <w:pPr>
        <w:sectPr>
          <w:pgSz w:w="11900" w:h="16838" w:orient="portrait"/>
          <w:cols w:equalWidth="0" w:num="1">
            <w:col w:w="11420"/>
          </w:cols>
          <w:pgMar w:left="240" w:top="125" w:right="239" w:bottom="0" w:gutter="0" w:footer="0" w:header="0"/>
        </w:sectPr>
      </w:pPr>
    </w:p>
    <w:bookmarkStart w:id="59" w:name="page60"/>
    <w:bookmarkEnd w:id="59"/>
    <w:p>
      <w:pPr>
        <w:ind w:right="120"/>
        <w:spacing w:after="0" w:line="277" w:lineRule="auto"/>
        <w:rPr>
          <w:sz w:val="20"/>
          <w:szCs w:val="20"/>
          <w:color w:val="auto"/>
        </w:rPr>
      </w:pPr>
      <w:r>
        <w:rPr>
          <w:rFonts w:ascii="Arial" w:cs="Arial" w:eastAsia="Arial" w:hAnsi="Arial"/>
          <w:sz w:val="18"/>
          <w:szCs w:val="18"/>
          <w:color w:val="auto"/>
        </w:rPr>
        <w:t>agreements and Events of Default are expressly being included for the benefit of such series as shall be identified therein), or to surrender any right or power herein conferred upon the Issuer;</w:t>
      </w:r>
    </w:p>
    <w:p>
      <w:pPr>
        <w:spacing w:after="0" w:line="170" w:lineRule="exact"/>
        <w:rPr>
          <w:sz w:val="20"/>
          <w:szCs w:val="20"/>
          <w:color w:val="auto"/>
        </w:rPr>
      </w:pPr>
    </w:p>
    <w:p>
      <w:pPr>
        <w:ind w:right="80" w:firstLine="1305"/>
        <w:spacing w:after="0" w:line="277" w:lineRule="auto"/>
        <w:tabs>
          <w:tab w:leader="none" w:pos="20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delete or modify any Events of Default with respect to all or any series of the Securities, the form and terms of which are being established pursuant to such supplemental indenture as permitted in Section 3.01 (and, if any such Event of Default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applicable to fewer than all such series of the Securities, specifying the series to which such Event of Default is applicable), and to specify the rights and remedies of the Trustee and the Holders of such Securities in connection therewith;</w:t>
      </w:r>
    </w:p>
    <w:p>
      <w:pPr>
        <w:spacing w:after="0" w:line="170" w:lineRule="exact"/>
        <w:rPr>
          <w:sz w:val="20"/>
          <w:szCs w:val="20"/>
          <w:color w:val="auto"/>
        </w:rPr>
      </w:pPr>
    </w:p>
    <w:p>
      <w:pPr>
        <w:ind w:right="40" w:firstLine="1305"/>
        <w:spacing w:after="0" w:line="264" w:lineRule="auto"/>
        <w:tabs>
          <w:tab w:leader="none" w:pos="19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81" w:lineRule="exact"/>
        <w:rPr>
          <w:rFonts w:ascii="Arial" w:cs="Arial" w:eastAsia="Arial" w:hAnsi="Arial"/>
          <w:sz w:val="18"/>
          <w:szCs w:val="18"/>
          <w:color w:val="auto"/>
        </w:rPr>
      </w:pPr>
    </w:p>
    <w:p>
      <w:pPr>
        <w:ind w:firstLine="1305"/>
        <w:spacing w:after="0" w:line="264" w:lineRule="auto"/>
        <w:tabs>
          <w:tab w:leader="none" w:pos="20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81" w:lineRule="exact"/>
        <w:rPr>
          <w:rFonts w:ascii="Arial" w:cs="Arial" w:eastAsia="Arial" w:hAnsi="Arial"/>
          <w:sz w:val="18"/>
          <w:szCs w:val="18"/>
          <w:color w:val="auto"/>
        </w:rPr>
      </w:pPr>
    </w:p>
    <w:p>
      <w:pPr>
        <w:ind w:firstLine="1305"/>
        <w:spacing w:after="0" w:line="342" w:lineRule="auto"/>
        <w:tabs>
          <w:tab w:leader="none" w:pos="199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evidence the succession of another corporation to the Issuer, or successive successions, and the assumption by such successor of the covenants and obligations of the Issuer contained in the Securities of one or more series and in this Indenture or any supplemental indenture;</w:t>
      </w:r>
    </w:p>
    <w:p>
      <w:pPr>
        <w:spacing w:after="0" w:line="123" w:lineRule="exact"/>
        <w:rPr>
          <w:rFonts w:ascii="Arial" w:cs="Arial" w:eastAsia="Arial" w:hAnsi="Arial"/>
          <w:sz w:val="16"/>
          <w:szCs w:val="16"/>
          <w:color w:val="auto"/>
        </w:rPr>
      </w:pPr>
    </w:p>
    <w:p>
      <w:pPr>
        <w:ind w:right="80" w:firstLine="1305"/>
        <w:spacing w:after="0" w:line="264" w:lineRule="auto"/>
        <w:tabs>
          <w:tab w:leader="none" w:pos="20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evidence any changes to this Indenture pursuant to Sections 11.05, 11.06 or 11.07 hereof as permitted by the terms thereof;</w:t>
      </w:r>
    </w:p>
    <w:p>
      <w:pPr>
        <w:spacing w:after="0" w:line="248" w:lineRule="exact"/>
        <w:rPr>
          <w:rFonts w:ascii="Arial" w:cs="Arial" w:eastAsia="Arial" w:hAnsi="Arial"/>
          <w:sz w:val="16"/>
          <w:szCs w:val="16"/>
          <w:color w:val="auto"/>
        </w:rPr>
      </w:pPr>
    </w:p>
    <w:p>
      <w:pPr>
        <w:ind w:right="840" w:firstLine="1305"/>
        <w:spacing w:after="0" w:line="342" w:lineRule="auto"/>
        <w:tabs>
          <w:tab w:leader="none" w:pos="200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cure any inconsistency or ambiguity or to correct or supplement any provision contained herein or in any indenture supplemental hereto which may be mistaken, defective or inconsistent with any other provision contained herein or in any supplemental indenture;</w:t>
      </w:r>
    </w:p>
    <w:p>
      <w:pPr>
        <w:spacing w:after="0" w:line="123" w:lineRule="exact"/>
        <w:rPr>
          <w:rFonts w:ascii="Arial" w:cs="Arial" w:eastAsia="Arial" w:hAnsi="Arial"/>
          <w:sz w:val="16"/>
          <w:szCs w:val="16"/>
          <w:color w:val="auto"/>
        </w:rPr>
      </w:pPr>
    </w:p>
    <w:p>
      <w:pPr>
        <w:jc w:val="both"/>
        <w:ind w:right="20" w:firstLine="1305"/>
        <w:spacing w:after="0" w:line="264" w:lineRule="auto"/>
        <w:tabs>
          <w:tab w:leader="none" w:pos="20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81" w:lineRule="exact"/>
        <w:rPr>
          <w:rFonts w:ascii="Arial" w:cs="Arial" w:eastAsia="Arial" w:hAnsi="Arial"/>
          <w:sz w:val="18"/>
          <w:szCs w:val="18"/>
          <w:color w:val="auto"/>
        </w:rPr>
      </w:pPr>
    </w:p>
    <w:p>
      <w:pPr>
        <w:ind w:right="720" w:firstLine="1305"/>
        <w:spacing w:after="0" w:line="277" w:lineRule="auto"/>
        <w:tabs>
          <w:tab w:leader="none" w:pos="20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right="720" w:firstLine="1305"/>
        <w:spacing w:after="0" w:line="342" w:lineRule="auto"/>
        <w:tabs>
          <w:tab w:leader="none" w:pos="200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add guarantors or co-obligors with respect to any series of Securities or to release guarantors or co-obligors from their guarantees or obligations with respect to Securities, as the case may be, in accordance with the terms of the applicable series of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make any change in any series of Securities that does not adversely affect in any material respect the rights of the 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Securities;</w:t>
      </w:r>
    </w:p>
    <w:p>
      <w:pPr>
        <w:spacing w:after="0" w:line="211" w:lineRule="exact"/>
        <w:rPr>
          <w:sz w:val="20"/>
          <w:szCs w:val="20"/>
          <w:color w:val="auto"/>
        </w:rPr>
      </w:pPr>
    </w:p>
    <w:p>
      <w:pPr>
        <w:ind w:left="2000" w:hanging="695"/>
        <w:spacing w:after="0"/>
        <w:tabs>
          <w:tab w:leader="none" w:pos="2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provide for registration rights; or</w:t>
      </w:r>
    </w:p>
    <w:p>
      <w:pPr>
        <w:spacing w:after="0" w:line="225" w:lineRule="exact"/>
        <w:rPr>
          <w:rFonts w:ascii="Arial" w:cs="Arial" w:eastAsia="Arial" w:hAnsi="Arial"/>
          <w:sz w:val="18"/>
          <w:szCs w:val="18"/>
          <w:color w:val="auto"/>
        </w:rPr>
      </w:pPr>
    </w:p>
    <w:p>
      <w:pPr>
        <w:ind w:right="180" w:firstLine="1305"/>
        <w:spacing w:after="0" w:line="312" w:lineRule="auto"/>
        <w:tabs>
          <w:tab w:leader="none" w:pos="201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Subject to the provisions of Section 14.03, the Trustee is authorized to join with the Issuer in the execution of any such supplemental indenture, to make the further agreements and stipulations which may be therein contained and to accept the conveyance, transfer, assignment, mortgage or pledge of any property or assets thereunder.</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14.01 may be executed by the Issuer and the Trustee without the consent of the Holders of any of the Securities at the time Outstanding.</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With Consent of Securityholders; Limitations</w:t>
      </w:r>
      <w:r>
        <w:rPr>
          <w:rFonts w:ascii="Arial" w:cs="Arial" w:eastAsia="Arial" w:hAnsi="Arial"/>
          <w:sz w:val="16"/>
          <w:szCs w:val="16"/>
          <w:color w:val="auto"/>
        </w:rPr>
        <w:t>.</w:t>
      </w:r>
    </w:p>
    <w:p>
      <w:pPr>
        <w:sectPr>
          <w:pgSz w:w="11900" w:h="16838" w:orient="portrait"/>
          <w:cols w:equalWidth="0" w:num="1">
            <w:col w:w="11420"/>
          </w:cols>
          <w:pgMar w:left="240" w:top="125" w:right="239" w:bottom="32" w:gutter="0" w:footer="0" w:header="0"/>
        </w:sectPr>
      </w:pPr>
    </w:p>
    <w:bookmarkStart w:id="60" w:name="page61"/>
    <w:bookmarkEnd w:id="60"/>
    <w:p>
      <w:pPr>
        <w:spacing w:after="0" w:line="82" w:lineRule="exact"/>
        <w:rPr>
          <w:sz w:val="20"/>
          <w:szCs w:val="20"/>
          <w:color w:val="auto"/>
        </w:rPr>
      </w:pPr>
    </w:p>
    <w:p>
      <w:pPr>
        <w:ind w:right="100" w:firstLine="1305"/>
        <w:spacing w:after="0" w:line="297" w:lineRule="auto"/>
        <w:tabs>
          <w:tab w:leader="none" w:pos="199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With the consent of the Holders (evidenced as provided in Article VIII) of a majority in aggregate principal amount of the Outstanding Securities of each series affected by such supplemental indenture voting separately, the Issuer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158" w:lineRule="exact"/>
        <w:rPr>
          <w:rFonts w:ascii="Arial" w:cs="Arial" w:eastAsia="Arial" w:hAnsi="Arial"/>
          <w:sz w:val="16"/>
          <w:szCs w:val="16"/>
          <w:color w:val="auto"/>
        </w:rPr>
      </w:pPr>
    </w:p>
    <w:p>
      <w:pPr>
        <w:ind w:right="340" w:firstLine="1953"/>
        <w:spacing w:after="0" w:line="257" w:lineRule="auto"/>
        <w:tabs>
          <w:tab w:leader="none" w:pos="265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extend the Stated Maturity of the principal of, or any installment of interest on, any Security, or reduce the principal amount thereof or the interest thereon or any premium payable upon redemption thereof,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 declaration of acceleration of the Maturity thereof pursuant to Section 7.02, change the redemption provision or adversely affect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right or repayment at the option of any Holder as contemplated by Article IV,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187" w:lineRule="exact"/>
        <w:rPr>
          <w:sz w:val="20"/>
          <w:szCs w:val="20"/>
          <w:color w:val="auto"/>
        </w:rPr>
      </w:pPr>
    </w:p>
    <w:p>
      <w:pPr>
        <w:ind w:right="20" w:firstLine="1953"/>
        <w:spacing w:after="0" w:line="264" w:lineRule="auto"/>
        <w:tabs>
          <w:tab w:leader="none" w:pos="26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ind w:firstLine="1953"/>
        <w:spacing w:after="0" w:line="257" w:lineRule="auto"/>
        <w:tabs>
          <w:tab w:leader="none" w:pos="266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6.10 or Section 7.06,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6.10, or the deletion of this proviso, in accordance with the requirements of Sections 11.06 and 14.01(f); or</w:t>
      </w:r>
    </w:p>
    <w:p>
      <w:pPr>
        <w:spacing w:after="0" w:line="188" w:lineRule="exact"/>
        <w:rPr>
          <w:rFonts w:ascii="Arial" w:cs="Arial" w:eastAsia="Arial" w:hAnsi="Arial"/>
          <w:sz w:val="18"/>
          <w:szCs w:val="18"/>
          <w:color w:val="auto"/>
        </w:rPr>
      </w:pPr>
    </w:p>
    <w:p>
      <w:pPr>
        <w:ind w:left="2660" w:hanging="707"/>
        <w:spacing w:after="0"/>
        <w:tabs>
          <w:tab w:leader="none" w:pos="26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w:t>
      </w:r>
    </w:p>
    <w:p>
      <w:pPr>
        <w:spacing w:after="0" w:line="225" w:lineRule="exact"/>
        <w:rPr>
          <w:rFonts w:ascii="Arial" w:cs="Arial" w:eastAsia="Arial" w:hAnsi="Arial"/>
          <w:sz w:val="18"/>
          <w:szCs w:val="18"/>
          <w:color w:val="auto"/>
        </w:rPr>
      </w:pPr>
    </w:p>
    <w:p>
      <w:pPr>
        <w:jc w:val="both"/>
        <w:ind w:right="100" w:firstLine="1305"/>
        <w:spacing w:after="0" w:line="286" w:lineRule="auto"/>
        <w:tabs>
          <w:tab w:leader="none" w:pos="200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5" w:lineRule="exact"/>
        <w:rPr>
          <w:rFonts w:ascii="Arial" w:cs="Arial" w:eastAsia="Arial" w:hAnsi="Arial"/>
          <w:sz w:val="17"/>
          <w:szCs w:val="17"/>
          <w:color w:val="auto"/>
        </w:rPr>
      </w:pPr>
    </w:p>
    <w:p>
      <w:pPr>
        <w:ind w:right="440" w:firstLine="1305"/>
        <w:spacing w:after="0" w:line="277" w:lineRule="auto"/>
        <w:tabs>
          <w:tab w:leader="none" w:pos="19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70" w:lineRule="exact"/>
        <w:rPr>
          <w:rFonts w:ascii="Arial" w:cs="Arial" w:eastAsia="Arial" w:hAnsi="Arial"/>
          <w:sz w:val="18"/>
          <w:szCs w:val="18"/>
          <w:color w:val="auto"/>
        </w:rPr>
      </w:pPr>
    </w:p>
    <w:p>
      <w:pPr>
        <w:ind w:right="160" w:firstLine="1305"/>
        <w:spacing w:after="0" w:line="259" w:lineRule="auto"/>
        <w:tabs>
          <w:tab w:leader="none" w:pos="20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Issuer may set a record date for purposes of determining the identity of the Holders of each series of Securities entitled to give a written consent or waive compliance by the Issuer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86" w:lineRule="exact"/>
        <w:rPr>
          <w:rFonts w:ascii="Arial" w:cs="Arial" w:eastAsia="Arial" w:hAnsi="Arial"/>
          <w:sz w:val="18"/>
          <w:szCs w:val="18"/>
          <w:color w:val="auto"/>
        </w:rPr>
      </w:pPr>
    </w:p>
    <w:p>
      <w:pPr>
        <w:ind w:right="180" w:firstLine="1305"/>
        <w:spacing w:after="0" w:line="264" w:lineRule="auto"/>
        <w:tabs>
          <w:tab w:leader="none" w:pos="19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Promptly after the execution by the Issuer and the Trustee of any supplemental indenture pursuant to the provisions of this Section 14.02, the Issuer shall mail a notice, setting forth in general terms the substance of such supplemental indenture, to the Holders of Securities at their addresses as the same shall then appear in the Register of the Issuer.</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failure of the Issuer to mail such notice, or any defect therein, shall not, however, in any way impair or affect the validity of any such supplemental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14.03 </w:t>
      </w:r>
      <w:r>
        <w:rPr>
          <w:rFonts w:ascii="Arial" w:cs="Arial" w:eastAsia="Arial" w:hAnsi="Arial"/>
          <w:sz w:val="17"/>
          <w:szCs w:val="17"/>
          <w:u w:val="single" w:color="auto"/>
          <w:color w:val="auto"/>
        </w:rPr>
        <w:t>Trustee Protected</w:t>
      </w:r>
      <w:r>
        <w:rPr>
          <w:rFonts w:ascii="Arial" w:cs="Arial" w:eastAsia="Arial" w:hAnsi="Arial"/>
          <w:sz w:val="17"/>
          <w:szCs w:val="17"/>
          <w:color w:val="auto"/>
        </w:rPr>
        <w:t>. Upon the request of the Issuer, accompanied by the Officer’s Certificate and Opinion of Counsel required by Section 16.01 and that such amendment, supplement or waiver is authorized or permitted by this Indenture and evidence reasonably satisfactory to the Trustee of consent of the Holders if the supplemental indenture is to be executed pursuant to Section 14.02, the Trustee shall join with the Issuer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Effect of Execution of Supplemental Indenture</w:t>
      </w:r>
      <w:r>
        <w:rPr>
          <w:rFonts w:ascii="Arial" w:cs="Arial" w:eastAsia="Arial" w:hAnsi="Arial"/>
          <w:sz w:val="18"/>
          <w:szCs w:val="18"/>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Issuer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Notation on or Exchange of Securities</w:t>
      </w:r>
      <w:r>
        <w:rPr>
          <w:rFonts w:ascii="Arial" w:cs="Arial" w:eastAsia="Arial" w:hAnsi="Arial"/>
          <w:sz w:val="17"/>
          <w:szCs w:val="17"/>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Issuer shall so determine, new Securities so modified as to conform, in the opinion of the Board of Directors of the Issuer, to any modification of this Indenture contained in any such supplemental indenture may be prepared and executed by the Issuer and authenticated and delivered by the Trustee (in accordance with a specific written order of the Issuer) in exchange for the Securities then Outstanding in equal aggregate principal amounts, and such exchange shall be made without cost to the Holders of the Securities.</w:t>
      </w:r>
    </w:p>
    <w:p>
      <w:pPr>
        <w:sectPr>
          <w:pgSz w:w="11900" w:h="16921" w:orient="portrait"/>
          <w:cols w:equalWidth="0" w:num="1">
            <w:col w:w="11420"/>
          </w:cols>
          <w:pgMar w:left="240" w:top="125" w:right="239" w:bottom="0" w:gutter="0" w:footer="0" w:header="0"/>
        </w:sectPr>
      </w:pPr>
    </w:p>
    <w:bookmarkStart w:id="61" w:name="page62"/>
    <w:bookmarkEnd w:id="61"/>
    <w:p>
      <w:pPr>
        <w:ind w:right="520" w:firstLine="648"/>
        <w:spacing w:after="0" w:line="277"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Conformity with TIA</w:t>
      </w:r>
      <w:r>
        <w:rPr>
          <w:rFonts w:ascii="Arial" w:cs="Arial" w:eastAsia="Arial" w:hAnsi="Arial"/>
          <w:sz w:val="18"/>
          <w:szCs w:val="18"/>
          <w:color w:val="auto"/>
        </w:rPr>
        <w:t>. Every supplemental indenture executed pursuant to the provisions of this Article shall conform to the requirements of the Trust Indenture Act as then in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In the event a series of Securities is designated as subordinated pursuant to Section 3.01, and except as otherwise provided in an Issuer Order or in one or more indentures supplemental hereto, the Issuer,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designated as subordinated pursuant to Section 3.01(t), this Article XV shall have no effect upon the Securities.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Distribution on Dissolution, Liquidation and Reorganization; Subrogation of Securities</w:t>
      </w:r>
      <w:r>
        <w:rPr>
          <w:rFonts w:ascii="Arial" w:cs="Arial" w:eastAsia="Arial" w:hAnsi="Arial"/>
          <w:sz w:val="18"/>
          <w:szCs w:val="18"/>
          <w:color w:val="auto"/>
        </w:rPr>
        <w:t>. Subject to Section 15.01, upon any distribution of assets of the Issuer upon any dissolution, winding up, liquidation or reorganization of the Issuer, whether in bankruptcy, insolvency, reorganization or receivership proceedings or upon an assignment for the benefit of creditors or any other marshalling of the assets and liabilities of the Issuer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93" w:lineRule="exact"/>
        <w:rPr>
          <w:sz w:val="20"/>
          <w:szCs w:val="20"/>
          <w:color w:val="auto"/>
        </w:rPr>
      </w:pPr>
    </w:p>
    <w:p>
      <w:pPr>
        <w:ind w:right="100" w:firstLine="1305"/>
        <w:spacing w:after="0" w:line="264" w:lineRule="auto"/>
        <w:tabs>
          <w:tab w:leader="none" w:pos="199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81" w:lineRule="exact"/>
        <w:rPr>
          <w:rFonts w:ascii="Arial" w:cs="Arial" w:eastAsia="Arial" w:hAnsi="Arial"/>
          <w:sz w:val="18"/>
          <w:szCs w:val="18"/>
          <w:color w:val="auto"/>
        </w:rPr>
      </w:pPr>
    </w:p>
    <w:p>
      <w:pPr>
        <w:ind w:right="20" w:firstLine="1305"/>
        <w:spacing w:after="0" w:line="291" w:lineRule="auto"/>
        <w:tabs>
          <w:tab w:leader="none" w:pos="200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payment or distribution of assets of the Issuer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67" w:lineRule="exact"/>
        <w:rPr>
          <w:rFonts w:ascii="Arial" w:cs="Arial" w:eastAsia="Arial" w:hAnsi="Arial"/>
          <w:sz w:val="16"/>
          <w:szCs w:val="16"/>
          <w:color w:val="auto"/>
        </w:rPr>
      </w:pPr>
    </w:p>
    <w:p>
      <w:pPr>
        <w:ind w:right="20" w:firstLine="1305"/>
        <w:spacing w:after="0" w:line="255" w:lineRule="auto"/>
        <w:tabs>
          <w:tab w:leader="none" w:pos="199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Issuer,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89" w:lineRule="exact"/>
        <w:rPr>
          <w:rFonts w:ascii="Arial" w:cs="Arial" w:eastAsia="Arial" w:hAnsi="Arial"/>
          <w:sz w:val="18"/>
          <w:szCs w:val="18"/>
          <w:color w:val="auto"/>
        </w:rPr>
      </w:pPr>
    </w:p>
    <w:p>
      <w:pPr>
        <w:ind w:right="100" w:firstLine="1305"/>
        <w:spacing w:after="0" w:line="264" w:lineRule="auto"/>
        <w:tabs>
          <w:tab w:leader="none" w:pos="20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Issuer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Issuer, its creditors other than the holders of Senior Indebtedness, and the Holders of the Securities be deemed to be a payment by the Issuer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Issuer, its creditors other than the holders of Senior Indebtedness, and the Holders of the Securities, the obligation of the Issuer,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Issuer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Issuer received upon the exercise of any such remedy. Upon any payment or distribution of assets of the Issuer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Issuer, the amount thereof or payable thereon, the amount or amounts paid or distributed thereof and all other facts pertinent thereto or to this Article XV.</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No Payment on Securities in Event of Default on Senior Indebtedness</w:t>
      </w:r>
      <w:r>
        <w:rPr>
          <w:rFonts w:ascii="Arial" w:cs="Arial" w:eastAsia="Arial" w:hAnsi="Arial"/>
          <w:sz w:val="16"/>
          <w:szCs w:val="16"/>
          <w:color w:val="auto"/>
        </w:rPr>
        <w:t>. Subject to Section 15.01, no payment by the Issuer on account of principal (or premium, if any), sinking funds or interest, if any, on the Securities shall be made at anytime if: (i) a default on Senior Indebtedness exists that permits the holders of such Senior Indebtedness to accelerate its maturity and (ii) the default is the subject of judicial proceedings or the Issuer has</w:t>
      </w:r>
    </w:p>
    <w:p>
      <w:pPr>
        <w:sectPr>
          <w:pgSz w:w="11900" w:h="16838" w:orient="portrait"/>
          <w:cols w:equalWidth="0" w:num="1">
            <w:col w:w="11400"/>
          </w:cols>
          <w:pgMar w:left="240" w:top="341" w:right="259" w:bottom="0" w:gutter="0" w:footer="0" w:header="0"/>
        </w:sectPr>
      </w:pPr>
    </w:p>
    <w:bookmarkStart w:id="62" w:name="page63"/>
    <w:bookmarkEnd w:id="62"/>
    <w:p>
      <w:pPr>
        <w:ind w:right="240"/>
        <w:spacing w:after="0" w:line="277" w:lineRule="auto"/>
        <w:rPr>
          <w:sz w:val="20"/>
          <w:szCs w:val="20"/>
          <w:color w:val="auto"/>
        </w:rPr>
      </w:pPr>
      <w:r>
        <w:rPr>
          <w:rFonts w:ascii="Arial" w:cs="Arial" w:eastAsia="Arial" w:hAnsi="Arial"/>
          <w:sz w:val="18"/>
          <w:szCs w:val="18"/>
          <w:color w:val="auto"/>
        </w:rPr>
        <w:t>received notice of such default. The Issuer may resume payments on the Securities when full payment of amounts then due for principal (premium, if any), sinking funds and interest on Senior Indebtedness has been made or duly provided for in money or money’s worth.</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Issuer,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15.04</w:t>
      </w:r>
      <w:r>
        <w:rPr>
          <w:sz w:val="20"/>
          <w:szCs w:val="20"/>
          <w:color w:val="auto"/>
        </w:rPr>
        <w:tab/>
      </w:r>
      <w:r>
        <w:rPr>
          <w:rFonts w:ascii="Arial" w:cs="Arial" w:eastAsia="Arial" w:hAnsi="Arial"/>
          <w:sz w:val="16"/>
          <w:szCs w:val="16"/>
          <w:u w:val="single" w:color="auto"/>
          <w:color w:val="auto"/>
        </w:rPr>
        <w:t>Payments on Securities Permitted</w:t>
      </w:r>
      <w:r>
        <w:rPr>
          <w:rFonts w:ascii="Arial" w:cs="Arial" w:eastAsia="Arial" w:hAnsi="Arial"/>
          <w:sz w:val="16"/>
          <w:szCs w:val="16"/>
          <w:color w:val="auto"/>
        </w:rPr>
        <w:t>. Subject to Section 15.01, nothing contained in this Indenture or in any of the Securities shall</w:t>
      </w:r>
    </w:p>
    <w:p>
      <w:pPr>
        <w:spacing w:after="0" w:line="23" w:lineRule="exact"/>
        <w:rPr>
          <w:sz w:val="20"/>
          <w:szCs w:val="20"/>
          <w:color w:val="auto"/>
        </w:rPr>
      </w:pPr>
    </w:p>
    <w:p>
      <w:pPr>
        <w:ind w:firstLine="8"/>
        <w:spacing w:after="0" w:line="270" w:lineRule="auto"/>
        <w:tabs>
          <w:tab w:leader="none" w:pos="24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affect the obligation of the Issuer to make, or prevent the Issuer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Issuer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7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u w:val="single" w:color="auto"/>
          <w:color w:val="auto"/>
        </w:rPr>
        <w:t>Authorization of Securityholders to Trustee to Effect Subordination</w:t>
      </w:r>
      <w:r>
        <w:rPr>
          <w:rFonts w:ascii="Arial" w:cs="Arial" w:eastAsia="Arial" w:hAnsi="Arial"/>
          <w:sz w:val="17"/>
          <w:szCs w:val="17"/>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15.06 </w:t>
      </w:r>
      <w:r>
        <w:rPr>
          <w:rFonts w:ascii="Arial" w:cs="Arial" w:eastAsia="Arial" w:hAnsi="Arial"/>
          <w:sz w:val="16"/>
          <w:szCs w:val="16"/>
          <w:u w:val="single" w:color="auto"/>
          <w:color w:val="auto"/>
        </w:rPr>
        <w:t>Notices to Trustee</w:t>
      </w:r>
      <w:r>
        <w:rPr>
          <w:rFonts w:ascii="Arial" w:cs="Arial" w:eastAsia="Arial" w:hAnsi="Arial"/>
          <w:sz w:val="16"/>
          <w:szCs w:val="16"/>
          <w:color w:val="auto"/>
        </w:rPr>
        <w:t>. The Issuer shall give prompt written notice to a Responsible Officer of the Trustee of any fact known to the Issuer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Issuer)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Issuer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Modifications of Terms of Senior Indebtedness</w:t>
      </w:r>
      <w:r>
        <w:rPr>
          <w:rFonts w:ascii="Arial" w:cs="Arial" w:eastAsia="Arial" w:hAnsi="Arial"/>
          <w:sz w:val="18"/>
          <w:szCs w:val="18"/>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15.09 </w:t>
      </w:r>
      <w:r>
        <w:rPr>
          <w:rFonts w:ascii="Arial" w:cs="Arial" w:eastAsia="Arial" w:hAnsi="Arial"/>
          <w:sz w:val="16"/>
          <w:szCs w:val="16"/>
          <w:u w:val="single" w:color="auto"/>
          <w:color w:val="auto"/>
        </w:rPr>
        <w:t>Reliance on Judicial Order or Certificate of Liquidating Agent</w:t>
      </w:r>
      <w:r>
        <w:rPr>
          <w:rFonts w:ascii="Arial" w:cs="Arial" w:eastAsia="Arial" w:hAnsi="Arial"/>
          <w:sz w:val="16"/>
          <w:szCs w:val="16"/>
          <w:color w:val="auto"/>
        </w:rPr>
        <w:t>. Subject to Section 15.01, upon any payment or distribution of assets of the Issuer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Issuer, the amount thereof or payable thereon, the amount or amounts paid or distributed thereon and all other facts pertinent thereto or to this Article XV.</w:t>
      </w:r>
    </w:p>
    <w:p>
      <w:pPr>
        <w:sectPr>
          <w:pgSz w:w="11900" w:h="16838" w:orient="portrait"/>
          <w:cols w:equalWidth="0" w:num="1">
            <w:col w:w="11400"/>
          </w:cols>
          <w:pgMar w:left="240" w:top="125" w:right="259" w:bottom="0" w:gutter="0" w:footer="0" w:header="0"/>
        </w:sectPr>
      </w:pPr>
    </w:p>
    <w:bookmarkStart w:id="63" w:name="page64"/>
    <w:bookmarkEnd w:id="63"/>
    <w:p>
      <w:pPr>
        <w:spacing w:after="0" w:line="5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Satisfaction and Discharge; Defeasance and Covenant Defeasance</w:t>
      </w:r>
      <w:r>
        <w:rPr>
          <w:rFonts w:ascii="Arial" w:cs="Arial" w:eastAsia="Arial" w:hAnsi="Arial"/>
          <w:sz w:val="18"/>
          <w:szCs w:val="18"/>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81"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u w:val="single" w:color="auto"/>
          <w:color w:val="auto"/>
        </w:rPr>
        <w:t>Trustee Not Fiduciary for Holders of Senior Indebtedness</w:t>
      </w:r>
      <w:r>
        <w:rPr>
          <w:rFonts w:ascii="Arial" w:cs="Arial" w:eastAsia="Arial" w:hAnsi="Arial"/>
          <w:sz w:val="16"/>
          <w:szCs w:val="16"/>
          <w:color w:val="auto"/>
        </w:rPr>
        <w:t>. With respect to the holders of Senior Indebtedness, the Trustee undertakes to perform or observe only such of its covenants and obligations as are specifically set forth in this Article XV, and no implied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Issuer, or any other Person, moneys or assets to which any holder of Senior Indebtedness shall be entitled by virtue of this Article XV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6"/>
          <w:szCs w:val="16"/>
          <w:u w:val="single" w:color="auto"/>
          <w:color w:val="auto"/>
        </w:rPr>
        <w:t>Certificates and Opinions as to Conditions Precedent</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1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otherwise specified herein or pursuant to Section 3.01, upon any request or application by the Issuer to the Trustee to take any action under any of the provisions of this Indenture, the Issuer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93" w:lineRule="exact"/>
        <w:rPr>
          <w:rFonts w:ascii="Arial" w:cs="Arial" w:eastAsia="Arial" w:hAnsi="Arial"/>
          <w:sz w:val="18"/>
          <w:szCs w:val="18"/>
          <w:color w:val="auto"/>
        </w:rPr>
      </w:pPr>
    </w:p>
    <w:p>
      <w:pPr>
        <w:ind w:right="80" w:firstLine="1305"/>
        <w:spacing w:after="0" w:line="255" w:lineRule="auto"/>
        <w:tabs>
          <w:tab w:leader="none" w:pos="19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(other than the certificates provided pursuant to Section 6.04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89" w:lineRule="exact"/>
        <w:rPr>
          <w:rFonts w:ascii="Arial" w:cs="Arial" w:eastAsia="Arial" w:hAnsi="Arial"/>
          <w:sz w:val="18"/>
          <w:szCs w:val="18"/>
          <w:color w:val="auto"/>
        </w:rPr>
      </w:pPr>
    </w:p>
    <w:p>
      <w:pPr>
        <w:ind w:right="40" w:firstLine="1305"/>
        <w:spacing w:after="0" w:line="293" w:lineRule="auto"/>
        <w:tabs>
          <w:tab w:leader="none" w:pos="191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certificate, statement or opinion of an Officer of the General Partner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General Partner stating that the information with respect to such factual matters is in the possession of the Issuer, unless such counsel knows, or in the exercise of reasonable care should know, that the certificate, statement or opinion or representations with respect to such matters are erroneous.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76" w:lineRule="auto"/>
        <w:tabs>
          <w:tab w:leader="none" w:pos="192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certificate, statement or opinion of an Officer of the General Partner or of counsel to the Issuer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72" w:lineRule="exact"/>
        <w:rPr>
          <w:rFonts w:ascii="Arial" w:cs="Arial" w:eastAsia="Arial" w:hAnsi="Arial"/>
          <w:sz w:val="17"/>
          <w:szCs w:val="17"/>
          <w:color w:val="auto"/>
        </w:rPr>
      </w:pPr>
    </w:p>
    <w:p>
      <w:pPr>
        <w:ind w:right="200" w:firstLine="1305"/>
        <w:spacing w:after="0" w:line="259" w:lineRule="auto"/>
        <w:tabs>
          <w:tab w:leader="none" w:pos="19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6" w:lineRule="exact"/>
        <w:rPr>
          <w:rFonts w:ascii="Arial" w:cs="Arial" w:eastAsia="Arial" w:hAnsi="Arial"/>
          <w:sz w:val="18"/>
          <w:szCs w:val="18"/>
          <w:color w:val="auto"/>
        </w:rPr>
      </w:pPr>
    </w:p>
    <w:p>
      <w:pPr>
        <w:ind w:right="540" w:firstLine="1305"/>
        <w:spacing w:after="0" w:line="308" w:lineRule="auto"/>
        <w:tabs>
          <w:tab w:leader="none" w:pos="193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Notices to the Issuer and Trustee</w:t>
      </w:r>
      <w:r>
        <w:rPr>
          <w:rFonts w:ascii="Arial" w:cs="Arial" w:eastAsia="Arial" w:hAnsi="Arial"/>
          <w:sz w:val="16"/>
          <w:szCs w:val="16"/>
          <w:color w:val="auto"/>
        </w:rPr>
        <w:t>. Any notice or demand authorized by this Indenture to be made upon, given or furnished to, or filed with, the Issuer or the Trustee shall be sufficiently made, given, furnished or filed for all purposes if it shall be mailed, delivered or telefaxed to:</w:t>
      </w:r>
    </w:p>
    <w:p>
      <w:pPr>
        <w:spacing w:after="0" w:line="124" w:lineRule="exact"/>
        <w:rPr>
          <w:sz w:val="20"/>
          <w:szCs w:val="20"/>
          <w:color w:val="auto"/>
        </w:rPr>
      </w:pPr>
    </w:p>
    <w:p>
      <w:pPr>
        <w:ind w:left="1920" w:hanging="615"/>
        <w:spacing w:after="0"/>
        <w:tabs>
          <w:tab w:leader="none" w:pos="1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Issuer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10170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(646) 293-1356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Marc Holliday and Andrew Levine</w:t>
      </w:r>
    </w:p>
    <w:p>
      <w:pPr>
        <w:sectPr>
          <w:pgSz w:w="11900" w:h="16888" w:orient="portrait"/>
          <w:cols w:equalWidth="0" w:num="1">
            <w:col w:w="11420"/>
          </w:cols>
          <w:pgMar w:left="240" w:top="125"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or at such other address or facsimile number as may have been furnished in writing to the Trustee by the Issuer.</w:t>
      </w:r>
    </w:p>
    <w:p>
      <w:pPr>
        <w:spacing w:after="0" w:line="225" w:lineRule="exact"/>
        <w:rPr>
          <w:sz w:val="20"/>
          <w:szCs w:val="20"/>
          <w:color w:val="auto"/>
        </w:rPr>
      </w:pPr>
    </w:p>
    <w:p>
      <w:pPr>
        <w:ind w:left="1940" w:hanging="635"/>
        <w:spacing w:after="0"/>
        <w:tabs>
          <w:tab w:leader="none" w:pos="19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at the Corporate Trust Office of the Trustee, Attention: Corporate Trust Administration.</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Trustee agrees to accept and act upon instructions or directions pursuant to this Indenture sent by unsecured e-mail, Adobe PDF, facsimile transmission or other similar unsecured electronic methods, provided, however, that the Trustee shall have received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Any such notice, demand or other document shall be in the English language.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Notices to Securityholders; Waiver</w:t>
      </w:r>
      <w:r>
        <w:rPr>
          <w:rFonts w:ascii="Arial" w:cs="Arial" w:eastAsia="Arial" w:hAnsi="Arial"/>
          <w:sz w:val="18"/>
          <w:szCs w:val="18"/>
          <w:color w:val="auto"/>
        </w:rPr>
        <w:t>. Any notice required or permitted to be given to Securityholders shall be sufficiently given (unless otherwise herein expressly provided),</w:t>
      </w:r>
    </w:p>
    <w:p>
      <w:pPr>
        <w:spacing w:after="0" w:line="170" w:lineRule="exact"/>
        <w:rPr>
          <w:sz w:val="20"/>
          <w:szCs w:val="20"/>
          <w:color w:val="auto"/>
        </w:rPr>
      </w:pPr>
    </w:p>
    <w:p>
      <w:pPr>
        <w:ind w:right="140" w:firstLine="1305"/>
        <w:spacing w:after="0" w:line="312" w:lineRule="auto"/>
        <w:tabs>
          <w:tab w:leader="none" w:pos="191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if to Holders, if given in writing by first class mail, postage prepaid, to such Holders at their addresses as the same shall appear on the Register of the Issuer;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46" w:lineRule="exact"/>
        <w:rPr>
          <w:rFonts w:ascii="Arial" w:cs="Arial" w:eastAsia="Arial" w:hAnsi="Arial"/>
          <w:sz w:val="16"/>
          <w:szCs w:val="16"/>
          <w:color w:val="auto"/>
        </w:rPr>
      </w:pPr>
    </w:p>
    <w:p>
      <w:pPr>
        <w:ind w:right="20" w:firstLine="1305"/>
        <w:spacing w:after="0" w:line="277" w:lineRule="auto"/>
        <w:tabs>
          <w:tab w:leader="none" w:pos="192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 series of notes has been issued in global form through DTC as Depositary, notice may be provided by delivery of such notice to DTC for posting through its “Legal Notice Service” (LENS) or a successor system thereof.</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Legal Holiday</w:t>
      </w:r>
      <w:r>
        <w:rPr>
          <w:rFonts w:ascii="Arial" w:cs="Arial" w:eastAsia="Arial" w:hAnsi="Arial"/>
          <w:sz w:val="17"/>
          <w:szCs w:val="17"/>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Effects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Counterparts Originals</w:t>
      </w:r>
      <w:r>
        <w:rPr>
          <w:rFonts w:ascii="Arial" w:cs="Arial" w:eastAsia="Arial" w:hAnsi="Arial"/>
          <w:sz w:val="18"/>
          <w:szCs w:val="18"/>
          <w:color w:val="auto"/>
        </w:rPr>
        <w:t>. 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Governing Law; Waiver of Trial by Jury</w:t>
      </w:r>
      <w:r>
        <w:rPr>
          <w:rFonts w:ascii="Arial" w:cs="Arial" w:eastAsia="Arial" w:hAnsi="Arial"/>
          <w:sz w:val="18"/>
          <w:szCs w:val="18"/>
          <w:color w:val="auto"/>
        </w:rPr>
        <w:t>. This Indenture and the Securities shall be deemed to be contracts made under the law of the State of New York.</w:t>
      </w:r>
    </w:p>
    <w:p>
      <w:pPr>
        <w:sectPr>
          <w:pgSz w:w="11900" w:h="16838" w:orient="portrait"/>
          <w:cols w:equalWidth="0" w:num="1">
            <w:col w:w="11420"/>
          </w:cols>
          <w:pgMar w:left="240" w:top="341" w:right="239" w:bottom="0" w:gutter="0" w:footer="0" w:header="0"/>
        </w:sectPr>
      </w:pPr>
    </w:p>
    <w:bookmarkStart w:id="65" w:name="page66"/>
    <w:bookmarkEnd w:id="65"/>
    <w:p>
      <w:pPr>
        <w:jc w:val="both"/>
        <w:ind w:right="80"/>
        <w:spacing w:after="0" w:line="259" w:lineRule="auto"/>
        <w:rPr>
          <w:sz w:val="20"/>
          <w:szCs w:val="20"/>
          <w:color w:val="auto"/>
        </w:rPr>
      </w:pPr>
      <w:r>
        <w:rPr>
          <w:rFonts w:ascii="Arial" w:cs="Arial" w:eastAsia="Arial" w:hAnsi="Arial"/>
          <w:sz w:val="18"/>
          <w:szCs w:val="18"/>
          <w:color w:val="auto"/>
        </w:rPr>
        <w:t>THE INTERNAL LAW OF THE STATE OF NEW YORK (INCLUDING, WITHOUT LIMITATION, SECTION 5-1401 OF THE NEW YORK GENERAL OBLIGATIONS LAW OR ANY SUCCESSOR TO SUCH STATUTE) WILL GOVERN AND BE USED TO CONSTRUE THIS INDENTURE AND THE SECURITIES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LITIGATION DIRECTLY OR INDIRECTLY ARISING OUT OF, UNDER OR IN CONNECTION WITH THIS INDENTURE.</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Section 16.12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Any legal suit, action or proceeding arising out of or based upon this Indenture, the Securities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of such courts in any such suit, action or proceeding. Service of any process, summons, notice or document by mail to such party’s address set forth above shall be effective service of process for any suit, action or other proceeding brought in any such court. The parties (to the fullest extent permitted by applicable law) irrevocably and unconditionally waive any objection to the laying of venue of any suit, action or other proceeding in the Specified Courts and irrevocably and unconditionally waive and agree not to plead or claim in any such court has been brought in an inconvenient forum.</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16.13 </w:t>
      </w:r>
      <w:r>
        <w:rPr>
          <w:rFonts w:ascii="Arial" w:cs="Arial" w:eastAsia="Arial" w:hAnsi="Arial"/>
          <w:sz w:val="17"/>
          <w:szCs w:val="17"/>
          <w:u w:val="single" w:color="auto"/>
          <w:color w:val="auto"/>
        </w:rPr>
        <w:t>Patriot Act</w:t>
      </w:r>
      <w:r>
        <w:rPr>
          <w:rFonts w:ascii="Arial" w:cs="Arial" w:eastAsia="Arial" w:hAnsi="Arial"/>
          <w:sz w:val="17"/>
          <w:szCs w:val="17"/>
          <w:color w:val="auto"/>
        </w:rPr>
        <w:t>. The parties hereto acknowledge that in accordance with the Customer Identification Program (CIP)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16.14 </w:t>
      </w:r>
      <w:r>
        <w:rPr>
          <w:rFonts w:ascii="Arial" w:cs="Arial" w:eastAsia="Arial" w:hAnsi="Arial"/>
          <w:sz w:val="17"/>
          <w:szCs w:val="17"/>
          <w:u w:val="single" w:color="auto"/>
          <w:color w:val="auto"/>
        </w:rPr>
        <w:t>FATCA</w:t>
      </w:r>
      <w:r>
        <w:rPr>
          <w:rFonts w:ascii="Arial" w:cs="Arial" w:eastAsia="Arial" w:hAnsi="Arial"/>
          <w:sz w:val="17"/>
          <w:szCs w:val="17"/>
          <w:color w:val="auto"/>
        </w:rPr>
        <w:t>. The Issuer and the Trustee agree (i) to use commercially reasonable efforts to provide each other with sufficient information to enable the determination by the Trustee of whether any payments pursuant to the Indenture are subject to the withholding requirements under any applicable tax laws, rules and regulations, including requirements (inclusive of directives, guidelines and interpretations promulgated by competent authorities) in effect from time to time (“Applicable Law”), including withholding requirements described in Section 1471(b) of the Internal Revenue Code of 1986, as amended (the “Code”) or otherwise imposed pursuant to Sections 1471 through 1474 of the Code and any regulations, or agreements thereunder or official interpretations thereof , and (ii) that the Trustee shall be entitled to make any withholding or deduction from payments under the Indenture to the extent necessary to comply with Applicable Law, for which the Trustee shall not have any 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Indenture to be duly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 as Issuer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sole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Andrew S. Levine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Bank of New York Mellon, as Trustee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Laurence J. O’Brien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SECURITY]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7" w:gutter="0" w:footer="0" w:header="0"/>
        </w:sectPr>
      </w:pPr>
    </w:p>
    <w:bookmarkStart w:id="66" w:name="page67"/>
    <w:bookmarkEnd w:id="66"/>
    <w:p>
      <w:pPr>
        <w:ind w:left="9960"/>
        <w:spacing w:after="0"/>
        <w:rPr>
          <w:sz w:val="20"/>
          <w:szCs w:val="20"/>
          <w:color w:val="auto"/>
        </w:rPr>
      </w:pPr>
      <w:r>
        <w:rPr>
          <w:rFonts w:ascii="Arial" w:cs="Arial" w:eastAsia="Arial" w:hAnsi="Arial"/>
          <w:sz w:val="16"/>
          <w:szCs w:val="16"/>
          <w:color w:val="auto"/>
        </w:rPr>
        <w:t>CUSIP No.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SL Green Operating Partnership, L.P.</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DUE 20</w:t>
      </w:r>
    </w:p>
    <w:p>
      <w:pPr>
        <w:sectPr>
          <w:pgSz w:w="11900" w:h="16838" w:orient="portrait"/>
          <w:cols w:equalWidth="0" w:num="1">
            <w:col w:w="11360"/>
          </w:cols>
          <w:pgMar w:left="240" w:top="584" w:right="2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revised by the Schedule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Increases or Decreases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Global Security attached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0" w:lineRule="exact"/>
        <w:rPr>
          <w:sz w:val="20"/>
          <w:szCs w:val="20"/>
          <w:color w:val="auto"/>
        </w:rPr>
      </w:pPr>
    </w:p>
    <w:p>
      <w:pPr>
        <w:sectPr>
          <w:pgSz w:w="11900" w:h="16838" w:orient="portrait"/>
          <w:cols w:equalWidth="0" w:num="2">
            <w:col w:w="8620" w:space="720"/>
            <w:col w:w="2020"/>
          </w:cols>
          <w:pgMar w:left="240" w:top="584" w:right="299" w:bottom="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SL Green Operating Partnership, L.P., a Delaware limited partnership (herein called the “Issuer”, which term includes any successor Person</w:t>
      </w:r>
    </w:p>
    <w:p>
      <w:pPr>
        <w:spacing w:after="0" w:line="4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under the Indenture hereinafter referred to), for value received, hereby promises to pay to</w:t>
      </w:r>
      <w:r>
        <w:rPr>
          <w:sz w:val="20"/>
          <w:szCs w:val="20"/>
          <w:color w:val="auto"/>
        </w:rPr>
        <w:tab/>
      </w:r>
      <w:r>
        <w:rPr>
          <w:rFonts w:ascii="Arial" w:cs="Arial" w:eastAsia="Arial" w:hAnsi="Arial"/>
          <w:sz w:val="16"/>
          <w:szCs w:val="16"/>
          <w:color w:val="auto"/>
        </w:rPr>
        <w:t>or registered assigns, the principal sum of million dollars</w:t>
      </w:r>
    </w:p>
    <w:p>
      <w:pPr>
        <w:spacing w:after="0" w:line="9" w:lineRule="exact"/>
        <w:rPr>
          <w:sz w:val="20"/>
          <w:szCs w:val="20"/>
          <w:color w:val="auto"/>
        </w:rPr>
      </w:pPr>
    </w:p>
    <w:p>
      <w:pPr>
        <w:spacing w:after="0"/>
        <w:tabs>
          <w:tab w:leader="none" w:pos="400" w:val="left"/>
          <w:tab w:leader="none" w:pos="7440" w:val="left"/>
          <w:tab w:leader="none" w:pos="10460" w:val="left"/>
        </w:tabs>
        <w:rPr>
          <w:sz w:val="20"/>
          <w:szCs w:val="20"/>
          <w:color w:val="auto"/>
        </w:rPr>
      </w:pPr>
      <w:r>
        <w:rPr>
          <w:rFonts w:ascii="Arial" w:cs="Arial" w:eastAsia="Arial" w:hAnsi="Arial"/>
          <w:sz w:val="18"/>
          <w:szCs w:val="18"/>
          <w:color w:val="auto"/>
        </w:rPr>
        <w:t>($</w:t>
        <w:tab/>
        <w:t>), as revised by the Schedule of Increases or Decreases in Global Security attached hereto, on</w:t>
      </w:r>
      <w:r>
        <w:rPr>
          <w:sz w:val="20"/>
          <w:szCs w:val="20"/>
          <w:color w:val="auto"/>
        </w:rPr>
        <w:tab/>
      </w:r>
      <w:r>
        <w:rPr>
          <w:rFonts w:ascii="Arial" w:cs="Arial" w:eastAsia="Arial" w:hAnsi="Arial"/>
          <w:sz w:val="18"/>
          <w:szCs w:val="18"/>
          <w:color w:val="auto"/>
        </w:rPr>
        <w:t>, 20 and to pay interest thereon from</w:t>
      </w:r>
      <w:r>
        <w:rPr>
          <w:sz w:val="20"/>
          <w:szCs w:val="20"/>
          <w:color w:val="auto"/>
        </w:rPr>
        <w:tab/>
      </w:r>
      <w:r>
        <w:rPr>
          <w:rFonts w:ascii="Arial" w:cs="Arial" w:eastAsia="Arial" w:hAnsi="Arial"/>
          <w:sz w:val="16"/>
          <w:szCs w:val="16"/>
          <w:color w:val="auto"/>
        </w:rPr>
        <w:t>, 20 or from</w:t>
      </w:r>
    </w:p>
    <w:p>
      <w:pPr>
        <w:spacing w:after="0" w:line="9" w:lineRule="exact"/>
        <w:rPr>
          <w:sz w:val="20"/>
          <w:szCs w:val="20"/>
          <w:color w:val="auto"/>
        </w:rPr>
      </w:pPr>
    </w:p>
    <w:p>
      <w:pPr>
        <w:spacing w:after="0"/>
        <w:tabs>
          <w:tab w:leader="none" w:pos="8860" w:val="left"/>
          <w:tab w:leader="none" w:pos="9580" w:val="left"/>
        </w:tabs>
        <w:rPr>
          <w:sz w:val="20"/>
          <w:szCs w:val="20"/>
          <w:color w:val="auto"/>
        </w:rPr>
      </w:pPr>
      <w:r>
        <w:rPr>
          <w:rFonts w:ascii="Arial" w:cs="Arial" w:eastAsia="Arial" w:hAnsi="Arial"/>
          <w:sz w:val="17"/>
          <w:szCs w:val="17"/>
          <w:color w:val="auto"/>
        </w:rPr>
        <w:t>the most recent Interest Payment Date to which interest has been paid or duly provided for,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in each year,</w:t>
      </w:r>
    </w:p>
    <w:p>
      <w:pPr>
        <w:spacing w:after="0" w:line="9" w:lineRule="exact"/>
        <w:rPr>
          <w:sz w:val="20"/>
          <w:szCs w:val="20"/>
          <w:color w:val="auto"/>
        </w:rPr>
      </w:pPr>
    </w:p>
    <w:p>
      <w:pPr>
        <w:spacing w:after="0"/>
        <w:tabs>
          <w:tab w:leader="none" w:pos="1280" w:val="left"/>
          <w:tab w:leader="none" w:pos="2900" w:val="left"/>
        </w:tabs>
        <w:rPr>
          <w:sz w:val="20"/>
          <w:szCs w:val="20"/>
          <w:color w:val="auto"/>
        </w:rPr>
      </w:pPr>
      <w:r>
        <w:rPr>
          <w:rFonts w:ascii="Arial" w:cs="Arial" w:eastAsia="Arial" w:hAnsi="Arial"/>
          <w:sz w:val="18"/>
          <w:szCs w:val="18"/>
          <w:color w:val="auto"/>
        </w:rPr>
        <w:t>commencing</w:t>
      </w:r>
      <w:r>
        <w:rPr>
          <w:sz w:val="20"/>
          <w:szCs w:val="20"/>
          <w:color w:val="auto"/>
        </w:rPr>
        <w:tab/>
      </w:r>
      <w:r>
        <w:rPr>
          <w:rFonts w:ascii="Arial" w:cs="Arial" w:eastAsia="Arial" w:hAnsi="Arial"/>
          <w:sz w:val="18"/>
          <w:szCs w:val="18"/>
          <w:color w:val="auto"/>
        </w:rPr>
        <w:t>, 20 at the rate of</w:t>
      </w:r>
      <w:r>
        <w:rPr>
          <w:sz w:val="20"/>
          <w:szCs w:val="20"/>
          <w:color w:val="auto"/>
        </w:rPr>
        <w:tab/>
      </w:r>
      <w:r>
        <w:rPr>
          <w:rFonts w:ascii="Arial" w:cs="Arial" w:eastAsia="Arial" w:hAnsi="Arial"/>
          <w:sz w:val="16"/>
          <w:szCs w:val="16"/>
          <w:color w:val="auto"/>
        </w:rPr>
        <w:t>% per annum, until the principal hereof is paid or made available for payment.</w:t>
      </w:r>
    </w:p>
    <w:p>
      <w:pPr>
        <w:sectPr>
          <w:pgSz w:w="11900" w:h="16838" w:orient="portrait"/>
          <w:cols w:equalWidth="0" w:num="1">
            <w:col w:w="11360"/>
          </w:cols>
          <w:pgMar w:left="240" w:top="584" w:right="299" w:bottom="0" w:gutter="0" w:footer="0" w:header="0"/>
          <w:type w:val="continuous"/>
        </w:sectPr>
      </w:pPr>
    </w:p>
    <w:p>
      <w:pPr>
        <w:spacing w:after="0" w:line="21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interest so payable, and punctually paid or duly provided for, on any Interest Payment Date will, as provided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be paid to the Person in whose name this Security (or one or more Predecessor Securities) is registered at the close of business on the Record Date</w:t>
      </w:r>
    </w:p>
    <w:p>
      <w:pPr>
        <w:ind w:right="60"/>
        <w:spacing w:after="0" w:line="252" w:lineRule="auto"/>
        <w:rPr>
          <w:sz w:val="20"/>
          <w:szCs w:val="20"/>
          <w:color w:val="auto"/>
        </w:rPr>
      </w:pPr>
      <w:r>
        <w:rPr>
          <w:rFonts w:ascii="Arial" w:cs="Arial" w:eastAsia="Arial" w:hAnsi="Arial"/>
          <w:sz w:val="18"/>
          <w:szCs w:val="18"/>
          <w:color w:val="auto"/>
        </w:rPr>
        <w:t>for such interest, which shall be or ,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19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Unless the certificate of authentication hereon has been executed by the Trustee referred to on the reverse hereof by manual</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 this Security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Issuer has caused this instrument to be duly executed under its corporate seal.</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7"/>
          <w:szCs w:val="17"/>
          <w:color w:val="auto"/>
        </w:rPr>
        <w:t>THE BANK OF NEW YORK MELLON, as Trustee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REVERSE OF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Security is one of a duly authorized issue of securities of the Issuer (herein called the “Securities”), issued and to be issued in one or</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more series under an Indenture, dated as of , 20 , as supplemented by a Supplemental Indenture dated , 20 (as so supplemented, herein called the “Indenture”), between the Issuer and The Bank of New York Mellon,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Issuer, the Trustee and the Holders of the Securities and of the terms upon which the Securities are, and are to be, authenticated and delivered. This Security is one of the series designated on the face hereof, initially limited in aggregate principal amount to $ .</w:t>
      </w:r>
    </w:p>
    <w:p>
      <w:pPr>
        <w:spacing w:after="0" w:line="16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Securities of this series are subject to redemption at the Issuer’s option, at any time and from time to time,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 Redemption Price equal to .</w:t>
      </w:r>
    </w:p>
    <w:p>
      <w:pPr>
        <w:sectPr>
          <w:pgSz w:w="11900" w:h="16838" w:orient="portrait"/>
          <w:cols w:equalWidth="0" w:num="1">
            <w:col w:w="11360"/>
          </w:cols>
          <w:pgMar w:left="240" w:top="584" w:right="299" w:bottom="0" w:gutter="0" w:footer="0" w:header="0"/>
          <w:type w:val="continuous"/>
        </w:sectPr>
      </w:pPr>
    </w:p>
    <w:bookmarkStart w:id="67" w:name="page68"/>
    <w:bookmarkEnd w:id="67"/>
    <w:p>
      <w:pPr>
        <w:ind w:left="6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(unless a shorter period shall be satisfactory to the Trustee) to each registered Holder of the Securities to be redeemed. Unless the Issuer defaults in payment of the redemption price, on and after the Redemption Date, interest will cease to accrue on the Securities or portions of the Securities called for redemption. If fewer than all of the Securities are to be redeemed, the Securities to be redeemed will be selected in accordance with the policies and procedures of the Depositary.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by the Issuer prior to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Securities of this series shall occur and be continuing, the principal of the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series may be declared due and payable in the manner and with the effect provided in the Indenture.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Amendment, Modification and Waiver</w:t>
      </w:r>
      <w:r>
        <w:rPr>
          <w:rFonts w:ascii="Arial" w:cs="Arial" w:eastAsia="Arial" w:hAnsi="Arial"/>
          <w:sz w:val="18"/>
          <w:szCs w:val="18"/>
          <w:color w:val="auto"/>
        </w:rPr>
        <w:t>. The Indenture permits, with certain exceptions as therein provided, the amendment thereof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rights and obligations of the Issuer and the rights of the Holders of the Securities of each series to be affected under the Indenture at any time by the Issuer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Issuer with certain provisions of the Indenture and certain past defaults under the Indenture and their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Denominations, Transfer and Exchange</w:t>
      </w:r>
      <w:r>
        <w:rPr>
          <w:rFonts w:ascii="Arial" w:cs="Arial" w:eastAsia="Arial" w:hAnsi="Arial"/>
          <w:sz w:val="17"/>
          <w:szCs w:val="17"/>
          <w:color w:val="auto"/>
        </w:rPr>
        <w:t>. The Securities of this series are issuable only in registered form without coupons in denominations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 and in integral multiples of $1,000 in excess thereof. As provided in the Indenture and subject to certain limitations therein set forth, Securities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are exchangeable for a like aggregate principal amount of Securities of like tenor of a different authorized denomination, as requested by the 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surrendering the same.</w:t>
      </w:r>
    </w:p>
    <w:p>
      <w:pPr>
        <w:spacing w:after="0" w:line="21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Issuer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tax or other governmental charge payable in connection therewith.</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this Security for registration of transfer, the Issuer, the Trustee and any agent of the Issuer 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Trustee may treat the Person in whose name this Security is registered as the owner hereof for all purposes, whether or not this Security be overdue, and neither the Issuer, the Trustee nor any such agent shall be affected by notice to the contrary.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The Indenture and this Security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conflicts of law rules of said State.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and not defined herein shall have the meanings assigned to them in the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increases or decreases in this Global Security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760" w:type="dxa"/>
            <w:vAlign w:val="bottom"/>
            <w:gridSpan w:val="2"/>
            <w:vMerge w:val="continue"/>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Global Security</w:t>
            </w:r>
          </w:p>
        </w:tc>
        <w:tc>
          <w:tcPr>
            <w:tcW w:w="1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 of</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following each</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vMerge w:val="continue"/>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this Global</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Security</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Global Security</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of Trustee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RECKSON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Indenture Dated as of October 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$500,000,000 3.250%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9160" w:type="dxa"/>
            <w:vAlign w:val="bottom"/>
          </w:tcPr>
          <w:p>
            <w:pPr>
              <w:ind w:left="3680"/>
              <w:spacing w:after="0"/>
              <w:rPr>
                <w:sz w:val="20"/>
                <w:szCs w:val="20"/>
                <w:color w:val="auto"/>
              </w:rPr>
            </w:pPr>
            <w:r>
              <w:rPr>
                <w:rFonts w:ascii="Arial" w:cs="Arial" w:eastAsia="Arial" w:hAnsi="Arial"/>
                <w:sz w:val="18"/>
                <w:szCs w:val="18"/>
                <w:color w:val="auto"/>
              </w:rPr>
              <w:t>TABLE OF CONTENTS</w:t>
            </w: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0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120" w:type="dxa"/>
            <w:vAlign w:val="bottom"/>
          </w:tcPr>
          <w:p>
            <w:pPr>
              <w:spacing w:after="0"/>
              <w:rPr>
                <w:sz w:val="20"/>
                <w:szCs w:val="20"/>
                <w:color w:val="auto"/>
              </w:rPr>
            </w:pPr>
            <w:r>
              <w:rPr>
                <w:rFonts w:ascii="Arial" w:cs="Arial" w:eastAsia="Arial" w:hAnsi="Arial"/>
                <w:sz w:val="18"/>
                <w:szCs w:val="18"/>
                <w:color w:val="auto"/>
              </w:rPr>
              <w:t>Section 1.1</w:t>
            </w:r>
          </w:p>
        </w:tc>
        <w:tc>
          <w:tcPr>
            <w:tcW w:w="9160" w:type="dxa"/>
            <w:vAlign w:val="bottom"/>
          </w:tcPr>
          <w:p>
            <w:pPr>
              <w:ind w:left="320"/>
              <w:spacing w:after="0"/>
              <w:rPr>
                <w:sz w:val="20"/>
                <w:szCs w:val="20"/>
                <w:color w:val="auto"/>
              </w:rPr>
            </w:pPr>
            <w:r>
              <w:rPr>
                <w:rFonts w:ascii="Arial" w:cs="Arial" w:eastAsia="Arial" w:hAnsi="Arial"/>
                <w:sz w:val="18"/>
                <w:szCs w:val="18"/>
                <w:color w:val="auto"/>
              </w:rPr>
              <w:t>Definitions of Terms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1.2</w:t>
            </w:r>
          </w:p>
        </w:tc>
        <w:tc>
          <w:tcPr>
            <w:tcW w:w="9160" w:type="dxa"/>
            <w:vAlign w:val="bottom"/>
          </w:tcPr>
          <w:p>
            <w:pPr>
              <w:ind w:left="320"/>
              <w:spacing w:after="0"/>
              <w:rPr>
                <w:sz w:val="20"/>
                <w:szCs w:val="20"/>
                <w:color w:val="auto"/>
              </w:rPr>
            </w:pPr>
            <w:r>
              <w:rPr>
                <w:rFonts w:ascii="Arial" w:cs="Arial" w:eastAsia="Arial" w:hAnsi="Arial"/>
                <w:sz w:val="18"/>
                <w:szCs w:val="18"/>
                <w:color w:val="auto"/>
              </w:rPr>
              <w:t>Section References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NOTES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2.1</w:t>
            </w:r>
          </w:p>
        </w:tc>
        <w:tc>
          <w:tcPr>
            <w:tcW w:w="9160" w:type="dxa"/>
            <w:vAlign w:val="bottom"/>
          </w:tcPr>
          <w:p>
            <w:pPr>
              <w:ind w:left="320"/>
              <w:spacing w:after="0"/>
              <w:rPr>
                <w:sz w:val="20"/>
                <w:szCs w:val="20"/>
                <w:color w:val="auto"/>
              </w:rPr>
            </w:pPr>
            <w:r>
              <w:rPr>
                <w:rFonts w:ascii="Arial" w:cs="Arial" w:eastAsia="Arial" w:hAnsi="Arial"/>
                <w:sz w:val="18"/>
                <w:szCs w:val="18"/>
                <w:color w:val="auto"/>
              </w:rPr>
              <w:t>Designation of Notes and Establishment of Form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2.2</w:t>
            </w:r>
          </w:p>
        </w:tc>
        <w:tc>
          <w:tcPr>
            <w:tcW w:w="9160" w:type="dxa"/>
            <w:vAlign w:val="bottom"/>
          </w:tcPr>
          <w:p>
            <w:pPr>
              <w:ind w:left="320"/>
              <w:spacing w:after="0"/>
              <w:rPr>
                <w:sz w:val="20"/>
                <w:szCs w:val="20"/>
                <w:color w:val="auto"/>
              </w:rPr>
            </w:pPr>
            <w:r>
              <w:rPr>
                <w:rFonts w:ascii="Arial" w:cs="Arial" w:eastAsia="Arial" w:hAnsi="Arial"/>
                <w:sz w:val="18"/>
                <w:szCs w:val="18"/>
                <w:color w:val="auto"/>
              </w:rPr>
              <w:t>Ranking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2.3</w:t>
            </w:r>
          </w:p>
        </w:tc>
        <w:tc>
          <w:tcPr>
            <w:tcW w:w="9160" w:type="dxa"/>
            <w:vAlign w:val="bottom"/>
          </w:tcPr>
          <w:p>
            <w:pPr>
              <w:ind w:left="320"/>
              <w:spacing w:after="0"/>
              <w:rPr>
                <w:sz w:val="20"/>
                <w:szCs w:val="20"/>
                <w:color w:val="auto"/>
              </w:rPr>
            </w:pPr>
            <w:r>
              <w:rPr>
                <w:rFonts w:ascii="Arial" w:cs="Arial" w:eastAsia="Arial" w:hAnsi="Arial"/>
                <w:sz w:val="18"/>
                <w:szCs w:val="18"/>
                <w:color w:val="auto"/>
              </w:rPr>
              <w:t>Amount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2.4</w:t>
            </w:r>
          </w:p>
        </w:tc>
        <w:tc>
          <w:tcPr>
            <w:tcW w:w="9160" w:type="dxa"/>
            <w:vAlign w:val="bottom"/>
          </w:tcPr>
          <w:p>
            <w:pPr>
              <w:ind w:left="320"/>
              <w:spacing w:after="0"/>
              <w:rPr>
                <w:sz w:val="20"/>
                <w:szCs w:val="20"/>
                <w:color w:val="auto"/>
              </w:rPr>
            </w:pPr>
            <w:r>
              <w:rPr>
                <w:rFonts w:ascii="Arial" w:cs="Arial" w:eastAsia="Arial" w:hAnsi="Arial"/>
                <w:sz w:val="18"/>
                <w:szCs w:val="18"/>
                <w:color w:val="auto"/>
              </w:rPr>
              <w:t>Stated Maturity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2.5</w:t>
            </w:r>
          </w:p>
        </w:tc>
        <w:tc>
          <w:tcPr>
            <w:tcW w:w="9160" w:type="dxa"/>
            <w:vAlign w:val="bottom"/>
          </w:tcPr>
          <w:p>
            <w:pPr>
              <w:ind w:left="320"/>
              <w:spacing w:after="0"/>
              <w:rPr>
                <w:sz w:val="20"/>
                <w:szCs w:val="20"/>
                <w:color w:val="auto"/>
              </w:rPr>
            </w:pPr>
            <w:r>
              <w:rPr>
                <w:rFonts w:ascii="Arial" w:cs="Arial" w:eastAsia="Arial" w:hAnsi="Arial"/>
                <w:sz w:val="18"/>
                <w:szCs w:val="18"/>
                <w:color w:val="auto"/>
              </w:rPr>
              <w:t>Form, Denomination and Currency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2.6</w:t>
            </w:r>
          </w:p>
        </w:tc>
        <w:tc>
          <w:tcPr>
            <w:tcW w:w="9160" w:type="dxa"/>
            <w:vAlign w:val="bottom"/>
          </w:tcPr>
          <w:p>
            <w:pPr>
              <w:ind w:left="320"/>
              <w:spacing w:after="0"/>
              <w:rPr>
                <w:sz w:val="20"/>
                <w:szCs w:val="20"/>
                <w:color w:val="auto"/>
              </w:rPr>
            </w:pPr>
            <w:r>
              <w:rPr>
                <w:rFonts w:ascii="Arial" w:cs="Arial" w:eastAsia="Arial" w:hAnsi="Arial"/>
                <w:sz w:val="18"/>
                <w:szCs w:val="18"/>
                <w:color w:val="auto"/>
              </w:rPr>
              <w:t>Designation of Depositary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2.7</w:t>
            </w:r>
          </w:p>
        </w:tc>
        <w:tc>
          <w:tcPr>
            <w:tcW w:w="9160" w:type="dxa"/>
            <w:vAlign w:val="bottom"/>
          </w:tcPr>
          <w:p>
            <w:pPr>
              <w:ind w:left="320"/>
              <w:spacing w:after="0"/>
              <w:rPr>
                <w:sz w:val="20"/>
                <w:szCs w:val="20"/>
                <w:color w:val="auto"/>
              </w:rPr>
            </w:pPr>
            <w:r>
              <w:rPr>
                <w:rFonts w:ascii="Arial" w:cs="Arial" w:eastAsia="Arial" w:hAnsi="Arial"/>
                <w:sz w:val="18"/>
                <w:szCs w:val="18"/>
                <w:color w:val="auto"/>
              </w:rPr>
              <w:t>No Sinking Fund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2.8</w:t>
            </w:r>
          </w:p>
        </w:tc>
        <w:tc>
          <w:tcPr>
            <w:tcW w:w="9160" w:type="dxa"/>
            <w:vAlign w:val="bottom"/>
          </w:tcPr>
          <w:p>
            <w:pPr>
              <w:ind w:left="320"/>
              <w:spacing w:after="0"/>
              <w:rPr>
                <w:sz w:val="20"/>
                <w:szCs w:val="20"/>
                <w:color w:val="auto"/>
              </w:rPr>
            </w:pPr>
            <w:r>
              <w:rPr>
                <w:rFonts w:ascii="Arial" w:cs="Arial" w:eastAsia="Arial" w:hAnsi="Arial"/>
                <w:sz w:val="18"/>
                <w:szCs w:val="18"/>
                <w:color w:val="auto"/>
              </w:rPr>
              <w:t>Exchange and Registration on Transfer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DISCHARGE; DEFEASANCE AND COVENANT DEFEASANCE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3.1</w:t>
            </w:r>
          </w:p>
        </w:tc>
        <w:tc>
          <w:tcPr>
            <w:tcW w:w="916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3.2</w:t>
            </w:r>
          </w:p>
        </w:tc>
        <w:tc>
          <w:tcPr>
            <w:tcW w:w="9160" w:type="dxa"/>
            <w:vAlign w:val="bottom"/>
          </w:tcPr>
          <w:p>
            <w:pPr>
              <w:ind w:left="320"/>
              <w:spacing w:after="0"/>
              <w:rPr>
                <w:sz w:val="20"/>
                <w:szCs w:val="20"/>
                <w:color w:val="auto"/>
              </w:rPr>
            </w:pPr>
            <w:r>
              <w:rPr>
                <w:rFonts w:ascii="Arial" w:cs="Arial" w:eastAsia="Arial" w:hAnsi="Arial"/>
                <w:sz w:val="18"/>
                <w:szCs w:val="18"/>
                <w:color w:val="auto"/>
              </w:rPr>
              <w:t>Defeasance and Covenant Defeasance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EVENTS OF DEFAULT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4.1</w:t>
            </w:r>
          </w:p>
        </w:tc>
        <w:tc>
          <w:tcPr>
            <w:tcW w:w="916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COVENANTS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5.1</w:t>
            </w:r>
          </w:p>
        </w:tc>
        <w:tc>
          <w:tcPr>
            <w:tcW w:w="9160" w:type="dxa"/>
            <w:vAlign w:val="bottom"/>
          </w:tcPr>
          <w:p>
            <w:pPr>
              <w:ind w:left="320"/>
              <w:spacing w:after="0"/>
              <w:rPr>
                <w:sz w:val="20"/>
                <w:szCs w:val="20"/>
                <w:color w:val="auto"/>
              </w:rPr>
            </w:pPr>
            <w:r>
              <w:rPr>
                <w:rFonts w:ascii="Arial" w:cs="Arial" w:eastAsia="Arial" w:hAnsi="Arial"/>
                <w:sz w:val="18"/>
                <w:szCs w:val="18"/>
                <w:color w:val="auto"/>
              </w:rPr>
              <w:t>Limitations on Incurrence of Debt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5.2</w:t>
            </w:r>
          </w:p>
        </w:tc>
        <w:tc>
          <w:tcPr>
            <w:tcW w:w="9160" w:type="dxa"/>
            <w:vAlign w:val="bottom"/>
          </w:tcPr>
          <w:p>
            <w:pPr>
              <w:ind w:left="320"/>
              <w:spacing w:after="0"/>
              <w:rPr>
                <w:sz w:val="20"/>
                <w:szCs w:val="20"/>
                <w:color w:val="auto"/>
              </w:rPr>
            </w:pPr>
            <w:r>
              <w:rPr>
                <w:rFonts w:ascii="Arial" w:cs="Arial" w:eastAsia="Arial" w:hAnsi="Arial"/>
                <w:sz w:val="18"/>
                <w:szCs w:val="18"/>
                <w:color w:val="auto"/>
              </w:rPr>
              <w:t>Maintenance of Total Unencumbered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5.3</w:t>
            </w:r>
          </w:p>
        </w:tc>
        <w:tc>
          <w:tcPr>
            <w:tcW w:w="9160" w:type="dxa"/>
            <w:vAlign w:val="bottom"/>
          </w:tcPr>
          <w:p>
            <w:pPr>
              <w:ind w:left="320"/>
              <w:spacing w:after="0"/>
              <w:rPr>
                <w:sz w:val="20"/>
                <w:szCs w:val="20"/>
                <w:color w:val="auto"/>
              </w:rPr>
            </w:pPr>
            <w:r>
              <w:rPr>
                <w:rFonts w:ascii="Arial" w:cs="Arial" w:eastAsia="Arial" w:hAnsi="Arial"/>
                <w:sz w:val="18"/>
                <w:szCs w:val="18"/>
                <w:color w:val="auto"/>
              </w:rPr>
              <w:t>Provision of Financial Information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5.4</w:t>
            </w:r>
          </w:p>
        </w:tc>
        <w:tc>
          <w:tcPr>
            <w:tcW w:w="9160" w:type="dxa"/>
            <w:vAlign w:val="bottom"/>
          </w:tcPr>
          <w:p>
            <w:pPr>
              <w:ind w:left="320"/>
              <w:spacing w:after="0"/>
              <w:rPr>
                <w:sz w:val="20"/>
                <w:szCs w:val="20"/>
                <w:color w:val="auto"/>
              </w:rPr>
            </w:pPr>
            <w:r>
              <w:rPr>
                <w:rFonts w:ascii="Arial" w:cs="Arial" w:eastAsia="Arial" w:hAnsi="Arial"/>
                <w:sz w:val="18"/>
                <w:szCs w:val="18"/>
                <w:color w:val="auto"/>
              </w:rPr>
              <w:t>Merger, Consolidation and Sale of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5.5</w:t>
            </w:r>
          </w:p>
        </w:tc>
        <w:tc>
          <w:tcPr>
            <w:tcW w:w="9160" w:type="dxa"/>
            <w:vAlign w:val="bottom"/>
          </w:tcPr>
          <w:p>
            <w:pPr>
              <w:ind w:left="320"/>
              <w:spacing w:after="0"/>
              <w:rPr>
                <w:sz w:val="20"/>
                <w:szCs w:val="20"/>
                <w:color w:val="auto"/>
              </w:rPr>
            </w:pPr>
            <w:r>
              <w:rPr>
                <w:rFonts w:ascii="Arial" w:cs="Arial" w:eastAsia="Arial" w:hAnsi="Arial"/>
                <w:sz w:val="18"/>
                <w:szCs w:val="18"/>
                <w:color w:val="auto"/>
              </w:rPr>
              <w:t>Waiver of Certain Covenants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REDEMPTION AND REPURCHASES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6.1</w:t>
            </w:r>
          </w:p>
        </w:tc>
        <w:tc>
          <w:tcPr>
            <w:tcW w:w="916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SUPPLEMENTAL INDENTURES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7.1</w:t>
            </w:r>
          </w:p>
        </w:tc>
        <w:tc>
          <w:tcPr>
            <w:tcW w:w="9160" w:type="dxa"/>
            <w:vAlign w:val="bottom"/>
          </w:tcPr>
          <w:p>
            <w:pPr>
              <w:ind w:left="320"/>
              <w:spacing w:after="0"/>
              <w:rPr>
                <w:sz w:val="20"/>
                <w:szCs w:val="20"/>
                <w:color w:val="auto"/>
              </w:rPr>
            </w:pPr>
            <w:r>
              <w:rPr>
                <w:rFonts w:ascii="Arial" w:cs="Arial" w:eastAsia="Arial" w:hAnsi="Arial"/>
                <w:sz w:val="18"/>
                <w:szCs w:val="18"/>
                <w:color w:val="auto"/>
              </w:rPr>
              <w:t>Without Consent of Holders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GUARANTEES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8.1</w:t>
            </w:r>
          </w:p>
        </w:tc>
        <w:tc>
          <w:tcPr>
            <w:tcW w:w="9160" w:type="dxa"/>
            <w:vAlign w:val="bottom"/>
          </w:tcPr>
          <w:p>
            <w:pPr>
              <w:ind w:left="320"/>
              <w:spacing w:after="0"/>
              <w:rPr>
                <w:sz w:val="20"/>
                <w:szCs w:val="20"/>
                <w:color w:val="auto"/>
              </w:rPr>
            </w:pPr>
            <w:r>
              <w:rPr>
                <w:rFonts w:ascii="Arial" w:cs="Arial" w:eastAsia="Arial" w:hAnsi="Arial"/>
                <w:sz w:val="18"/>
                <w:szCs w:val="18"/>
                <w:color w:val="auto"/>
              </w:rPr>
              <w:t>Guarantee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8.2</w:t>
            </w:r>
          </w:p>
        </w:tc>
        <w:tc>
          <w:tcPr>
            <w:tcW w:w="9160" w:type="dxa"/>
            <w:vAlign w:val="bottom"/>
          </w:tcPr>
          <w:p>
            <w:pPr>
              <w:ind w:left="320"/>
              <w:spacing w:after="0"/>
              <w:rPr>
                <w:sz w:val="20"/>
                <w:szCs w:val="20"/>
                <w:color w:val="auto"/>
              </w:rPr>
            </w:pPr>
            <w:r>
              <w:rPr>
                <w:rFonts w:ascii="Arial" w:cs="Arial" w:eastAsia="Arial" w:hAnsi="Arial"/>
                <w:sz w:val="18"/>
                <w:szCs w:val="18"/>
                <w:color w:val="auto"/>
              </w:rPr>
              <w:t>Limitation on Guarantor Liability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8.3</w:t>
            </w:r>
          </w:p>
        </w:tc>
        <w:tc>
          <w:tcPr>
            <w:tcW w:w="3780" w:type="dxa"/>
            <w:vAlign w:val="bottom"/>
          </w:tcPr>
          <w:p>
            <w:pPr>
              <w:ind w:left="320"/>
              <w:spacing w:after="0"/>
              <w:rPr>
                <w:sz w:val="20"/>
                <w:szCs w:val="20"/>
                <w:color w:val="auto"/>
              </w:rPr>
            </w:pPr>
            <w:r>
              <w:rPr>
                <w:rFonts w:ascii="Arial" w:cs="Arial" w:eastAsia="Arial" w:hAnsi="Arial"/>
                <w:sz w:val="18"/>
                <w:szCs w:val="18"/>
                <w:color w:val="auto"/>
              </w:rPr>
              <w:t>Execution and Delivery of Guarantee</w:t>
            </w:r>
          </w:p>
        </w:tc>
        <w:tc>
          <w:tcPr>
            <w:tcW w:w="6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8.4</w:t>
            </w:r>
          </w:p>
        </w:tc>
        <w:tc>
          <w:tcPr>
            <w:tcW w:w="3780" w:type="dxa"/>
            <w:vAlign w:val="bottom"/>
          </w:tcPr>
          <w:p>
            <w:pPr>
              <w:ind w:left="320"/>
              <w:spacing w:after="0"/>
              <w:rPr>
                <w:sz w:val="20"/>
                <w:szCs w:val="20"/>
                <w:color w:val="auto"/>
              </w:rPr>
            </w:pPr>
            <w:r>
              <w:rPr>
                <w:rFonts w:ascii="Arial" w:cs="Arial" w:eastAsia="Arial" w:hAnsi="Arial"/>
                <w:sz w:val="18"/>
                <w:szCs w:val="18"/>
                <w:color w:val="auto"/>
              </w:rPr>
              <w:t>Release of Guarantors</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56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4900" w:type="dxa"/>
            <w:vAlign w:val="bottom"/>
            <w:tcBorders>
              <w:bottom w:val="single" w:sz="8" w:color="808080"/>
            </w:tcBorders>
            <w:gridSpan w:val="2"/>
          </w:tcPr>
          <w:p>
            <w:pPr>
              <w:spacing w:after="0"/>
              <w:rPr>
                <w:sz w:val="11"/>
                <w:szCs w:val="11"/>
                <w:color w:val="auto"/>
              </w:rPr>
            </w:pPr>
          </w:p>
        </w:tc>
        <w:tc>
          <w:tcPr>
            <w:tcW w:w="6560" w:type="dxa"/>
            <w:vAlign w:val="bottom"/>
            <w:tcBorders>
              <w:bottom w:val="single" w:sz="8" w:color="808080"/>
            </w:tcBorders>
          </w:tcPr>
          <w:p>
            <w:pPr>
              <w:spacing w:after="0"/>
              <w:rPr>
                <w:sz w:val="11"/>
                <w:szCs w:val="11"/>
                <w:color w:val="auto"/>
              </w:rPr>
            </w:pPr>
          </w:p>
        </w:tc>
      </w:tr>
      <w:tr>
        <w:trPr>
          <w:trHeight w:val="78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9.1</w:t>
            </w:r>
          </w:p>
        </w:tc>
        <w:tc>
          <w:tcPr>
            <w:tcW w:w="3780" w:type="dxa"/>
            <w:vAlign w:val="bottom"/>
          </w:tcPr>
          <w:p>
            <w:pPr>
              <w:ind w:left="320"/>
              <w:spacing w:after="0"/>
              <w:rPr>
                <w:sz w:val="20"/>
                <w:szCs w:val="20"/>
                <w:color w:val="auto"/>
              </w:rPr>
            </w:pPr>
            <w:r>
              <w:rPr>
                <w:rFonts w:ascii="Arial" w:cs="Arial" w:eastAsia="Arial" w:hAnsi="Arial"/>
                <w:sz w:val="18"/>
                <w:szCs w:val="18"/>
                <w:color w:val="auto"/>
              </w:rPr>
              <w:t>The Trustee</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Annex A: Form of Global Note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FIRST SUPPLEMENTAL INDENTURE, dated as of October 5, 2017 (this “</w:t>
      </w:r>
      <w:r>
        <w:rPr>
          <w:rFonts w:ascii="Arial" w:cs="Arial" w:eastAsia="Arial" w:hAnsi="Arial"/>
          <w:sz w:val="17"/>
          <w:szCs w:val="17"/>
          <w:u w:val="single" w:color="auto"/>
          <w:color w:val="auto"/>
        </w:rPr>
        <w:t>First Supplemental Indenture</w:t>
      </w:r>
      <w:r>
        <w:rPr>
          <w:rFonts w:ascii="Arial" w:cs="Arial" w:eastAsia="Arial" w:hAnsi="Arial"/>
          <w:sz w:val="17"/>
          <w:szCs w:val="17"/>
          <w:color w:val="auto"/>
        </w:rPr>
        <w:t>”), among SL GREEN OPERATING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PARTNERSHIP, L.P., a limited partnership duly organized and existing under the laws of the State of Delaware (hereinafter called the “</w:t>
      </w:r>
      <w:r>
        <w:rPr>
          <w:rFonts w:ascii="Arial" w:cs="Arial" w:eastAsia="Arial" w:hAnsi="Arial"/>
          <w:sz w:val="16"/>
          <w:szCs w:val="16"/>
          <w:u w:val="single" w:color="auto"/>
          <w:color w:val="auto"/>
        </w:rPr>
        <w:t>Issuer</w:t>
      </w:r>
      <w:r>
        <w:rPr>
          <w:rFonts w:ascii="Arial" w:cs="Arial" w:eastAsia="Arial" w:hAnsi="Arial"/>
          <w:sz w:val="16"/>
          <w:szCs w:val="16"/>
          <w:color w:val="auto"/>
        </w:rPr>
        <w:t>”), SL GREEN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REALTY CORP., a corporation duly organized and existing under the laws of the State of Maryland (hereinafter called “</w:t>
      </w:r>
      <w:r>
        <w:rPr>
          <w:rFonts w:ascii="Arial" w:cs="Arial" w:eastAsia="Arial" w:hAnsi="Arial"/>
          <w:sz w:val="17"/>
          <w:szCs w:val="17"/>
          <w:u w:val="single" w:color="auto"/>
          <w:color w:val="auto"/>
        </w:rPr>
        <w:t>SL Green</w:t>
      </w:r>
      <w:r>
        <w:rPr>
          <w:rFonts w:ascii="Arial" w:cs="Arial" w:eastAsia="Arial" w:hAnsi="Arial"/>
          <w:sz w:val="17"/>
          <w:szCs w:val="17"/>
          <w:color w:val="auto"/>
        </w:rPr>
        <w:t>”), and RECKSON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PARTNERSHIP, L.P., a limited partnership duly organized and existing under the laws of the State of Delaware (hereinafter called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Partnership</w:t>
      </w:r>
      <w:r>
        <w:rPr>
          <w:rFonts w:ascii="Arial" w:cs="Arial" w:eastAsia="Arial" w:hAnsi="Arial"/>
          <w:sz w:val="16"/>
          <w:szCs w:val="16"/>
          <w:color w:val="auto"/>
        </w:rPr>
        <w:t>,” and together with SL Green,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together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having its principal executive office located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420 Lexington Avenue, New York, NY 10170, and The Bank of New York Mellon (hereinafter called the “</w:t>
      </w:r>
      <w:r>
        <w:rPr>
          <w:rFonts w:ascii="Arial" w:cs="Arial" w:eastAsia="Arial" w:hAnsi="Arial"/>
          <w:sz w:val="17"/>
          <w:szCs w:val="17"/>
          <w:u w:val="single" w:color="auto"/>
          <w:color w:val="auto"/>
        </w:rPr>
        <w:t>Trustee</w:t>
      </w:r>
      <w:r>
        <w:rPr>
          <w:rFonts w:ascii="Arial" w:cs="Arial" w:eastAsia="Arial" w:hAnsi="Arial"/>
          <w:sz w:val="17"/>
          <w:szCs w:val="17"/>
          <w:color w:val="auto"/>
        </w:rPr>
        <w:t>”), having its Corporate Trust Office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located at 500 Ross Street,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Pittsburgh, PA 15262, supplementing the Base Indenture, dated as of October 5, 2017, between the Issuer and the</w:t>
      </w:r>
    </w:p>
    <w:p>
      <w:pPr>
        <w:spacing w:after="0"/>
        <w:rPr>
          <w:sz w:val="20"/>
          <w:szCs w:val="20"/>
          <w:color w:val="auto"/>
        </w:rPr>
      </w:pPr>
      <w:r>
        <w:rPr>
          <w:rFonts w:ascii="Arial" w:cs="Arial" w:eastAsia="Arial" w:hAnsi="Arial"/>
          <w:sz w:val="18"/>
          <w:szCs w:val="18"/>
          <w:color w:val="auto"/>
        </w:rPr>
        <w:t>Trustee (the “</w:t>
      </w:r>
      <w:r>
        <w:rPr>
          <w:rFonts w:ascii="Arial" w:cs="Arial" w:eastAsia="Arial" w:hAnsi="Arial"/>
          <w:sz w:val="18"/>
          <w:szCs w:val="18"/>
          <w:u w:val="single" w:color="auto"/>
          <w:color w:val="auto"/>
        </w:rPr>
        <w:t>Base Indenture</w:t>
      </w:r>
      <w:r>
        <w:rPr>
          <w:rFonts w:ascii="Arial" w:cs="Arial" w:eastAsia="Arial" w:hAnsi="Arial"/>
          <w:sz w:val="18"/>
          <w:szCs w:val="18"/>
          <w:color w:val="auto"/>
        </w:rPr>
        <w:t>”).</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WHEREAS, the Base Indenture provides for the issuance of unsecured debentures, notes, bonds or other evidences of indebtedness (the “</w:t>
      </w:r>
      <w:r>
        <w:rPr>
          <w:rFonts w:ascii="Arial" w:cs="Arial" w:eastAsia="Arial" w:hAnsi="Arial"/>
          <w:sz w:val="17"/>
          <w:szCs w:val="17"/>
          <w:u w:val="single" w:color="auto"/>
          <w:color w:val="auto"/>
        </w:rPr>
        <w:t>Securities</w:t>
      </w:r>
      <w:r>
        <w:rPr>
          <w:rFonts w:ascii="Arial" w:cs="Arial" w:eastAsia="Arial" w:hAnsi="Arial"/>
          <w:sz w:val="17"/>
          <w:szCs w:val="17"/>
          <w:color w:val="auto"/>
        </w:rPr>
        <w:t>” as defined in the Base Indenture) in an unlimited aggregate principal amount to be issued from time to time in one or more series;</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WHEREAS, Section 14.01(r) of the Base Indenture provides that the Issuer and the Trustee may at any time and from time to time enter into one or more indentures supplemental thereto, to establish the form and terms of Securities of any series as permitted by Section 3.01 thereof;</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Section 3.01(m) of the Base Indenture provides that the guarantors and the terms of the guarantees shall be set forth in one of more indentures supplemental thereto, prior to the issuance of Securities of any series;</w:t>
      </w:r>
    </w:p>
    <w:p>
      <w:pPr>
        <w:spacing w:after="0" w:line="170"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WHEREAS, for lawful partnership purposes, the Issuer duly authorized the issuance of 3.250% Senior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 in an aggregate principal amount of $500,000,000, which will be fully and unconditionally guaranteed on a senior unsecured basis by the Guarantors (each a “</w:t>
      </w:r>
      <w:r>
        <w:rPr>
          <w:rFonts w:ascii="Arial" w:cs="Arial" w:eastAsia="Arial" w:hAnsi="Arial"/>
          <w:sz w:val="18"/>
          <w:szCs w:val="18"/>
          <w:u w:val="single" w:color="auto"/>
          <w:color w:val="auto"/>
        </w:rPr>
        <w:t>Guarantee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Issuer and Guarantors propose by this First Supplemental Indenture to supplement and amend in certain respects the Base Indenture insofar as it will apply only to the Notes and Guarantees (and not to any other series of Securities) to provide for the form, terms and other provisions of the Notes and Guarantees as a separate series of Securities to be issued under the Indenture; and</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Issuer and Guarantors, in accordance with its terms, have been done.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FIRST SUPPLEMENTAL INDENTURE WITNESSETH:</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That, in consideration of the premises and the purchase of the Notes by the Holders thereof for the equal and proportionate benefit of all of the present and future Holders of the Notes, each party agrees and covenants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 of Terms.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All capitalized terms contained in this First Supplemental Indenture shall, except as specifically provided for herein and except as the context may otherwise require, have the meanings given to such terms in the Base Indenture. In the event of any inconsistency between the Base Indenture and this First Supplemental Indenture, this First Supplemental Indenture shall govern.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1.01 of the Base Indenture is amended to add or replace, as the case may be, the following definitions in correct alphabetical order: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Service Charge</w:t>
      </w:r>
      <w:r>
        <w:rPr>
          <w:rFonts w:ascii="Arial" w:cs="Arial" w:eastAsia="Arial" w:hAnsi="Arial"/>
          <w:sz w:val="18"/>
          <w:szCs w:val="18"/>
          <w:color w:val="auto"/>
        </w:rPr>
        <w:t>” as of any date means the amount which is expensed in any 12-month period for interest on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United States Code, or any similar federal, state or non-U.S.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Indenture</w:t>
      </w:r>
      <w:r>
        <w:rPr>
          <w:rFonts w:ascii="Arial" w:cs="Arial" w:eastAsia="Arial" w:hAnsi="Arial"/>
          <w:sz w:val="18"/>
          <w:szCs w:val="18"/>
          <w:color w:val="auto"/>
        </w:rPr>
        <w:t>” has the meaning set forth in the preamble hereto.</w:t>
      </w:r>
    </w:p>
    <w:p>
      <w:pPr>
        <w:sectPr>
          <w:pgSz w:w="11900" w:h="16838" w:orient="portrait"/>
          <w:cols w:equalWidth="0" w:num="1">
            <w:col w:w="11460"/>
          </w:cols>
          <w:pgMar w:left="240" w:top="125" w:right="199" w:bottom="0" w:gutter="0" w:footer="0" w:header="0"/>
        </w:sectPr>
      </w:pPr>
    </w:p>
    <w:bookmarkStart w:id="70" w:name="page71"/>
    <w:bookmarkEnd w:id="70"/>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with respect to any Place of Payment or in The City of New York, means any day other than a Saturday, Sunday or other day on which banking institutions in such Place of Payment or in The City of New York are authorized or obligated by law, regulation or executive order to close.</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Available for Debt Service</w:t>
      </w:r>
      <w:r>
        <w:rPr>
          <w:rFonts w:ascii="Arial" w:cs="Arial" w:eastAsia="Arial" w:hAnsi="Arial"/>
          <w:sz w:val="18"/>
          <w:szCs w:val="18"/>
          <w:color w:val="auto"/>
        </w:rPr>
        <w:t>” for any period means Consolidated Net Income of the Issuer and its Subsidiaries (i) plus amounts which have been deducted for (a) interest on Indebtedness of the Issuer and its Subsidiaries, (b) provision for taxes of the Issuer and its Subsidiaries based on income, (c) amortization of debt discount, (d) depreciation and amortization, (e) the effect of any noncash charge resulting from a change in accounting principles in determining Consolidated Net Income for such period, (f) amortization of deferred charges, and (g) provisions for or realized losses on properties and (ii) less amounts which have been included for gains on properties.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for any period means the amount of consolidated net income (or loss) of the Issuer and its Subsidiaries for such period determined on a consolidated basis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Government Obligation held by the custodian for the account of the holder of a depository receipt, provided that (except as required by law) such custodian is not authorized to make any deduction from the amount payable to the holder of the depository receipt from any amount received by such custodian in respect of the Government Obligation or the specific payment of interest on or principal of Government Obligation evidenced by such depository receipt.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guarantee given by the relevant Guarantor in respect of the Notes pursuant to this First Supplemental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a Person or Persons in whose name a Note is registered on the Registrar’s books.</w:t>
      </w:r>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any indebtedness, whether or not contingent, in respect of (i) borrowed money evidenced by bonds, notes, debentures or similar instruments, (ii) indebtedness secured by any mortgage, pledge, lien, charge, encumbrance or any security interest existing on property, (iii) the reimbursement obligations, contingent or otherwise, in connection with any letters of credit actually issued or amounts representing the balance deferred and unpaid of the purchase price of any property except any such balance that constitutes an accrued expense or trade payable or (iv) any lease of property as lessee which would be reflected on a balance sheet as a capitalized lease in accordance with GAAP, in the case of items of indebtedness under (i) through</w:t>
      </w:r>
    </w:p>
    <w:p>
      <w:pPr>
        <w:spacing w:after="0" w:line="2" w:lineRule="exact"/>
        <w:rPr>
          <w:sz w:val="20"/>
          <w:szCs w:val="20"/>
          <w:color w:val="auto"/>
        </w:rPr>
      </w:pPr>
    </w:p>
    <w:p>
      <w:pPr>
        <w:ind w:right="360" w:firstLine="8"/>
        <w:spacing w:after="0" w:line="255" w:lineRule="auto"/>
        <w:tabs>
          <w:tab w:leader="none" w:pos="31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above to the extent that any such items (other than letters of credit) would appear as a liability on a balance sheet in accordance with GAAP, and also includes, to the extent not otherwise included, any obligation to be liable for, or to pay, as obligor, guarantor or otherwise (other than for purposes of collection in the ordinary course of business), indebtedness of another Person.</w:t>
      </w:r>
    </w:p>
    <w:p>
      <w:pPr>
        <w:spacing w:after="0" w:line="19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collectively, the Base Indenture and the First Supplemental Indenture, as the same may be amended or supplemented with respect to the Notes from time to time pursuant to the terms of the Indenture, and including the provisions of the Trust Indenture Act that are automatically deemed to be a part of this Indenture by operation of the Trust Indenture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means the Notes issued on October 5, 2017 and any Notes issued in replacement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April 15 and October 15 of each year, commencing April 15, 2018.</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A “</w:t>
      </w:r>
      <w:r>
        <w:rPr>
          <w:rFonts w:ascii="Arial" w:cs="Arial" w:eastAsia="Arial" w:hAnsi="Arial"/>
          <w:sz w:val="18"/>
          <w:szCs w:val="18"/>
          <w:u w:val="single" w:color="auto"/>
          <w:color w:val="auto"/>
        </w:rPr>
        <w:t>Capital Lease</w:t>
      </w:r>
      <w:r>
        <w:rPr>
          <w:rFonts w:ascii="Arial" w:cs="Arial" w:eastAsia="Arial" w:hAnsi="Arial"/>
          <w:sz w:val="18"/>
          <w:szCs w:val="18"/>
          <w:color w:val="auto"/>
        </w:rPr>
        <w:t>” is a lease to which the lessee is required concurrently to recognize the acquisition of an asset and the incurrence of a liability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3.250% Senior Notes due 2022 of the Issuer.</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w:t>
      </w:r>
      <w:r>
        <w:rPr>
          <w:rFonts w:ascii="Arial" w:cs="Arial" w:eastAsia="Arial" w:hAnsi="Arial"/>
          <w:sz w:val="18"/>
          <w:szCs w:val="18"/>
          <w:color w:val="auto"/>
        </w:rPr>
        <w:t>” means Indebtedness of the Issuer or any Subsidiary owing to any Subsidiary or the Issuer; provided that any such Indebtedness is made pursuant to an intercompany note and is subordinated in right of payment to the Notes; provided further that any disposition, pledge or transfer of any such Indebtedness to a Person (other than the Issuer or another Subsidiary) shall be deemed to be 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incurrence of such Indebtedness by the Issuer or a Subsidiary, as the case may be, and not Permitted Debt as defined herein.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each Interest Payment Date, the April 1 or October 1, as the case may be, immediately preceding such Interest Payment Date.</w:t>
      </w:r>
    </w:p>
    <w:p>
      <w:pPr>
        <w:sectPr>
          <w:pgSz w:w="11900" w:h="16838" w:orient="portrait"/>
          <w:cols w:equalWidth="0" w:num="1">
            <w:col w:w="11400"/>
          </w:cols>
          <w:pgMar w:left="240" w:top="125" w:right="259" w:bottom="0" w:gutter="0" w:footer="0" w:header="0"/>
        </w:sectPr>
      </w:pPr>
    </w:p>
    <w:bookmarkStart w:id="71" w:name="page72"/>
    <w:bookmarkEnd w:id="71"/>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with respect to the Notes or portion thereof to be redeemed, means the date fixed for such redemption by or pursuant to this Indenture or the Notes.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as of any date means the sum of (i) the Undepreciated Real Estate Assets, (ii) all other assets of the Issuer, and of its Subsidiaries determined at the applicable proportionate interest of the Issuer in each such Subsidiary, determined in accordance with GAAP (but excluding intangibles and accounts receivable) and (iii) the cost of any property of the Issuer, or any Subsidiary thereof, in which the Issuer, or such Subsidiary, as the case may be, has a firm, non-contingent purchase obligation.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Unencumbered Assets</w:t>
      </w:r>
      <w:r>
        <w:rPr>
          <w:rFonts w:ascii="Arial" w:cs="Arial" w:eastAsia="Arial" w:hAnsi="Arial"/>
          <w:sz w:val="18"/>
          <w:szCs w:val="18"/>
          <w:color w:val="auto"/>
        </w:rPr>
        <w:t>” means the sum of (i) those Undepreciated Real Estate Assets not subject to a Lien on a consolidated basis, (ii) all other assets of the Issuer, and of its Subsidiaries determined at the applicable proportionate interest of the Issuer in each such Subsidiary, which are not subject to a Lien determined in accordance with GAAP (but excluding intangibles and accounts receivable) and (iii) the cost of any property of the Issuer, or any Subsidiary thereof, in which the Issuer, or such Subsidiary, as the case may be, has a firm, non-contingent purchase obligation and which is not subject to a Lien; provided, however, that, all investments in any Person that is not consolidated with the Issuer for financial reporting purposes in accordance with GAAP shall be excluded from Total Unencumbered Assets.</w:t>
      </w:r>
    </w:p>
    <w:p>
      <w:pPr>
        <w:spacing w:after="0" w:line="19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Undepreciated Real Estate Assets</w:t>
      </w:r>
      <w:r>
        <w:rPr>
          <w:rFonts w:ascii="Arial" w:cs="Arial" w:eastAsia="Arial" w:hAnsi="Arial"/>
          <w:sz w:val="17"/>
          <w:szCs w:val="17"/>
          <w:color w:val="auto"/>
        </w:rPr>
        <w:t>” means as of any date the cost (original cost plus capital improvements) of real estate assets of the Issuer and its Subsidiaries on such date, before depreciation and amortization, determined on a consolidated basis in accordance with GAAP.</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Debt</w:t>
      </w:r>
      <w:r>
        <w:rPr>
          <w:rFonts w:ascii="Arial" w:cs="Arial" w:eastAsia="Arial" w:hAnsi="Arial"/>
          <w:sz w:val="18"/>
          <w:szCs w:val="18"/>
          <w:color w:val="auto"/>
        </w:rPr>
        <w:t>” means Indebtedness of the Issuer or any Subsidiary which is not secured by any mortgage, lien, charge, pledge or security interest of any kind upon any of the properties owned by the Issuer or any of its Subsidiaries.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Section References.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references contained in this First Supplemental Indenture are to sections in this First Supplemental Indenture unless otherwise indicated or the context otherwise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Designation of Notes and Establishment of Form</w:t>
      </w:r>
      <w:r>
        <w:rPr>
          <w:rFonts w:ascii="Arial" w:cs="Arial" w:eastAsia="Arial" w:hAnsi="Arial"/>
          <w:sz w:val="18"/>
          <w:szCs w:val="18"/>
          <w:color w:val="auto"/>
        </w:rPr>
        <w:t>. There shall be a series of Securities designated “3.250% Senior Notes due 2022” of the Issuer (referred to herein as the “Notes”). The form thereof shall be substantially as set forth in Annex A hereto, which is incorporated into and shall be deemed a part of this First Supplemental Indenture,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by the officers of the Issuer executing such Notes, as evidenced by their execution of the Notes.</w:t>
      </w:r>
    </w:p>
    <w:p>
      <w:pPr>
        <w:spacing w:after="0" w:line="19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Ranking</w:t>
      </w:r>
      <w:r>
        <w:rPr>
          <w:rFonts w:ascii="Arial" w:cs="Arial" w:eastAsia="Arial" w:hAnsi="Arial"/>
          <w:sz w:val="18"/>
          <w:szCs w:val="18"/>
          <w:color w:val="auto"/>
        </w:rPr>
        <w:t>. The Notes shall constitute senior, unsecured obligations of the Issuer and each Guarantee shall constitute a senior, unsecured obligation of each Guarantor, in each case ranking equal in right of payment to all of the existing and future unsecured and unsubordinated indebtedness of the Issuer and Guarantors. Article XV of the Base Indenture shall not apply to the Notes.</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Amount</w:t>
      </w:r>
      <w:r>
        <w:rPr>
          <w:rFonts w:ascii="Arial" w:cs="Arial" w:eastAsia="Arial" w:hAnsi="Arial"/>
          <w:sz w:val="17"/>
          <w:szCs w:val="17"/>
          <w:color w:val="auto"/>
        </w:rPr>
        <w:t>. The Trustee shall authenticate and deliver Notes for original issue in an aggregate principal amount of $500,000,000 upon an Order for the authentication and delivery of Notes, without any further action by the Issuer, subject to Section 3.03 of the Base Indenture. Under a Board Resolution, Officer’s Certificate pursuant to Board Resolutions or a Supplemental Indenture, the Issuer may from time to time, without the consent of the Holders of Notes, issue additional Notes (in any such case “Additional Notes”) having the same ranking and the same interest rate, maturity and other terms as the Notes. Any Additional Notes and the Initial Notes will constitute a single series under the Indenture and all references to the relevant Notes herein shall include the Additional Notes unless the context otherwise requires.</w:t>
      </w:r>
    </w:p>
    <w:p>
      <w:pPr>
        <w:spacing w:after="0" w:line="17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Stated Maturity</w:t>
      </w:r>
      <w:r>
        <w:rPr>
          <w:rFonts w:ascii="Arial" w:cs="Arial" w:eastAsia="Arial" w:hAnsi="Arial"/>
          <w:sz w:val="16"/>
          <w:szCs w:val="16"/>
          <w:color w:val="auto"/>
        </w:rPr>
        <w:t>. The date on which the principal of the Notes is due and payable, unless earlier accelerated or repurchased pursuant to the Indenture, shall be October 15, 2022 (the “Stated Maturity”). On the Stated Maturity, each Holder shall be entitled to receive on such date $1,000 in cash for each $1,000 principal amount per Note, together with accrued and unpaid interest to, but not including, the Stated Maturity.</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Form, Denomination and Currency</w:t>
      </w:r>
      <w:r>
        <w:rPr>
          <w:rFonts w:ascii="Arial" w:cs="Arial" w:eastAsia="Arial" w:hAnsi="Arial"/>
          <w:sz w:val="17"/>
          <w:szCs w:val="17"/>
          <w:color w:val="auto"/>
        </w:rPr>
        <w:t>. The Notes shall initially be issued in global form as Global Notes (substantially in the form of Annex A hereto). Each Global Note shall represent such aggregate principal amount of Outstanding Notes as shall be specified therein and the aggregate principal amount of Outstanding Notes represented thereby may from time to time be reduced or increased, as appropriate, to reflect exchanges or purchases of such Notes. Each Note shall be issuable in denominations of $2,000 and any integral multiple of $1,000 in excess thereof; provided, however, that Notes may from time to time be issuable in denominations of less than $1,000 if, and solely to the extent that, reliance on this proviso is necessary to accommodate book-entry positions that have been created in denominations of less than $1,000 by the Depositary. All obligations of the Issuer and the Guarantors in respect of principal, interest or any other amount owing upon the Notes shall be payable in U.S. Dollars.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Designation of Depositary</w:t>
      </w:r>
      <w:r>
        <w:rPr>
          <w:rFonts w:ascii="Arial" w:cs="Arial" w:eastAsia="Arial" w:hAnsi="Arial"/>
          <w:sz w:val="18"/>
          <w:szCs w:val="18"/>
          <w:color w:val="auto"/>
        </w:rPr>
        <w:t>. Initially, the Depositary for the Notes will be The Depository Trust Company. The Notes, in the form of Global Notes, will be registered in the name of the Depositary or its nominee, Cede &amp; Co., and delivered by the Trustee to the Depositary or a custodian appointed by the Depositary for crediting to the accounts of its participants. The transfer and exchange of beneficial interests in any such Global Note shall be effected through the Depositary in accordance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rules and procedures of the Depositary to the extent applicable to such transfer or exchange.</w:t>
      </w:r>
    </w:p>
    <w:p>
      <w:pPr>
        <w:sectPr>
          <w:pgSz w:w="11900" w:h="16838" w:orient="portrait"/>
          <w:cols w:equalWidth="0" w:num="1">
            <w:col w:w="11400"/>
          </w:cols>
          <w:pgMar w:left="240" w:top="125" w:right="259" w:bottom="32" w:gutter="0" w:footer="0" w:header="0"/>
        </w:sectPr>
      </w:pPr>
    </w:p>
    <w:bookmarkStart w:id="72" w:name="page73"/>
    <w:bookmarkEnd w:id="72"/>
    <w:p>
      <w:pPr>
        <w:spacing w:after="0" w:line="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 Sinking Fund</w:t>
      </w:r>
      <w:r>
        <w:rPr>
          <w:rFonts w:ascii="Arial" w:cs="Arial" w:eastAsia="Arial" w:hAnsi="Arial"/>
          <w:sz w:val="18"/>
          <w:szCs w:val="18"/>
          <w:color w:val="auto"/>
        </w:rPr>
        <w:t>. There shall be no sinking fund for the retirement of the Notes. Article V of the Base Indenture shall not apply to the Notes.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Exchange and Registration on Transfer</w:t>
      </w:r>
      <w:r>
        <w:rPr>
          <w:rFonts w:ascii="Arial" w:cs="Arial" w:eastAsia="Arial" w:hAnsi="Arial"/>
          <w:sz w:val="17"/>
          <w:szCs w:val="17"/>
          <w:color w:val="auto"/>
        </w:rPr>
        <w:t>. Notwithstanding anything in Section 3.06 of the Base Indenture to the contrary, (a) all Notes presented or surrendered for registration or transfer shall (if so required by the Issuer or the Registrar) be duly endorsed, or be accompanied by a written instrument or instruments of transfer in form satisfactory to the Issuer, and the Notes shall be duly executed by the Holder thereof or his attorney duly authorized in writing and (b) neither the Issuer nor the Trustee nor any Registrar shall be required to exchange, issue or register the transfer of any Notes or portions thereof tendered for registration or transfer (and not withdrawn) pursuant to this Indenture.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 xml:space="preserve">Applicability of Article. </w:t>
      </w:r>
      <w:r>
        <w:rPr>
          <w:rFonts w:ascii="Arial" w:cs="Arial" w:eastAsia="Arial" w:hAnsi="Arial"/>
          <w:sz w:val="17"/>
          <w:szCs w:val="17"/>
          <w:color w:val="auto"/>
        </w:rPr>
        <w:t>Article XII of the Base Indenture shall apply to the Notes.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Defeasance and Covenant Defeasance.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With respect to the Notes only (and not any other series of Securities issued pursuant to the Base Indenture), Section 12.03 of the Base Indenture is replaced in its entirety with the following:</w:t>
      </w:r>
    </w:p>
    <w:p>
      <w:pPr>
        <w:spacing w:after="0" w:line="170" w:lineRule="exact"/>
        <w:rPr>
          <w:sz w:val="20"/>
          <w:szCs w:val="20"/>
          <w:color w:val="auto"/>
        </w:rPr>
      </w:pPr>
    </w:p>
    <w:p>
      <w:pPr>
        <w:ind w:left="660" w:right="260" w:hanging="4"/>
        <w:spacing w:after="0" w:line="277" w:lineRule="auto"/>
        <w:tabs>
          <w:tab w:leader="none" w:pos="131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Issuer may at its option by Board Resolution, at any time, with respect to the Notes, elect to have Section 3.2(2) or Section 3.2(3) be applied to such Outstanding Notes upon compliance with the conditions set forth below in this Section 3.2.</w:t>
      </w:r>
    </w:p>
    <w:p>
      <w:pPr>
        <w:spacing w:after="0" w:line="170" w:lineRule="exact"/>
        <w:rPr>
          <w:rFonts w:ascii="Arial" w:cs="Arial" w:eastAsia="Arial" w:hAnsi="Arial"/>
          <w:sz w:val="18"/>
          <w:szCs w:val="18"/>
          <w:color w:val="auto"/>
        </w:rPr>
      </w:pPr>
    </w:p>
    <w:p>
      <w:pPr>
        <w:ind w:left="660" w:right="20" w:hanging="4"/>
        <w:spacing w:after="0" w:line="286" w:lineRule="auto"/>
        <w:tabs>
          <w:tab w:leader="none" w:pos="131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the Issuer’s exercise of the option provided for in this Section 3.2(2) with respect to the Notes and the Guarantees, the Issuer and the Guarantors shall be deemed to have been discharged from their obligations with respect to such Outstanding Notes and Guarantees on the date the conditions set forth in clause (4) of this Section 3.2 are satisfied (hereinafter, “defeasance”). For this purpose, such defeasance means that the Issuer shall be deemed to have paid and discharged the entire Indebtedness represented by such Outstanding Notes, which shall thereafter be deemed to be “Outstanding” only for the purposes of clause (5) of this Section 3.2 and the other Sections of this Indenture referred to in clauses (i) and (ii) below, and to have satisfied all of its other obligations under such Notes and this Indenture (and the Trustee, at the expense of the Issuer, shall execute proper instruments acknowledging the same), except for the following which shall survive until otherwise terminated or discharged hereunder: (i) the rights of Holders of such Outstanding Notes, solely from the fund described in clause (4) of this Section 3.2 and as more fully set forth in such Section, payments in respect of the principal of (and premium, if any) and interest, if any, on such Notes when such payments are due, and any rights of such Holder to exchange such Notes into other securities, (ii) the obligations of the Issuer and the Trustee with respect to such Notes under Sections 3.01, 3.06, 3.07, 6.01 and 6.03 of the Base Indenture, (iii) the rights, powers, trusts, duties and immunities of the Trustee hereunder and under the Base Indenture and (iv) this Section 3.2. The Issuer may exercise its option under this Section 3.2(2) notwithstanding the prior exercise of its option under clause (3) of this Section 3.2 with respect to such Notes.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4"/>
        <w:spacing w:after="0" w:line="287" w:lineRule="auto"/>
        <w:tabs>
          <w:tab w:leader="none" w:pos="131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Upon the Issuer’s exercise of the option provided for in this Section 3.2(3) with respect to the Notes and the Guarantees, the Issuer and the Guarantors shall be released from their obligations under Sections 5.1 to 5.3, inclusive, and Section 6.05 to 6.08 of the Base Indenture, inclusive, with respect to such Outstanding Notes and Guarantees, on and after the date the conditions set forth in clause (4) of this Section 3.2 are satisfied (hereinafter, “covenant defeasance”), and such Notes shall thereafter be deemed to be not “Outstanding” for the purposes of any direction, waiver, consent or declaration or act of Holders (and the consequences of any thereof) in connection with any such covenant, but shall continue to be deemed “Outstanding” for all other purposes hereunder. For this purpose, such covenant defeasance means that, with respect to such Outstanding Notes and Guarantees, the Issuer and the Guarantors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4.1(3) or otherwise, as the case may be, but, except as specified above, the remainder of this Indenture and such Notes shall be unaffected thereby.</w:t>
      </w:r>
    </w:p>
    <w:p>
      <w:pPr>
        <w:spacing w:after="0" w:line="172" w:lineRule="exact"/>
        <w:rPr>
          <w:rFonts w:ascii="Arial" w:cs="Arial" w:eastAsia="Arial" w:hAnsi="Arial"/>
          <w:sz w:val="16"/>
          <w:szCs w:val="16"/>
          <w:color w:val="auto"/>
        </w:rPr>
      </w:pPr>
    </w:p>
    <w:p>
      <w:pPr>
        <w:ind w:left="660" w:right="360" w:hanging="4"/>
        <w:spacing w:after="0" w:line="277" w:lineRule="auto"/>
        <w:tabs>
          <w:tab w:leader="none" w:pos="131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following shall be the conditions to application of clause (2) or (3) of this Section 3.2 to any Outstanding Notes and Guarantees (as applicable) in respect thereof:</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Issuer shall irrevocably have deposited or caused to be deposited with the Trustee (or another trustee satisfying the</w:t>
      </w:r>
    </w:p>
    <w:p>
      <w:pPr>
        <w:spacing w:after="0" w:line="34" w:lineRule="exact"/>
        <w:rPr>
          <w:rFonts w:ascii="Arial" w:cs="Arial" w:eastAsia="Arial" w:hAnsi="Arial"/>
          <w:sz w:val="17"/>
          <w:szCs w:val="17"/>
          <w:color w:val="auto"/>
        </w:rPr>
      </w:pPr>
    </w:p>
    <w:p>
      <w:pPr>
        <w:ind w:left="1300" w:right="40"/>
        <w:spacing w:after="0" w:line="287" w:lineRule="auto"/>
        <w:rPr>
          <w:rFonts w:ascii="Arial" w:cs="Arial" w:eastAsia="Arial" w:hAnsi="Arial"/>
          <w:sz w:val="17"/>
          <w:szCs w:val="17"/>
          <w:color w:val="auto"/>
        </w:rPr>
      </w:pPr>
      <w:r>
        <w:rPr>
          <w:rFonts w:ascii="Arial" w:cs="Arial" w:eastAsia="Arial" w:hAnsi="Arial"/>
          <w:sz w:val="16"/>
          <w:szCs w:val="16"/>
          <w:color w:val="auto"/>
        </w:rPr>
        <w:t>requirements of Section 11.04 of the Base Indenture who shall agree to comply with the provisions of this Section 3.2 applicable to it) as trust funds in trust for the purpose of making the following payments, specifically pledged as security for, and dedicated solely to, the benefit of the Holders of such Notes, (1) an amount in Dollars, or (2) Government Obligations, which through the scheduled payment of principal and interest in respect thereof in accordance with their terms will provide, not later than one day before the due date of any payment of principal of (and premium, if any) and interest, if any, on such Notes, money in an amount, or (3) a combination of (1) and (2), in any case, in an amount, sufficient, without consideration of any reinvestment of such principal and interest, and in the case of (2) and (3),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Notes on the Stated Maturity of such principal or interest.</w:t>
      </w:r>
    </w:p>
    <w:p>
      <w:pPr>
        <w:spacing w:after="0" w:line="166" w:lineRule="exact"/>
        <w:rPr>
          <w:rFonts w:ascii="Arial" w:cs="Arial" w:eastAsia="Arial" w:hAnsi="Arial"/>
          <w:sz w:val="17"/>
          <w:szCs w:val="17"/>
          <w:color w:val="auto"/>
        </w:rPr>
      </w:pPr>
    </w:p>
    <w:p>
      <w:pPr>
        <w:ind w:left="1300" w:right="140" w:firstLine="5"/>
        <w:spacing w:after="0" w:line="342" w:lineRule="auto"/>
        <w:tabs>
          <w:tab w:leader="none" w:pos="195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under, this Indenture or any other material agreement or instrument to which the Issuer or the Guarantors are a party or by which any of them is bound.</w:t>
      </w:r>
    </w:p>
    <w:p>
      <w:pPr>
        <w:spacing w:after="0" w:line="123" w:lineRule="exact"/>
        <w:rPr>
          <w:rFonts w:ascii="Arial" w:cs="Arial" w:eastAsia="Arial" w:hAnsi="Arial"/>
          <w:sz w:val="16"/>
          <w:szCs w:val="16"/>
          <w:color w:val="auto"/>
        </w:rPr>
      </w:pPr>
    </w:p>
    <w:p>
      <w:pPr>
        <w:ind w:left="1300" w:right="100" w:firstLine="5"/>
        <w:spacing w:after="0" w:line="264" w:lineRule="auto"/>
        <w:tabs>
          <w:tab w:leader="none" w:pos="195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Notes shall have occurred and be continuing on the date of such deposit (other than a default resulting from the borrowing of funds and the grant of the related liens to be applied to such deposit).</w:t>
      </w:r>
    </w:p>
    <w:p>
      <w:pPr>
        <w:spacing w:after="0" w:line="181" w:lineRule="exact"/>
        <w:rPr>
          <w:rFonts w:ascii="Arial" w:cs="Arial" w:eastAsia="Arial" w:hAnsi="Arial"/>
          <w:sz w:val="18"/>
          <w:szCs w:val="18"/>
          <w:color w:val="auto"/>
        </w:rPr>
      </w:pPr>
    </w:p>
    <w:p>
      <w:pPr>
        <w:ind w:left="1300" w:right="120" w:firstLine="5"/>
        <w:spacing w:after="0" w:line="308" w:lineRule="auto"/>
        <w:tabs>
          <w:tab w:leader="none" w:pos="1955"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In the case of an election under clause (2) of this Section 3.2, the Issuer shall have delivered to the Trustee an Opinion of Counsel stating that (i) the Issuer has received from the Internal Revenue Service a letter ruling, or there has been published by</w:t>
      </w:r>
    </w:p>
    <w:p>
      <w:pPr>
        <w:sectPr>
          <w:pgSz w:w="11900" w:h="16885" w:orient="portrait"/>
          <w:cols w:equalWidth="0" w:num="1">
            <w:col w:w="11420"/>
          </w:cols>
          <w:pgMar w:left="240" w:top="125"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spacing w:after="0" w:line="302" w:lineRule="auto"/>
        <w:rPr>
          <w:sz w:val="20"/>
          <w:szCs w:val="20"/>
          <w:color w:val="auto"/>
        </w:rPr>
      </w:pPr>
      <w:r>
        <w:rPr>
          <w:rFonts w:ascii="Arial" w:cs="Arial" w:eastAsia="Arial" w:hAnsi="Arial"/>
          <w:sz w:val="16"/>
          <w:szCs w:val="16"/>
          <w:color w:val="auto"/>
        </w:rPr>
        <w:t>the Internal Revenue Service a Revenue Ruling, or (ii) there has been a change in the applicable Federal income tax law, in either case to the effect that, and based thereon such opinion shall confirm that, the beneficial owners of such Outstanding Notes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54" w:lineRule="exact"/>
        <w:rPr>
          <w:sz w:val="20"/>
          <w:szCs w:val="20"/>
          <w:color w:val="auto"/>
        </w:rPr>
      </w:pPr>
    </w:p>
    <w:p>
      <w:pPr>
        <w:ind w:left="1300" w:firstLine="5"/>
        <w:spacing w:after="0" w:line="259" w:lineRule="auto"/>
        <w:tabs>
          <w:tab w:leader="none" w:pos="195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the case of an election under clause (3) of this Section 3.2, the Issuer shall have delivered to the Trustee an Opinion of Counsel to the effect that the beneficial owners of such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1300" w:right="220" w:firstLine="5"/>
        <w:spacing w:after="0" w:line="264" w:lineRule="auto"/>
        <w:tabs>
          <w:tab w:leader="none" w:pos="19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all conditions precedent to the defeasance or covenant defeasance under clause (2) or (3) of this Section 3.2 (as the case may be) and clause (4) of this Section 3.2 have been complied with.</w:t>
      </w:r>
    </w:p>
    <w:p>
      <w:pPr>
        <w:spacing w:after="0" w:line="181" w:lineRule="exact"/>
        <w:rPr>
          <w:rFonts w:ascii="Arial" w:cs="Arial" w:eastAsia="Arial" w:hAnsi="Arial"/>
          <w:sz w:val="18"/>
          <w:szCs w:val="18"/>
          <w:color w:val="auto"/>
        </w:rPr>
      </w:pPr>
    </w:p>
    <w:p>
      <w:pPr>
        <w:ind w:left="660" w:right="40" w:hanging="4"/>
        <w:spacing w:after="0" w:line="293" w:lineRule="auto"/>
        <w:tabs>
          <w:tab w:leader="none" w:pos="1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Subject to the provisions of the last paragraph of Section 12.06 of the Base Indenture, all money and Government Obligations (including the proceeds thereof) deposited with the Trustee (or other qualifying trustee, collectively for purposes of this Section 3.2(5), the “Trustee”) pursuant to clause (4) of Section 3.2 in respect of any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(and premium, if any) and interest, but such money need not be segregated from other funds except to the extent required by law.</w:t>
      </w:r>
    </w:p>
    <w:p>
      <w:pPr>
        <w:spacing w:after="0" w:line="16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Government Obligations deposited pursuant to this Section 3.2 or the principal or interest received in respect thereof other than any such tax, fee or other charge which by law is for the account of the Holders of such Outstanding Notes.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Anything in this Section 3.2 to the contrary notwithstanding, the Trustee shall deliver or pay to the Issuer from time to time upon request any money or Government Obligations (or other property and any proceeds therefrom) held by it as provided in clause (4) of this Section 3.2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Section 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left="660" w:right="520" w:hanging="4"/>
        <w:spacing w:after="0" w:line="277" w:lineRule="auto"/>
        <w:tabs>
          <w:tab w:leader="none" w:pos="131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respect to the Notes only (and not any other series of Securities issued pursuant to the Base Indenture), Section 7.01 of the Base Indenture is replaced in its entirety with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where otherwise indicated by the context or where the term is otherwise defined for a specific purpose, the term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7" w:lineRule="exact"/>
        <w:rPr>
          <w:sz w:val="20"/>
          <w:szCs w:val="20"/>
          <w:color w:val="auto"/>
        </w:rPr>
      </w:pPr>
    </w:p>
    <w:p>
      <w:pPr>
        <w:ind w:left="660" w:right="440" w:hanging="4"/>
        <w:spacing w:after="0" w:line="277" w:lineRule="auto"/>
        <w:tabs>
          <w:tab w:leader="none" w:pos="13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default in the payment of any interest on the Notes when such interest becomes due and payable, and continuance of such default for a period of 30 days;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the Notes when it becomes due and payable at its Maturity;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200" w:hanging="4"/>
        <w:spacing w:after="0" w:line="302" w:lineRule="auto"/>
        <w:tabs>
          <w:tab w:leader="none" w:pos="131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Issuer or a Guarantor in this Indenture or the Notes, and continuance of such default or breach for a period of 60 days after there has been given, by registered or certified mail, to the Issuer or a Guarantor by the Trustee or to the Issuer and the Trustee by the Holders of at least 25% in principal amount of the Outstanding Notes, a written notice specifying such default or breach and requiring it to be remedied and stating that such notice is a “Notice of Default” hereunder; or</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entry by a court having competent jurisdiction of:</w:t>
      </w:r>
    </w:p>
    <w:p>
      <w:pPr>
        <w:spacing w:after="0" w:line="225" w:lineRule="exact"/>
        <w:rPr>
          <w:rFonts w:ascii="Arial" w:cs="Arial" w:eastAsia="Arial" w:hAnsi="Arial"/>
          <w:sz w:val="18"/>
          <w:szCs w:val="18"/>
          <w:color w:val="auto"/>
        </w:rPr>
      </w:pPr>
    </w:p>
    <w:p>
      <w:pPr>
        <w:jc w:val="both"/>
        <w:ind w:left="1300" w:right="380" w:firstLine="5"/>
        <w:spacing w:after="0" w:line="264" w:lineRule="auto"/>
        <w:tabs>
          <w:tab w:leader="none" w:pos="195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decree or order for relief in respect of the Issuer, a Guarantor or any Significant Subsidiary of the Issuer or a Guarantor in an involuntary proceeding under any applicable bankruptcy, insolvency, reorganization or other similar law and such decree or order shall remain unstayed and in effect for a period of 60 consecutive days; or</w:t>
      </w:r>
    </w:p>
    <w:p>
      <w:pPr>
        <w:spacing w:after="0" w:line="181" w:lineRule="exact"/>
        <w:rPr>
          <w:rFonts w:ascii="Arial" w:cs="Arial" w:eastAsia="Arial" w:hAnsi="Arial"/>
          <w:sz w:val="18"/>
          <w:szCs w:val="18"/>
          <w:color w:val="auto"/>
        </w:rPr>
      </w:pPr>
    </w:p>
    <w:p>
      <w:pPr>
        <w:jc w:val="both"/>
        <w:ind w:left="1300" w:right="200" w:firstLine="5"/>
        <w:spacing w:after="0" w:line="286" w:lineRule="auto"/>
        <w:tabs>
          <w:tab w:leader="none" w:pos="195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 decree or order adjudging the Issuer, a Guarantor or any Significant Subsidiary thereof to be insolvent, or approving a petition seeking reorganization, arrangement, adjustment or composition of the Issuer, a Guarantor or any Significant Subsidiary of the Issuer or a Guarantor and such decree or order shall remain unstayed and in effect for a period of 60 consecutive days; or</w:t>
      </w:r>
    </w:p>
    <w:p>
      <w:pPr>
        <w:sectPr>
          <w:pgSz w:w="11900" w:h="16838" w:orient="portrait"/>
          <w:cols w:equalWidth="0" w:num="1">
            <w:col w:w="11420"/>
          </w:cols>
          <w:pgMar w:left="240" w:top="341" w:right="239" w:bottom="0" w:gutter="0" w:footer="0" w:header="0"/>
        </w:sectPr>
      </w:pPr>
    </w:p>
    <w:bookmarkStart w:id="74" w:name="page75"/>
    <w:bookmarkEnd w:id="74"/>
    <w:p>
      <w:pPr>
        <w:spacing w:after="0" w:line="114" w:lineRule="exact"/>
        <w:rPr>
          <w:sz w:val="20"/>
          <w:szCs w:val="20"/>
          <w:color w:val="auto"/>
        </w:rPr>
      </w:pPr>
    </w:p>
    <w:p>
      <w:pPr>
        <w:jc w:val="both"/>
        <w:ind w:left="1300" w:right="40" w:firstLine="5"/>
        <w:spacing w:after="0" w:line="259" w:lineRule="auto"/>
        <w:tabs>
          <w:tab w:leader="none" w:pos="195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final and non-appealable order appointing a custodian, receiver, liquidator, assignee, trustee or other similar official of the Issuer, a Guarantor or any Significant Subsidiary of the Issuer or a Guarantor or of any substantial part of the property of the Issuer, a Guarantor or any Significant Subsidiary of the Issuer or a Guarantor, as the case may be, or ordering the winding up or liquidation of the affairs of the Issuer, a Guarantor or any Significant Subsidiary of the Issuer or a Guarantor; or</w:t>
      </w:r>
    </w:p>
    <w:p>
      <w:pPr>
        <w:spacing w:after="0" w:line="186" w:lineRule="exact"/>
        <w:rPr>
          <w:rFonts w:ascii="Arial" w:cs="Arial" w:eastAsia="Arial" w:hAnsi="Arial"/>
          <w:sz w:val="18"/>
          <w:szCs w:val="18"/>
          <w:color w:val="auto"/>
        </w:rPr>
      </w:pPr>
    </w:p>
    <w:p>
      <w:pPr>
        <w:ind w:left="660" w:right="80" w:hanging="4"/>
        <w:spacing w:after="0" w:line="272" w:lineRule="auto"/>
        <w:tabs>
          <w:tab w:leader="none" w:pos="131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commencement by the Issuer, a Guarantor or any Significant Subsidiary of the Issuer or a Guarantor of a voluntary proceeding under any applicable bankruptcy, insolvency, reorganization or other similar law or of a voluntary proceeding seeking to be adjudicated insolvent or the consent by the Issuer, a Guarantor or any Significant Subsidiary of the Issuer or a Guarantor to the entry of a decree or order for relief in an involuntary proceeding under any applicable bankruptcy, insolvency, reorganization or other similar law or to the commencement of any insolvency proceedings against it, or the filing by the Issuer, a Guarantor or any Significant Subsidiary of the Issuer or a Guarantor of a petition or answer or consent seeking reorganization or relief under any applicable law, or the consent by the Issuer, a Guarantor or any Significant Subsidiary of the Issuer or a Guarantor to the filing of such petition or to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appointment of or taking possession by a custodian, receiver, liquidator, assignee, trustee or similar official of the Issuer, a Guarantor or any Significant Subsidiary of the Issuer or a Guarantor or any substantial part of the property of the Issuer, a Guarantor or any Significant Subsidiary of the Issuer or a Guarantor or the making by the Issuer, a Guarantor or any Significant Subsidiary of the Issuer or a Guarantor of an assignment for the benefit of creditors, or the taking of corporate action by the Issuer, a Guarantor or any Significant Subsidiary of the Issuer or a Guarantor in furtherance of any such action; or</w:t>
      </w:r>
    </w:p>
    <w:p>
      <w:pPr>
        <w:spacing w:after="0" w:line="188" w:lineRule="exact"/>
        <w:rPr>
          <w:sz w:val="20"/>
          <w:szCs w:val="20"/>
          <w:color w:val="auto"/>
        </w:rPr>
      </w:pPr>
    </w:p>
    <w:p>
      <w:pPr>
        <w:ind w:left="660" w:hanging="4"/>
        <w:spacing w:after="0" w:line="288" w:lineRule="auto"/>
        <w:tabs>
          <w:tab w:leader="none" w:pos="132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Issuer, a Guarantor or any Subsidiary of the Issuer in which the Issuer has invested at least $50,000,000 in capital or any entity in which the Issuer is the general partner shall fail to pay any principal of, premium or interest on or any other amount payable in respect of, any recourse Indebtedness that is outstanding in a principal or notional amount of at least $50,000,000 (or the equivalent thereof in one or more other currencies), either individually or in the aggregate (but excluding Indebtedness outstanding hereunder), of the Issuer and its consolidated Subsidiaries, taken as a whole, when the same becomes due and payable (whether by scheduled maturity, required prepayment, acceleration, demand or otherwise), and such failure shall continue after the applicable grace period, if any, specified in any agreement or instrument relating to such Indebtedness, or any other event shall occur or condition shall exist under any agreement or instrument evidencing, securing or otherwise relating to such Indebtedness and shall continue after the applicable grace period, if any, specified in such agreement or instrument, if the effect of such event or condition is to accelerate, or to permit the acceleration of, the maturity of such Indebtedness or otherwise to cause, or to permit the holder or holders thereof ( or a trustee or agent on behalf of such holders) to cause such Indebtedness to mature prior to its stated maturity;</w:t>
      </w:r>
    </w:p>
    <w:p>
      <w:pPr>
        <w:spacing w:after="0" w:line="16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event described in clause (d) or (other than with respect to a payment default) (g) above shall constitute an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hereunder until a written notice of any such event is received by the Trustee at the Corporate Trust Office, and such notice refers to the facts underlying such event, the Notes generally, the Issuer, the applicable Guarantor and the Indenture.”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Limitations on Incurrence of Debt.</w:t>
      </w:r>
    </w:p>
    <w:p>
      <w:pPr>
        <w:spacing w:after="0" w:line="225" w:lineRule="exact"/>
        <w:rPr>
          <w:sz w:val="20"/>
          <w:szCs w:val="20"/>
          <w:color w:val="auto"/>
        </w:rPr>
      </w:pPr>
    </w:p>
    <w:p>
      <w:pPr>
        <w:ind w:right="60" w:firstLine="1305"/>
        <w:spacing w:after="0" w:line="271" w:lineRule="auto"/>
        <w:tabs>
          <w:tab w:leader="none" w:pos="194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Issuer will not, and will not permit any Subsidiary to, incur any Indebtedness, other than Permitted Debt, if, immediately after giving effect to the incurrence of such additional Indebtedness, the aggregate principal amount of all outstanding Indebtedness of the Issuer, and of its Subsidiaries determined at the applicable proportionate interest of the Issuer in each such Subsidiary, determined in accordance with GAAP, is greater than 60% of the sum of (i) the Total Assets as of the end of the calendar quarter covered in the Issuer’s Annual Report on Form 10-K or Quarterly Report on Form 10-Q, as the case may be, most recently filed with the SEC prior to the incurrence of such additional Indebtedness or, if the Issuer is not then subject to the reporting requirements of the Exchange Act, as of its most recent calendar quarter and (ii) any increase in the Total Assets since the end of such quarter, including, without limitation, any increase in Total Assets resulting from the incurrence of such additional Indebtedness (the Total Assets adjusted by such increase are referred to as the “</w:t>
      </w:r>
      <w:r>
        <w:rPr>
          <w:rFonts w:ascii="Arial" w:cs="Arial" w:eastAsia="Arial" w:hAnsi="Arial"/>
          <w:sz w:val="17"/>
          <w:szCs w:val="17"/>
          <w:u w:val="single" w:color="auto"/>
          <w:color w:val="auto"/>
        </w:rPr>
        <w:t>Adjusted Total Assets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right="40" w:firstLine="1305"/>
        <w:spacing w:after="0" w:line="342" w:lineRule="auto"/>
        <w:tabs>
          <w:tab w:leader="none" w:pos="19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addition to the limitation set forth in subsection (a) of this Section 5.1, the Issuer will not, and will not permit any Subsidiary to, incur any Indebtedness, other than Permitted Debt, if, for the period consisting of the four consecutive fiscal quarters most recently ended prior to the date 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which such additional Indebtedness is to be incurred, the ratio of Consolidated Income Available for Debt Service to the Annual Service Charge shall have been less than 1.5 to 1, on a pro forma basis after giving effect to the incurrence of such Indebtedness and to the application of the proceeds therefrom, and calculated on the assumption that (i) such Indebtedness and any other Indebtedness incurred by the Issuer or its Subsidiaries since the first day of such four-quarter period and the application of the proceeds therefrom, including to refinance other Indebtedness, had occurred at the beginning of such period, (ii) the repayment or retirement of any other Indebtedness by the Issuer or its Subsidiaries since the first day of such four-quarter period had been incurred, repaid or retained at the beginning of such period (except that, in making such computation, the amount of Indebtedness under any revolving credit facility shall be computed based upon the average daily balance of such Indebtedness under such credit facility during such period), (iii) any income earned as a result of any increase in Adjusted Total Assets since the end of such four-quarter period had been earned, on an annualized basis, for such period, and (iv) in the case of an acquisition or disposition by the Issuer or any of its Subsidiaries of any asset or group of assets since the first day of such four-quarter period, including, without limitation, by merger, stock purchase or sale, or asset purchase or sale, such acquisition or disposition or any related repayment of Indebtedness had occurred as of the first day of such period with the appropriate adjustments with respect to such acquisition or disposition being included in such pro forma calculation of Consolidated Income Available for Debt Service to the Annual Service Charge.</w:t>
      </w:r>
    </w:p>
    <w:p>
      <w:pPr>
        <w:spacing w:after="0" w:line="169" w:lineRule="exact"/>
        <w:rPr>
          <w:sz w:val="20"/>
          <w:szCs w:val="20"/>
          <w:color w:val="auto"/>
        </w:rPr>
      </w:pPr>
    </w:p>
    <w:p>
      <w:pPr>
        <w:ind w:right="160" w:firstLine="1305"/>
        <w:spacing w:after="0" w:line="312" w:lineRule="auto"/>
        <w:tabs>
          <w:tab w:leader="none" w:pos="19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addition to the limitations set forth in subsections (a) and (b) of this Section 5.1, the Issuer will not, and will not permit any Subsidiary to, incur any Indebtedness secured by any Lien of any kind upon any of the property of the Issuer or any of its Subsidiaries (the “</w:t>
      </w:r>
      <w:r>
        <w:rPr>
          <w:rFonts w:ascii="Arial" w:cs="Arial" w:eastAsia="Arial" w:hAnsi="Arial"/>
          <w:sz w:val="16"/>
          <w:szCs w:val="16"/>
          <w:u w:val="single" w:color="auto"/>
          <w:color w:val="auto"/>
        </w:rPr>
        <w:t>Secured Debt</w:t>
      </w:r>
      <w:r>
        <w:rPr>
          <w:rFonts w:ascii="Arial" w:cs="Arial" w:eastAsia="Arial" w:hAnsi="Arial"/>
          <w:sz w:val="16"/>
          <w:szCs w:val="16"/>
          <w:color w:val="auto"/>
        </w:rPr>
        <w:t>”) if, immediately after giving effect to the incurrence of such additional Secured Debt, the aggregate principal amount of all outstanding Secured Debt of the</w:t>
      </w:r>
    </w:p>
    <w:p>
      <w:pPr>
        <w:sectPr>
          <w:pgSz w:w="11900" w:h="16952" w:orient="portrait"/>
          <w:cols w:equalWidth="0" w:num="1">
            <w:col w:w="11400"/>
          </w:cols>
          <w:pgMar w:left="240" w:top="125" w:right="259" w:bottom="0" w:gutter="0" w:footer="0" w:header="0"/>
        </w:sectPr>
      </w:pPr>
    </w:p>
    <w:bookmarkStart w:id="75" w:name="page76"/>
    <w:bookmarkEnd w:id="75"/>
    <w:p>
      <w:pPr>
        <w:ind w:right="320"/>
        <w:spacing w:after="0" w:line="277" w:lineRule="auto"/>
        <w:rPr>
          <w:sz w:val="20"/>
          <w:szCs w:val="20"/>
          <w:color w:val="auto"/>
        </w:rPr>
      </w:pPr>
      <w:r>
        <w:rPr>
          <w:rFonts w:ascii="Arial" w:cs="Arial" w:eastAsia="Arial" w:hAnsi="Arial"/>
          <w:sz w:val="18"/>
          <w:szCs w:val="18"/>
          <w:color w:val="auto"/>
        </w:rPr>
        <w:t>Issuer, and of its Subsidiaries determined at the applicable proportionate interest of the Issuer in each such Subsidiary, is greater than 40% of the Adjusted Total Assets.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Maintenance of Total Unencumbered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will maintain Total Unencumbered Assets of not less than 150% of the aggregate principal amount of all outstanding Unsecured Debt.</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Provision of Financial Information.</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as long as the Notes are outstanding, each of SL Green, the Issuer and the Operating Partnership will file with the Trustee, within 15 days after such entity is required to file the same with the SEC, copies of the annual reports and of the information, documents and other reports (or copies of such portions of any of the foregoing as the SEC may from time to time by rules and regulations prescribe) that such entity may be required to file with the SEC pursuant to Section 13 or Section 15(d) of the Exchange Act; or, if such entity is not required to file information, documents or reports pursuant to either of such sections, such entity will file with the Trustee and the SEC, in accordance with any other rules and regulations that may be prescribed from time to time by the SEC, such of the supplementary and periodic information, documents and reports that may be required pursuant to Section 13 of the Exchange Act, in respect of a security listed on a national securities exchange as may be prescribed from time to time in such rules and regulations.</w:t>
      </w:r>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to the foregoing, for as long as the Notes are outstanding, if at any time the Issuer is not subject to Section 13 or 15(d) of the Exchange Act and providing reports pursuant to the previous paragraph, the Issuer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 applicable to a non-accelerated filer at that time pursuant to applicable SEC rules and regulations, the quarterly and audited annual financial statements and accompanying Item 303 of Regulation S-K disclosure (“management’s discussion and analysis of financial condition and results of operations”) that would be required to be contained in annual reports on Form 10-K and quarterly reports on Form 10-Q, respectively, required to be filed with the SEC if the Issuer were subject to Section 13(a) or 15(d) of the Exchange Act. If SL Green OP elects to furnish such reports via a Confidential Datasite, access to the Confidential Datasite will be provided upon request to Holders, beneficial owners of and bona fide potential investors in the notes as well as securities analysts and market makers.</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Any such report, information or document that SL Green, the Issuer or the Operating Partnership files with or furnish to the SEC through the SEC’s EDGAR database will be deemed filed with the Trustee for these purposes at the time of such filing or furnishing through the SEC’s EDGAR database.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Merger, Consolidation and Sale of Assets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the Notes only (and not any other series of Securities issued pursuant to the Base Indenture), Section 6.04 of the Base Indenture is replaced in its entirety with the following:</w:t>
      </w:r>
    </w:p>
    <w:p>
      <w:pPr>
        <w:spacing w:after="0" w:line="170" w:lineRule="exact"/>
        <w:rPr>
          <w:sz w:val="20"/>
          <w:szCs w:val="20"/>
          <w:color w:val="auto"/>
        </w:rPr>
      </w:pPr>
    </w:p>
    <w:p>
      <w:pPr>
        <w:ind w:left="660" w:right="180" w:firstLine="645"/>
        <w:spacing w:after="0" w:line="264" w:lineRule="auto"/>
        <w:tabs>
          <w:tab w:leader="none" w:pos="196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SL Green or the Issuer may consolidate with, or sell, lease or convey all or substantially all of its assets to, or merge with or into, any other entity (whether or not affiliated with SL Green or the Issuer), or enter into successive consolidations or mergers, provided that the following conditions are met:</w:t>
      </w:r>
    </w:p>
    <w:p>
      <w:pPr>
        <w:spacing w:after="0" w:line="181" w:lineRule="exact"/>
        <w:rPr>
          <w:sz w:val="20"/>
          <w:szCs w:val="20"/>
          <w:color w:val="auto"/>
        </w:rPr>
      </w:pPr>
    </w:p>
    <w:p>
      <w:pPr>
        <w:ind w:left="1300" w:right="40" w:firstLine="5"/>
        <w:spacing w:after="0" w:line="273" w:lineRule="auto"/>
        <w:tabs>
          <w:tab w:leader="none" w:pos="194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SL Green or the Issuer, as the case may be, shall be the continuing entity, or the successor entity (if other than SL Green or the Issuer, as the case may be) formed by or resulting from any consolidation or merger or which shall have received the transfer of assets shall be a Person organized and existing under the laws of the United States of America, any state thereof or the District of Columbia and shall expressly assume (i) in the case of the Issuer, the due and punctual payment of the principal of (and premium, if any) and interest on all the Notes and the performance and observance of all of the covenants and obligations contained in the Indenture or (ii) in the case of SL Green, all of the obligations of SL Green under the Guarantee of the Notes;</w:t>
      </w:r>
    </w:p>
    <w:p>
      <w:pPr>
        <w:spacing w:after="0" w:line="178" w:lineRule="exact"/>
        <w:rPr>
          <w:rFonts w:ascii="Arial" w:cs="Arial" w:eastAsia="Arial" w:hAnsi="Arial"/>
          <w:sz w:val="17"/>
          <w:szCs w:val="17"/>
          <w:color w:val="auto"/>
        </w:rPr>
      </w:pPr>
    </w:p>
    <w:p>
      <w:pPr>
        <w:ind w:left="1300" w:right="100" w:firstLine="5"/>
        <w:spacing w:after="0" w:line="277" w:lineRule="auto"/>
        <w:tabs>
          <w:tab w:leader="none" w:pos="19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300" w:firstLine="5"/>
        <w:spacing w:after="0" w:line="277" w:lineRule="auto"/>
        <w:tabs>
          <w:tab w:leader="none" w:pos="195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Either SL Green or the Issuer or the successor entity, as the case may be, shall have delivered to the Trustee an Officer’s Certificate and legal opinion covering these conditions.</w:t>
      </w:r>
    </w:p>
    <w:p>
      <w:pPr>
        <w:spacing w:after="0" w:line="170" w:lineRule="exact"/>
        <w:rPr>
          <w:sz w:val="20"/>
          <w:szCs w:val="20"/>
          <w:color w:val="auto"/>
        </w:rPr>
      </w:pPr>
    </w:p>
    <w:p>
      <w:pPr>
        <w:ind w:left="660" w:right="120" w:firstLine="645"/>
        <w:spacing w:after="0" w:line="264" w:lineRule="auto"/>
        <w:tabs>
          <w:tab w:leader="none" w:pos="1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Operating Partnership may consolidate with, or sell, lease or convey all or substantially all of its assets to, or merge with or into, any other entity (whether or not affiliated with the Operating Partnership), or enter into successive consolidations or mergers, provided that the following conditions are met:</w:t>
      </w:r>
    </w:p>
    <w:p>
      <w:pPr>
        <w:spacing w:after="0" w:line="181" w:lineRule="exact"/>
        <w:rPr>
          <w:sz w:val="20"/>
          <w:szCs w:val="20"/>
          <w:color w:val="auto"/>
        </w:rPr>
      </w:pPr>
    </w:p>
    <w:p>
      <w:pPr>
        <w:ind w:left="1940" w:hanging="635"/>
        <w:spacing w:after="0"/>
        <w:tabs>
          <w:tab w:leader="none" w:pos="19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other entity is SL Green or the Issuer or becomes a guarantor concurrently with the transaction;</w:t>
      </w:r>
    </w:p>
    <w:p>
      <w:pPr>
        <w:spacing w:after="0" w:line="225" w:lineRule="exact"/>
        <w:rPr>
          <w:rFonts w:ascii="Arial" w:cs="Arial" w:eastAsia="Arial" w:hAnsi="Arial"/>
          <w:sz w:val="18"/>
          <w:szCs w:val="18"/>
          <w:color w:val="auto"/>
        </w:rPr>
      </w:pPr>
    </w:p>
    <w:p>
      <w:pPr>
        <w:ind w:left="1300" w:right="300" w:firstLine="5"/>
        <w:spacing w:after="0" w:line="277" w:lineRule="auto"/>
        <w:tabs>
          <w:tab w:leader="none" w:pos="19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either (a) the Operating Partnership shall be the continuing entity or (b) the successor entity formed by or resulting from any consolidation or merger or which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79" w:lineRule="auto"/>
        <w:rPr>
          <w:sz w:val="20"/>
          <w:szCs w:val="20"/>
          <w:color w:val="auto"/>
        </w:rPr>
      </w:pPr>
      <w:r>
        <w:rPr>
          <w:rFonts w:ascii="Arial" w:cs="Arial" w:eastAsia="Arial" w:hAnsi="Arial"/>
          <w:sz w:val="17"/>
          <w:szCs w:val="17"/>
          <w:color w:val="auto"/>
        </w:rPr>
        <w:t>have received the transfer of assets shall be a person organized and existing under the laws of the United States of America, any state thereof or the District of Columbia and shall expressly assume all of the obligations of the Operating Partnership under the Guarantee of the Notes; and (ii) immediately after giving effect to the transaction, no Event of Default under the Indenture, and no event which, after notice or the lapse of time, or both, would become an Event of Default, shall have occurred and be continuing; or</w:t>
      </w:r>
    </w:p>
    <w:p>
      <w:pPr>
        <w:sectPr>
          <w:pgSz w:w="11900" w:h="16838" w:orient="portrait"/>
          <w:cols w:equalWidth="0" w:num="1">
            <w:col w:w="11420"/>
          </w:cols>
          <w:pgMar w:left="240" w:top="125" w:right="239" w:bottom="0" w:gutter="0" w:footer="0" w:header="0"/>
        </w:sectPr>
      </w:pPr>
    </w:p>
    <w:bookmarkStart w:id="76" w:name="page77"/>
    <w:bookmarkEnd w:id="76"/>
    <w:p>
      <w:pPr>
        <w:jc w:val="both"/>
        <w:ind w:left="1300" w:right="40" w:firstLine="5"/>
        <w:spacing w:after="0" w:line="264" w:lineRule="auto"/>
        <w:tabs>
          <w:tab w:leader="none" w:pos="195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transaction constitutes a sale or other disposition (including by way of consolidation or merger) of the Operating Partnership or the sale or disposition of all or substantially all of the assets of the Operating Partnership (in each case other than to SL Green, the Issuer or a subsidiary of SL Green) otherwise permitted by the Indenture.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Waiver of Certain Covenants.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to, and not to the exclusion of Section 6.10 of the Base Indenture, the Issuer or a Guarantor may omit in any particular instance to comply with any term, provision or condition set forth in Sections 5.1 to 5.3 hereof, inclusive, with respect to the Notes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Issuer and the Guarantors and the duties of the Trustee in respect of any such term, provision or condition shall remain in full force and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REPURCHASES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Article IV of the Base Indenture shall apply to the Notes. Redemption of Notes at the option of the Issuer as permitted or required by the terms of such Notes shall be made in accordance with the terms of such Notes and Article IV of the Base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Section 7.1 replaces Section 14.01 of the Base Indenture with respect to the Notes only (and not any other series of Securities issued pursuant to the Base Indenture):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When authorized by or pursuant to a Board Resolution, the Issuer, the Guarantors and the Trustee (without the consent of the Holders of the Notes), at any time and from time to time, may enter into one or more indentures supplemental hereto, in form satisfactory to the Trustee, for any one or more of or all the following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60" w:hanging="644"/>
        <w:spacing w:after="0" w:line="277" w:lineRule="auto"/>
        <w:tabs>
          <w:tab w:leader="none" w:pos="129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a Guarantor, and the assumption by any successor of the covenants of the Issuer or such Guarantor, as the case may be, contained herein and in the Notes;</w:t>
      </w:r>
    </w:p>
    <w:p>
      <w:pPr>
        <w:spacing w:after="0" w:line="170" w:lineRule="exact"/>
        <w:rPr>
          <w:rFonts w:ascii="Arial" w:cs="Arial" w:eastAsia="Arial" w:hAnsi="Arial"/>
          <w:sz w:val="18"/>
          <w:szCs w:val="18"/>
          <w:color w:val="auto"/>
        </w:rPr>
      </w:pPr>
    </w:p>
    <w:p>
      <w:pPr>
        <w:jc w:val="both"/>
        <w:ind w:left="1300" w:right="60" w:hanging="644"/>
        <w:spacing w:after="0" w:line="264" w:lineRule="auto"/>
        <w:tabs>
          <w:tab w:leader="none" w:pos="13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add to the covenants and agreements of the Issuer, to be observed thereafter and during the period, if any, in such supplemental indenture or indentures expressed, and to add Events of Default, in each case for the protection or benefit of the Holders of the Notes, or to surrender any right or power herein conferred upon the Issuer;</w:t>
      </w:r>
    </w:p>
    <w:p>
      <w:pPr>
        <w:spacing w:after="0" w:line="181" w:lineRule="exact"/>
        <w:rPr>
          <w:rFonts w:ascii="Arial" w:cs="Arial" w:eastAsia="Arial" w:hAnsi="Arial"/>
          <w:sz w:val="18"/>
          <w:szCs w:val="18"/>
          <w:color w:val="auto"/>
        </w:rPr>
      </w:pPr>
    </w:p>
    <w:p>
      <w:pPr>
        <w:jc w:val="both"/>
        <w:ind w:left="1300" w:right="60" w:hanging="644"/>
        <w:spacing w:after="0" w:line="264" w:lineRule="auto"/>
        <w:tabs>
          <w:tab w:leader="none" w:pos="131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provide, change or eliminate any restrictions on the payment of principal of or premium, if any, on the Notes; provided that any such action shall not adversely affect the interests of the Holders of the Notes any material respect;</w:t>
      </w:r>
    </w:p>
    <w:p>
      <w:pPr>
        <w:spacing w:after="0" w:line="181" w:lineRule="exact"/>
        <w:rPr>
          <w:rFonts w:ascii="Arial" w:cs="Arial" w:eastAsia="Arial" w:hAnsi="Arial"/>
          <w:sz w:val="18"/>
          <w:szCs w:val="18"/>
          <w:color w:val="auto"/>
        </w:rPr>
      </w:pPr>
    </w:p>
    <w:p>
      <w:pPr>
        <w:ind w:left="1300" w:right="220" w:hanging="644"/>
        <w:spacing w:after="0" w:line="286" w:lineRule="auto"/>
        <w:tabs>
          <w:tab w:leader="none" w:pos="130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Notes and to add to or change any of the provisions of this Indenture as shall be necessary for or facilitate the administration of the trusts under the Indenture by more than one Trustee, pursuant to the requirements of Section 11.06(c) of the Base Indenture;</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cure any inconsistency or ambiguity or to correct or supplement any provision contained in the Indenture or in any indenture supplemental hereto which may be mistaken, defective or inconsistent with any other provision contained herein or in any supplemental indenture;</w:t>
      </w:r>
    </w:p>
    <w:p>
      <w:pPr>
        <w:spacing w:after="0" w:line="181" w:lineRule="exact"/>
        <w:rPr>
          <w:rFonts w:ascii="Arial" w:cs="Arial" w:eastAsia="Arial" w:hAnsi="Arial"/>
          <w:sz w:val="18"/>
          <w:szCs w:val="18"/>
          <w:color w:val="auto"/>
        </w:rPr>
      </w:pPr>
    </w:p>
    <w:p>
      <w:pPr>
        <w:ind w:left="1300" w:right="260" w:hanging="644"/>
        <w:spacing w:after="0" w:line="277" w:lineRule="auto"/>
        <w:tabs>
          <w:tab w:leader="none" w:pos="132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make any change in the Notes that does not adversely affect in any material respect the rights of the Holders of the Notes;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permit or facilitate the issuance of the Notes in uncertificated form, provided that this action shall not adversely affect the interests of Holders of the Notes in any material respect;</w:t>
      </w:r>
    </w:p>
    <w:p>
      <w:pPr>
        <w:spacing w:after="0" w:line="170"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the Notes; provided that any such action shall not adversely affect the interests of the Holders of the Notes in any material respect; or</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effect the assumption by a subsidiary or a co-obligor pursuant to the Indenture.</w:t>
      </w:r>
    </w:p>
    <w:p>
      <w:pPr>
        <w:sectPr>
          <w:pgSz w:w="11900" w:h="16838" w:orient="portrait"/>
          <w:cols w:equalWidth="0" w:num="1">
            <w:col w:w="11420"/>
          </w:cols>
          <w:pgMar w:left="240" w:top="125" w:right="239" w:bottom="100" w:gutter="0" w:footer="0" w:header="0"/>
        </w:sectPr>
      </w:pPr>
    </w:p>
    <w:bookmarkStart w:id="77" w:name="page78"/>
    <w:bookmarkEnd w:id="77"/>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Subject to the provisions of Section 14.03 of the Base Indenture, the Trustee is authorized to join with the Issuer in the execution of any such supplemental indenture, to make the further agreements and stipulations which may be therein contained and to accept the conveyance, transfer, assignment, mortgage or pledge of any property or assets thereunder.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7.1 may be executed by the Issuer and the Trustee without the consent of the Holders of any of the Notes at the time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5"/>
          <w:szCs w:val="15"/>
          <w:u w:val="single" w:color="auto"/>
          <w:color w:val="auto"/>
        </w:rPr>
        <w:t>Guarantee.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Guarantors shall guarantee the Notes on the terms and subject to the conditions set forth in this Article VIII. Each Guarantee is joint and several with all other Guarantees of the series and is an unconditional guarantee for the benefit of each Holder of the Notes that have been authenticated and delivered by the Trustee, and for the benefit of the Trustee on behalf of each such Holder, of the due and punctual payment of the principal of, premium, if any, and interest on such Notes when and as the same shall become due and payable, whether at its Stated Maturity or following acceleration, call for redemption, purchase or otherwise, in each case in accordance with the terms and conditions of such Notes and this Indenture. In case of the failure of the Company punctually to make any such payment on any such security, each Guarantor of such security jointly and severally agrees to cause such payment to be made punctually when and as the same shall become due and payable, whether at the Stated Maturity or by acceleration, call for redemption, purchase or otherwise, and as if such payment were made by the Company. Each Guarantee shall be a guaranty of payment, not of collection. Except as expressly provided in this First Supplemental Indenture, the applicable Guarantor further agrees that the obligations guaranteed pursuant to the applicable Guarantee may be amended, supplemented, modified, restated, extended or renewed, in whole or in part, without notice to or further assent from it, and that it will remain bound upon its Guarantee notwithstanding any such amendment, supplement, modification, extension or renewal of any such obligation.</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Limitation on Guarantor Liability</w:t>
      </w:r>
      <w:r>
        <w:rPr>
          <w:rFonts w:ascii="Arial" w:cs="Arial" w:eastAsia="Arial" w:hAnsi="Arial"/>
          <w:sz w:val="17"/>
          <w:szCs w:val="17"/>
          <w:color w:val="auto"/>
        </w:rPr>
        <w:t>.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or foreign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VIII, result in the obligations of such Guarantor under its Guarantee not constituting a fraudulent transfer or conveyance under federal, state or similar foreign law.</w:t>
      </w:r>
    </w:p>
    <w:p>
      <w:pPr>
        <w:spacing w:after="0" w:line="17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Execution and Delivery of Guarantee.</w:t>
      </w:r>
      <w:r>
        <w:rPr>
          <w:rFonts w:ascii="Arial" w:cs="Arial" w:eastAsia="Arial" w:hAnsi="Arial"/>
          <w:sz w:val="17"/>
          <w:szCs w:val="17"/>
          <w:color w:val="auto"/>
        </w:rPr>
        <w:t xml:space="preserve"> To evidence its Guarantee set forth in Section 8.1, each Guarantor hereby agrees that this Indenture (or a supplemental indenture to this Indenture) shall be executed on behalf of such Guarantor by an officer of such Guarantor.</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8.1 shall remain in full force and effect notwithstanding any failure to endorse on each Note a notation of such Guarantee.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on which a Guarantee is endorsed, the Guarantee shall be valid nevertheless.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Release of Guarantors.</w:t>
      </w:r>
    </w:p>
    <w:p>
      <w:pPr>
        <w:spacing w:after="0" w:line="225"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Operating Partnership’s Guarantee shall be released:</w:t>
      </w:r>
    </w:p>
    <w:p>
      <w:pPr>
        <w:spacing w:after="0" w:line="225" w:lineRule="exact"/>
        <w:rPr>
          <w:rFonts w:ascii="Arial" w:cs="Arial" w:eastAsia="Arial" w:hAnsi="Arial"/>
          <w:sz w:val="18"/>
          <w:szCs w:val="18"/>
          <w:color w:val="auto"/>
        </w:rPr>
      </w:pPr>
    </w:p>
    <w:p>
      <w:pPr>
        <w:ind w:left="1960" w:right="20" w:hanging="655"/>
        <w:spacing w:after="0" w:line="259" w:lineRule="auto"/>
        <w:tabs>
          <w:tab w:leader="none" w:pos="196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Operating Partnership’s assets (including by way of merger or consolidation) to an entity that is not (either before or after giving effort to such transaction) SL Green, the Issuer or one of their subsidiaries, if the sale or other disposition does not violate Section 6.04 of the Base Indenture as modified by this First Supplemental Indenture;</w:t>
      </w:r>
    </w:p>
    <w:p>
      <w:pPr>
        <w:spacing w:after="0" w:line="186" w:lineRule="exact"/>
        <w:rPr>
          <w:rFonts w:ascii="Arial" w:cs="Arial" w:eastAsia="Arial" w:hAnsi="Arial"/>
          <w:sz w:val="18"/>
          <w:szCs w:val="18"/>
          <w:color w:val="auto"/>
        </w:rPr>
      </w:pPr>
    </w:p>
    <w:p>
      <w:pPr>
        <w:ind w:left="1960" w:right="40" w:hanging="655"/>
        <w:spacing w:after="0" w:line="264" w:lineRule="auto"/>
        <w:tabs>
          <w:tab w:leader="none" w:pos="196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the capital stock of the Operating Partnership to a Person that is not (either before or after giving effect to such transition) SL Green, the Issuer or one of their subsidiaries, if the sale of other disposition does not violate Section 6.04 of the Base Indenture as modified by this First Supplemental Indenture;</w:t>
      </w:r>
    </w:p>
    <w:p>
      <w:pPr>
        <w:spacing w:after="0" w:line="181" w:lineRule="exact"/>
        <w:rPr>
          <w:rFonts w:ascii="Arial" w:cs="Arial" w:eastAsia="Arial" w:hAnsi="Arial"/>
          <w:sz w:val="18"/>
          <w:szCs w:val="18"/>
          <w:color w:val="auto"/>
        </w:rPr>
      </w:pPr>
    </w:p>
    <w:p>
      <w:pPr>
        <w:ind w:left="1960" w:right="260" w:hanging="655"/>
        <w:spacing w:after="0" w:line="277" w:lineRule="auto"/>
        <w:tabs>
          <w:tab w:leader="none" w:pos="196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defeasance under Section 3.2 of this First Supplemental Indenture or satisfaction and discharge under Section 12.02 of the Base Indenture; or</w:t>
      </w:r>
    </w:p>
    <w:p>
      <w:pPr>
        <w:spacing w:after="0" w:line="170" w:lineRule="exact"/>
        <w:rPr>
          <w:rFonts w:ascii="Arial" w:cs="Arial" w:eastAsia="Arial" w:hAnsi="Arial"/>
          <w:sz w:val="18"/>
          <w:szCs w:val="18"/>
          <w:color w:val="auto"/>
        </w:rPr>
      </w:pPr>
    </w:p>
    <w:p>
      <w:pPr>
        <w:ind w:left="1960" w:hanging="655"/>
        <w:spacing w:after="0" w:line="264" w:lineRule="auto"/>
        <w:tabs>
          <w:tab w:leader="none" w:pos="196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the contemporaneous release of the Operating Partnership’s obligations under SL Green’s, the Issuer’s and the Operating Partnership’s revolving credit facility and all other indebtedness for borrowed money of the Operating Partnership, SL Green or the Issuer.</w:t>
      </w:r>
    </w:p>
    <w:p>
      <w:pPr>
        <w:spacing w:after="0" w:line="181" w:lineRule="exact"/>
        <w:rPr>
          <w:rFonts w:ascii="Arial" w:cs="Arial" w:eastAsia="Arial" w:hAnsi="Arial"/>
          <w:sz w:val="18"/>
          <w:szCs w:val="18"/>
          <w:color w:val="auto"/>
        </w:rPr>
      </w:pPr>
    </w:p>
    <w:p>
      <w:pPr>
        <w:ind w:left="660" w:right="40" w:hanging="4"/>
        <w:spacing w:after="0" w:line="277" w:lineRule="auto"/>
        <w:tabs>
          <w:tab w:leader="none" w:pos="131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SL Green’s Guarantee will be released upon defeasance under Section 3.2 of this First Supplemental Indenture or satisfaction and discharge under Section 12.02 of the Base Indenture.</w:t>
      </w:r>
    </w:p>
    <w:p>
      <w:pPr>
        <w:sectPr>
          <w:pgSz w:w="11900" w:h="16929" w:orient="portrait"/>
          <w:cols w:equalWidth="0" w:num="1">
            <w:col w:w="11420"/>
          </w:cols>
          <w:pgMar w:left="240" w:top="125" w:right="239" w:bottom="0" w:gutter="0" w:footer="0" w:header="0"/>
        </w:sectPr>
      </w:pPr>
    </w:p>
    <w:bookmarkStart w:id="78" w:name="page79"/>
    <w:bookmarkEnd w:id="78"/>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First Supplemental Indenture or for or in respect of the recitals contained herein, all of which recitals are made solely by the Guarantors and the Issuer.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First Supplemental Indenture to be duly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 as Issuer</w:t>
      </w:r>
    </w:p>
    <w:p>
      <w:pPr>
        <w:spacing w:after="0" w:line="229"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rPr>
              <w:t>SL Green Realty Corp.,</w:t>
            </w:r>
          </w:p>
        </w:tc>
      </w:tr>
      <w:tr>
        <w:trPr>
          <w:trHeight w:val="230"/>
        </w:trPr>
        <w:tc>
          <w:tcPr>
            <w:tcW w:w="7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7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60"/>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REALTY CORP.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9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ind w:left="80"/>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9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80"/>
              <w:spacing w:after="0"/>
              <w:rPr>
                <w:sz w:val="20"/>
                <w:szCs w:val="20"/>
                <w:color w:val="auto"/>
              </w:rPr>
            </w:pPr>
            <w:r>
              <w:rPr>
                <w:rFonts w:ascii="Arial" w:cs="Arial" w:eastAsia="Arial" w:hAnsi="Arial"/>
                <w:sz w:val="18"/>
                <w:szCs w:val="18"/>
                <w:color w:val="auto"/>
              </w:rPr>
              <w:t>Executive Vice 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RECKSON OPERATING PARTNERSHIP, L.P.</w:t>
      </w:r>
    </w:p>
    <w:p>
      <w:pPr>
        <w:spacing w:after="0" w:line="229"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rPr>
              <w:t>Wyoming Acquisition GP LLC,</w:t>
            </w:r>
          </w:p>
        </w:tc>
      </w:tr>
      <w:tr>
        <w:trPr>
          <w:trHeight w:val="230"/>
        </w:trPr>
        <w:tc>
          <w:tcPr>
            <w:tcW w:w="7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 Levine</w:t>
            </w:r>
          </w:p>
        </w:tc>
      </w:tr>
      <w:tr>
        <w:trPr>
          <w:trHeight w:val="195"/>
        </w:trPr>
        <w:tc>
          <w:tcPr>
            <w:tcW w:w="7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60"/>
              <w:spacing w:after="0" w:line="195" w:lineRule="exact"/>
              <w:rPr>
                <w:sz w:val="20"/>
                <w:szCs w:val="20"/>
                <w:color w:val="auto"/>
              </w:rPr>
            </w:pPr>
            <w:r>
              <w:rPr>
                <w:rFonts w:ascii="Arial" w:cs="Arial" w:eastAsia="Arial" w:hAnsi="Arial"/>
                <w:sz w:val="18"/>
                <w:szCs w:val="18"/>
                <w:color w:val="auto"/>
              </w:rPr>
              <w:t>Andrew S. Levine</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Laurence J. O’Brien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Laurence J. O’Brien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WHICH MAY BE TREATED BY SL GREEN OPERATING PARTNERSHIP, L.P. (THE “ISSUER”), THE TRUSTEE AND ANY AGENT THEREOF AS OWNER AND HOLDER OF THIS SECURITY FOR ALL PURPOSES.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ISSUERS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TRANSFERS OF THIS GLOBAL SECURITY SHALL BE LIMITED TO TRANSFERS IN WHOLE, BUT NOT IN PART, BY THE DEPOSITARY TO A NOMINEE OF THE DEPOSITARY, OR BY A NOMINEE OF THE DEPOSITARY TO THE DEPOSITARY OR ANOTHER</w:t>
      </w:r>
    </w:p>
    <w:p>
      <w:pPr>
        <w:sectPr>
          <w:pgSz w:w="11900" w:h="16858" w:orient="portrait"/>
          <w:cols w:equalWidth="0" w:num="1">
            <w:col w:w="11420"/>
          </w:cols>
          <w:pgMar w:left="240" w:top="337" w:right="239" w:bottom="0" w:gutter="0" w:footer="0" w:header="0"/>
        </w:sectPr>
      </w:pPr>
    </w:p>
    <w:bookmarkStart w:id="79" w:name="page80"/>
    <w:bookmarkEnd w:id="79"/>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NOMINEE OF THE DEPOSITARY, OR BY THE DEPOSITARY OR ANY SUCH NOMINEE TO A SUCCESSOR DEPOSITARY OR A NOMINEE OF SUCH SUCCESSOR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3.250% Senior Notes due 2022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78444F AF3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US78444FAF36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Interest</w:t>
      </w:r>
      <w:r>
        <w:rPr>
          <w:rFonts w:ascii="Arial" w:cs="Arial" w:eastAsia="Arial" w:hAnsi="Arial"/>
          <w:sz w:val="16"/>
          <w:szCs w:val="16"/>
          <w:color w:val="auto"/>
        </w:rPr>
        <w:t>. SL Green Operating Partnership, L.P., a Delaware limited partnership (the “</w:t>
      </w:r>
      <w:r>
        <w:rPr>
          <w:rFonts w:ascii="Arial" w:cs="Arial" w:eastAsia="Arial" w:hAnsi="Arial"/>
          <w:sz w:val="16"/>
          <w:szCs w:val="16"/>
          <w:u w:val="single" w:color="auto"/>
          <w:color w:val="auto"/>
        </w:rPr>
        <w:t>Issuer</w:t>
      </w:r>
      <w:r>
        <w:rPr>
          <w:rFonts w:ascii="Arial" w:cs="Arial" w:eastAsia="Arial" w:hAnsi="Arial"/>
          <w:sz w:val="16"/>
          <w:szCs w:val="16"/>
          <w:color w:val="auto"/>
        </w:rPr>
        <w:t>”), for value received, hereby promises to pay to Cede &amp;</w:t>
      </w:r>
    </w:p>
    <w:p>
      <w:pPr>
        <w:spacing w:after="0" w:line="4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Co., or registered assigns, the principal sum of Dollars ($ ), as revised by the Schedule of Increases or Decreases in Global Security attached hereto, on October 15, 2022 and to pay interest thereon from , or from the most recent Interest Payment Date to which interest has been paid or duly</w:t>
      </w:r>
    </w:p>
    <w:p>
      <w:pPr>
        <w:ind w:right="580"/>
        <w:spacing w:after="0" w:line="261" w:lineRule="auto"/>
        <w:rPr>
          <w:sz w:val="20"/>
          <w:szCs w:val="20"/>
          <w:color w:val="auto"/>
        </w:rPr>
      </w:pPr>
      <w:r>
        <w:rPr>
          <w:rFonts w:ascii="Arial" w:cs="Arial" w:eastAsia="Arial" w:hAnsi="Arial"/>
          <w:sz w:val="18"/>
          <w:szCs w:val="18"/>
          <w:color w:val="auto"/>
        </w:rPr>
        <w:t>provided for, semi-annually in arrears on April 15 and October 15 of each year, commencing April 15, 2018 at the rate of 3.250% per annum, until the principal hereof is paid or made available for payment.</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u w:val="single" w:color="auto"/>
          <w:color w:val="auto"/>
        </w:rPr>
        <w:t>Method of Payment</w:t>
      </w:r>
      <w:r>
        <w:rPr>
          <w:rFonts w:ascii="Arial" w:cs="Arial" w:eastAsia="Arial" w:hAnsi="Arial"/>
          <w:sz w:val="17"/>
          <w:szCs w:val="17"/>
          <w:color w:val="auto"/>
        </w:rPr>
        <w:t>. The interest so payable, and punctually paid or duly provided for, on any Interest Payment Date will, as provided in such</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be paid to the Person in whose name this Note (or one or more Predecessor Securities) is registered at the close of business on the Record Date for such interest, which shall be April 1 or October 1,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thereof having been given to Holders of Notes not less than 10 days prior to such Special Record Date, all as more fully provided in said Indenture. Payment of the principal of (and premium, if any) and any such interest on this Note will be made at the Corporate Trust Office in U.S. Dollars or as otherwise set forth in Section 3.08 of the Indenture.</w:t>
      </w:r>
    </w:p>
    <w:p>
      <w:pPr>
        <w:spacing w:after="0" w:line="1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u w:val="single" w:color="auto"/>
          <w:color w:val="auto"/>
        </w:rPr>
        <w:t>Authentication</w:t>
      </w:r>
      <w:r>
        <w:rPr>
          <w:rFonts w:ascii="Arial" w:cs="Arial" w:eastAsia="Arial" w:hAnsi="Arial"/>
          <w:sz w:val="18"/>
          <w:szCs w:val="18"/>
          <w:color w:val="auto"/>
        </w:rPr>
        <w:t>. Unless the certificate of authentication hereon has been executed by the Trustee referred to on the reverse hereof by manual</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Issuer have caused this instrument to be duly executed under their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SL GREEN OPERATING PARTNERSHIP, L.P., as Issuer</w:t>
      </w:r>
    </w:p>
    <w:p>
      <w:pPr>
        <w:spacing w:after="0" w:line="229"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 Green Realty Corp.,</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6900" w:type="dxa"/>
            <w:vAlign w:val="bottom"/>
            <w:gridSpan w:val="2"/>
          </w:tcPr>
          <w:p>
            <w:pPr>
              <w:ind w:left="1540"/>
              <w:spacing w:after="0"/>
              <w:rPr>
                <w:sz w:val="20"/>
                <w:szCs w:val="20"/>
                <w:color w:val="auto"/>
              </w:rPr>
            </w:pPr>
            <w:r>
              <w:rPr>
                <w:rFonts w:ascii="Arial" w:cs="Arial" w:eastAsia="Arial" w:hAnsi="Arial"/>
                <w:sz w:val="18"/>
                <w:szCs w:val="18"/>
                <w:color w:val="auto"/>
              </w:rPr>
              <w:t>TRUSTEE’S CERTIFICATE OF AUTHENTICATION</w:t>
            </w:r>
          </w:p>
        </w:tc>
      </w:tr>
      <w:tr>
        <w:trPr>
          <w:trHeight w:val="432"/>
        </w:trPr>
        <w:tc>
          <w:tcPr>
            <w:tcW w:w="9080" w:type="dxa"/>
            <w:vAlign w:val="bottom"/>
            <w:gridSpan w:val="3"/>
          </w:tcPr>
          <w:p>
            <w:pPr>
              <w:ind w:left="660"/>
              <w:spacing w:after="0"/>
              <w:rPr>
                <w:sz w:val="20"/>
                <w:szCs w:val="20"/>
                <w:color w:val="auto"/>
              </w:rPr>
            </w:pPr>
            <w:r>
              <w:rPr>
                <w:rFonts w:ascii="Arial" w:cs="Arial" w:eastAsia="Arial" w:hAnsi="Arial"/>
                <w:sz w:val="18"/>
                <w:szCs w:val="18"/>
                <w:color w:val="auto"/>
              </w:rPr>
              <w:t>This is one of the Notes of the series designated therein referred to in the within-mentioned Indenture.</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Date of authentication:</w:t>
            </w:r>
          </w:p>
        </w:tc>
        <w:tc>
          <w:tcPr>
            <w:tcW w:w="3420" w:type="dxa"/>
            <w:vAlign w:val="bottom"/>
            <w:tcBorders>
              <w:bottom w:val="single" w:sz="8" w:color="auto"/>
            </w:tcBorders>
          </w:tcPr>
          <w:p>
            <w:pPr>
              <w:spacing w:after="0"/>
              <w:rPr>
                <w:sz w:val="24"/>
                <w:szCs w:val="24"/>
                <w:color w:val="auto"/>
              </w:rPr>
            </w:pPr>
          </w:p>
        </w:tc>
        <w:tc>
          <w:tcPr>
            <w:tcW w:w="3480" w:type="dxa"/>
            <w:vAlign w:val="bottom"/>
          </w:tcPr>
          <w:p>
            <w:pPr>
              <w:ind w:left="280"/>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w:t>
            </w:r>
          </w:p>
        </w:tc>
      </w:tr>
      <w:tr>
        <w:trPr>
          <w:trHeight w:val="210"/>
        </w:trPr>
        <w:tc>
          <w:tcPr>
            <w:tcW w:w="2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80" w:type="dxa"/>
            <w:vAlign w:val="bottom"/>
          </w:tcPr>
          <w:p>
            <w:pPr>
              <w:ind w:left="280"/>
              <w:spacing w:after="0"/>
              <w:rPr>
                <w:sz w:val="20"/>
                <w:szCs w:val="20"/>
                <w:color w:val="auto"/>
              </w:rPr>
            </w:pPr>
            <w:r>
              <w:rPr>
                <w:rFonts w:ascii="Arial" w:cs="Arial" w:eastAsia="Arial" w:hAnsi="Arial"/>
                <w:sz w:val="18"/>
                <w:szCs w:val="18"/>
                <w:color w:val="auto"/>
              </w:rPr>
              <w:t>as Trustee</w:t>
            </w:r>
          </w:p>
        </w:tc>
      </w:tr>
    </w:tbl>
    <w:p>
      <w:pPr>
        <w:spacing w:after="0" w:line="18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3.250% Senior Notes due 2022</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Note is one of a duly authorized issue of securities of the Issuer, issued and to be issued in one or more series under an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dated as of October 5, 2017, as supplemented by a First Supplemental Indenture, dated as of October 5, 2017 (as so supplemented, herein called the “Indenture”), between the Issuer, SL Green Realty Corp. and Reckson Operating Partnership, L.P., as Guarantors, and The Bank of New York Mellon, as Trustee (herein called the “Trustee”, which term includes any successor trustee under the Indenture), to which Indenture and all indentures supplemental</w:t>
      </w:r>
    </w:p>
    <w:p>
      <w:pPr>
        <w:sectPr>
          <w:pgSz w:w="11900" w:h="16891" w:orient="portrait"/>
          <w:cols w:equalWidth="0" w:num="1">
            <w:col w:w="11420"/>
          </w:cols>
          <w:pgMar w:left="240" w:top="125" w:right="239" w:bottom="0" w:gutter="0" w:footer="0" w:header="0"/>
        </w:sectPr>
      </w:pPr>
    </w:p>
    <w:bookmarkStart w:id="80" w:name="page81"/>
    <w:bookmarkEnd w:id="80"/>
    <w:p>
      <w:pPr>
        <w:ind w:right="200"/>
        <w:spacing w:after="0" w:line="272" w:lineRule="auto"/>
        <w:rPr>
          <w:sz w:val="20"/>
          <w:szCs w:val="20"/>
          <w:color w:val="auto"/>
        </w:rPr>
      </w:pPr>
      <w:r>
        <w:rPr>
          <w:rFonts w:ascii="Arial" w:cs="Arial" w:eastAsia="Arial" w:hAnsi="Arial"/>
          <w:sz w:val="17"/>
          <w:szCs w:val="17"/>
          <w:color w:val="auto"/>
        </w:rPr>
        <w:t>thereto relating to the Notes reference is hereby made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$500,000,000. Under a Board Resolution, Officer’s Certificate pursuant to Board Resolutions or a supplemental indenture, the Issuer may from time to time, without the consent of the Holders of Notes, issue additional Notes (in any such case “</w:t>
      </w:r>
      <w:r>
        <w:rPr>
          <w:rFonts w:ascii="Arial" w:cs="Arial" w:eastAsia="Arial" w:hAnsi="Arial"/>
          <w:sz w:val="17"/>
          <w:szCs w:val="17"/>
          <w:u w:val="single" w:color="auto"/>
          <w:color w:val="auto"/>
        </w:rPr>
        <w:t>Additional Notes</w:t>
      </w:r>
      <w:r>
        <w:rPr>
          <w:rFonts w:ascii="Arial" w:cs="Arial" w:eastAsia="Arial" w:hAnsi="Arial"/>
          <w:sz w:val="17"/>
          <w:szCs w:val="17"/>
          <w:color w:val="auto"/>
        </w:rPr>
        <w:t>”) having the same ranking and the same interest rate, maturity and other terms as the Notes. Any Additional Notes and the Initial Notes will constitute a single series under the Indenture and all references to the relevant Notes herein shall include the Additional Notes unless the context otherwise requires.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Prior to September 15, 2022 (one month prior to maturity, (the “</w:t>
      </w:r>
      <w:r>
        <w:rPr>
          <w:rFonts w:ascii="Arial" w:cs="Arial" w:eastAsia="Arial" w:hAnsi="Arial"/>
          <w:sz w:val="18"/>
          <w:szCs w:val="18"/>
          <w:u w:val="single" w:color="auto"/>
          <w:color w:val="auto"/>
        </w:rPr>
        <w:t>Par Call Date</w:t>
      </w:r>
      <w:r>
        <w:rPr>
          <w:rFonts w:ascii="Arial" w:cs="Arial" w:eastAsia="Arial" w:hAnsi="Arial"/>
          <w:sz w:val="18"/>
          <w:szCs w:val="18"/>
          <w:color w:val="auto"/>
        </w:rPr>
        <w:t>”)), the Notes are subject to redemption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option, at any time and from time to time, in whole or in part, at a Redemption Price equal to the sum of (i) the principal amount of the Notes being redeemed, (ii) unpaid interest accrued thereon to the redemption date and (iii) the Make-Whole Amount (as defined below), if any, with respect to such Notes. If the Notes are redeemed on or after the Par Call Date, the redemption price for the Notes will equal 100% of the principal amount of the Notes, plus unpaid accrued interest thereon to the redemption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Amount</w:t>
      </w:r>
      <w:r>
        <w:rPr>
          <w:rFonts w:ascii="Arial" w:cs="Arial" w:eastAsia="Arial" w:hAnsi="Arial"/>
          <w:sz w:val="16"/>
          <w:szCs w:val="16"/>
          <w:color w:val="auto"/>
        </w:rPr>
        <w:t>” means, in connection with any optional redemption, the excess, if any, of (i) the aggregate present value as of the date of such redemption of each dollar of principal being redeemed and the amount of interest on the notes being redeemed that would be due if such notes matured on the Par Call Date (exclusive of interest accrued to the date of redemption), determined by discounting, on a semi-annual basis, such principal and interest at the Reinvestment Rate (determined on the third business day in The City of New York preceding the date such notice of redemption is given) from the respective dates on which such principal and interest would have been payable if such redemption had not been made, to the date of such redemption over (ii) the aggregate principal amount of the Notes being redeemed. The Issuer shall be solely responsible for calculating the Make-Whole Amount.</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Rate</w:t>
      </w:r>
      <w:r>
        <w:rPr>
          <w:rFonts w:ascii="Arial" w:cs="Arial" w:eastAsia="Arial" w:hAnsi="Arial"/>
          <w:sz w:val="18"/>
          <w:szCs w:val="18"/>
          <w:color w:val="auto"/>
        </w:rPr>
        <w:t>” means 0.25% plus the arithmetic mean, as calculated by the Issuer, of the yields under the heading “Week Ending” published in the most recent Statistical Release under the caption “Treasury Constant Maturities” for the maturity (rounded to the nearest month) corresponding to the remaining life of the Notes to be redeemed (assuming for this purpose the Notes matured on the Par Call Date), as of the redemption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each of such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periods to the nearest month. For the purpose of calculating the Reinvestment Rate, the most recent Statistical Release published prior to the date of determination of the Make-Whole Amount shall be used.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Statistical Release</w:t>
      </w:r>
      <w:r>
        <w:rPr>
          <w:rFonts w:ascii="Arial" w:cs="Arial" w:eastAsia="Arial" w:hAnsi="Arial"/>
          <w:sz w:val="18"/>
          <w:szCs w:val="18"/>
          <w:color w:val="auto"/>
        </w:rPr>
        <w:t>” means the statistical release designated “H.15 (519)” or any successor publication which is published weekly by the Board of Governors of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the Issuer.</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(unless a shorter period shall be satisfactory to the Trustee) to each registered Holder of the Notes to be redeemed. Unless the Issuer defaults in payment of the redemption price, on and after the Redemption Date, interest will cease to accrue on the Notes or portions of the Notes called for redemption. If fewer than all of the Notes are to be redeemed, the Securities to be redeemed will be selected in accordance with the policies and procedures of the Depositary.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Notes will not be redeemable by the Issuer prior to maturity and will not be entitled to the benefit of any sinking fund.</w:t>
      </w:r>
    </w:p>
    <w:p>
      <w:pPr>
        <w:spacing w:after="0" w:line="248"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Notes shall occur and be continuing, the principal of the Notes may be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due and payable in the manner and with the effect provided in the Indenture.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Amendment, Modification and Waiver</w:t>
      </w:r>
      <w:r>
        <w:rPr>
          <w:rFonts w:ascii="Arial" w:cs="Arial" w:eastAsia="Arial" w:hAnsi="Arial"/>
          <w:sz w:val="17"/>
          <w:szCs w:val="17"/>
          <w:color w:val="auto"/>
        </w:rPr>
        <w:t>. The Indenture permits, with certain exceptions as therein provided, the amendment thereof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the rights and obligations of the Issuer and the rights of the Holders of the Notes of each series to be affected under the Indenture at any time by the Issuer and the Trustee with the consent of the Holders of a majority in aggregate principal amount of the Notes at the time Outstanding of each series to be affected. The Indenture also contains provisions permitting the Holders of a majority in aggregate principal amount of the Notes of each series at the time Outstanding, on behalf of the Holders of all Notes of such series,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7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Denominations, Transfer and Exchange</w:t>
      </w:r>
      <w:r>
        <w:rPr>
          <w:rFonts w:ascii="Arial" w:cs="Arial" w:eastAsia="Arial" w:hAnsi="Arial"/>
          <w:sz w:val="17"/>
          <w:szCs w:val="17"/>
          <w:color w:val="auto"/>
        </w:rPr>
        <w:t>. The Notes are issuable only in registered form without coupons in denominations of $2,000 and in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provided in the Indenture and subject to certain limitations therein set forth, the transfer of this Note is registerable in the Security Register, upon surrender of this Note for registration of transfer at the Registrar accompanied by a written request for transfer in form satisfactory to the Issuer and the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tax or other governmental charge payable in connection therewith.</w:t>
      </w:r>
    </w:p>
    <w:p>
      <w:pPr>
        <w:sectPr>
          <w:pgSz w:w="11900" w:h="16838" w:orient="portrait"/>
          <w:cols w:equalWidth="0" w:num="1">
            <w:col w:w="11420"/>
          </w:cols>
          <w:pgMar w:left="240" w:top="125" w:right="239" w:bottom="0" w:gutter="0" w:footer="0" w:header="0"/>
        </w:sectPr>
      </w:pPr>
    </w:p>
    <w:bookmarkStart w:id="81" w:name="page82"/>
    <w:bookmarkEnd w:id="81"/>
    <w:p>
      <w:pPr>
        <w:jc w:val="both"/>
        <w:ind w:right="180" w:firstLine="648"/>
        <w:spacing w:after="0" w:line="264" w:lineRule="auto"/>
        <w:rPr>
          <w:sz w:val="20"/>
          <w:szCs w:val="20"/>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this Note for registration of transfer, the Issuer, the Trustee and any agent of the Issuer 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treat the Person in whose name this Note is registered as the owner hereof for all purposes, whether or not this Note be overdue, and neither the Issuer, the Trustee nor any such agent shall be affected by notice to the contrary.</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The Indenture and this Note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conflicts of law rules of said State.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Note and not defined herein shall have the meanings assigned to them in the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SCHEDULE OF INCREASES OR DECREASES IN GLOBAL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increases or decreases in this Global Security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Amount of increase in</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 of decrease</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 of</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2120" w:type="dxa"/>
            <w:vAlign w:val="bottom"/>
            <w:gridSpan w:val="2"/>
            <w:vMerge w:val="continue"/>
          </w:tcPr>
          <w:p>
            <w:pPr>
              <w:spacing w:after="0"/>
              <w:rPr>
                <w:sz w:val="12"/>
                <w:szCs w:val="12"/>
                <w:color w:val="auto"/>
              </w:rPr>
            </w:pP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continue"/>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following each</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this Global Security</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Security</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decrease or increase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 Trustee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03730" cy="411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037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1595120" cy="7372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951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October 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10170</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380" w:hanging="6"/>
        <w:spacing w:after="0" w:line="279" w:lineRule="auto"/>
        <w:rPr>
          <w:sz w:val="20"/>
          <w:szCs w:val="20"/>
          <w:color w:val="auto"/>
        </w:rPr>
      </w:pPr>
      <w:r>
        <w:rPr>
          <w:rFonts w:ascii="Arial" w:cs="Arial" w:eastAsia="Arial" w:hAnsi="Arial"/>
          <w:sz w:val="17"/>
          <w:szCs w:val="17"/>
          <w:color w:val="auto"/>
        </w:rPr>
        <w:t>SL Green Realty Corp., a Maryland corporation (the “Company”) — Issuance and sale of $500,000,000 aggregate principal amount of 3.250% Senior Notes due 2022 (the “Notes”) by SL Green Operating Partnership, L.P., a Delaware limited partnership of which the Company is the sole general partner (“SLG OP”), pursuant to the Registration Statement on Form S-3 (Registration No. 333-208621) filed with the United States Securities and Exchange Commission (the “Commission”) on December 18, 2015 (the “Registration Statement”)</w:t>
      </w:r>
    </w:p>
    <w:p>
      <w:pPr>
        <w:spacing w:after="0" w:line="171" w:lineRule="exact"/>
        <w:rPr>
          <w:sz w:val="20"/>
          <w:szCs w:val="20"/>
          <w:color w:val="auto"/>
        </w:rPr>
      </w:pPr>
    </w:p>
    <w:p>
      <w:pPr>
        <w:sectPr>
          <w:pgSz w:w="11900" w:h="16838" w:orient="portrait"/>
          <w:cols w:equalWidth="0" w:num="2">
            <w:col w:w="260" w:space="400"/>
            <w:col w:w="1076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acted as Maryland corporate counsel to the Company in connection with the registration of the Notes under the Securities Act of 1933, as amended (the “Act”), by SLG OP pursuant to the Registration Statement. The Notes will be issued under, and subject to the terms of, the Indenture (as defined herein) and, pursuant to Article VIII of the First Supplemental Indenture (as defined herein), the Company and Reckson Operating Partnership, L.P., a Delaware limited partnership (“Reckson OP” and, together with the Company, the “Guarantors”), will each provide a full and unconditional guarantee of the obligations of SLG OP under the Notes (each a “Guarantee” and, collectively, the “Guarantees”). You have requested our opinion with respect to the matters set forth below.</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capacity as Maryland corporate counsel to the Company and for purposes of this opinion, we have examined originals, or copies certified or otherwise identified to our satisfaction, of the following documents (collectively, the “Documents”):</w:t>
      </w:r>
    </w:p>
    <w:p>
      <w:pPr>
        <w:spacing w:after="0" w:line="170" w:lineRule="exact"/>
        <w:rPr>
          <w:sz w:val="20"/>
          <w:szCs w:val="20"/>
          <w:color w:val="auto"/>
        </w:rPr>
      </w:pPr>
    </w:p>
    <w:p>
      <w:pPr>
        <w:ind w:left="1960" w:hanging="655"/>
        <w:spacing w:after="0" w:line="264" w:lineRule="auto"/>
        <w:tabs>
          <w:tab w:leader="none" w:pos="19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corporate charter of the Company (the “Charter”), represented by Articles of Restatement filed with the State Department of Assessments and Taxation of Maryland (the “Department”) on July 11, 2014 and Articles of Amendment filed with the Department on July 13, 2017;</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Fourth Amended and Restated Bylaws of the Company adopted on March 23, 2016 (the “Bylaws”);</w:t>
      </w:r>
    </w:p>
    <w:p>
      <w:pPr>
        <w:spacing w:after="0" w:line="225" w:lineRule="exact"/>
        <w:rPr>
          <w:rFonts w:ascii="Arial" w:cs="Arial" w:eastAsia="Arial" w:hAnsi="Arial"/>
          <w:sz w:val="18"/>
          <w:szCs w:val="18"/>
          <w:color w:val="auto"/>
        </w:rPr>
      </w:pPr>
    </w:p>
    <w:p>
      <w:pPr>
        <w:ind w:left="1960" w:right="640" w:hanging="655"/>
        <w:spacing w:after="0" w:line="277" w:lineRule="auto"/>
        <w:tabs>
          <w:tab w:leader="none" w:pos="2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(the “Board of Directors”) on or as of October 3, 2017 (the “Directors’ Resolutions”);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Atlanta | Baltimore | Bethesda | Denver | Las Vegas | Los Angeles | New Jersey | New York | Philadelphia | Phoenix | Salt Lake City | San Diego | Washington, DC | 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60" w:right="160" w:hanging="655"/>
        <w:spacing w:after="0" w:line="308" w:lineRule="auto"/>
        <w:tabs>
          <w:tab w:leader="none" w:pos="197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status certificate of the Department, dated as of a recent date, to the effect that the Company is duly incorporated and existing under the laws of the State of Maryland and is duly authorized to transact business in the State of Maryland;</w:t>
      </w:r>
    </w:p>
    <w:p>
      <w:pPr>
        <w:spacing w:after="0" w:line="146" w:lineRule="exact"/>
        <w:rPr>
          <w:rFonts w:ascii="Arial" w:cs="Arial" w:eastAsia="Arial" w:hAnsi="Arial"/>
          <w:sz w:val="17"/>
          <w:szCs w:val="17"/>
          <w:color w:val="auto"/>
        </w:rPr>
      </w:pPr>
    </w:p>
    <w:p>
      <w:pPr>
        <w:ind w:left="1960" w:right="60" w:hanging="655"/>
        <w:spacing w:after="0" w:line="259" w:lineRule="auto"/>
        <w:tabs>
          <w:tab w:leader="none" w:pos="196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fully executed counterpart of the Indenture, dated as of October 5, 2017 (the “Base Indenture”), by and among SLG OP and The Bank of New York Mellon, as trustee (the “Trustee”), as supplemented by the First Supplemental Indenture, dated as of October 5, 2017, which includes the Guarantees (the “First Supplemental Indenture” and, together with the Base Indenture, the “Indenture”), by and among SLG OP, the Guarantors and the Trustee;</w:t>
      </w:r>
    </w:p>
    <w:p>
      <w:pPr>
        <w:spacing w:after="0" w:line="186" w:lineRule="exact"/>
        <w:rPr>
          <w:rFonts w:ascii="Arial" w:cs="Arial" w:eastAsia="Arial" w:hAnsi="Arial"/>
          <w:sz w:val="18"/>
          <w:szCs w:val="18"/>
          <w:color w:val="auto"/>
        </w:rPr>
      </w:pPr>
    </w:p>
    <w:p>
      <w:pPr>
        <w:ind w:left="1960" w:right="20" w:hanging="655"/>
        <w:spacing w:after="0" w:line="277" w:lineRule="auto"/>
        <w:tabs>
          <w:tab w:leader="none" w:pos="197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fully executed counterpart of the global note, dated October 5, 2017, registered in the name of The Depository Trust Company or its nominee Cede &amp; Co., representing the Notes;</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8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Registration Statement and the related prospectus and prospectus supplement, in substantially the form filed or to be filed with the Commission pursuant to the Act;</w:t>
      </w:r>
    </w:p>
    <w:p>
      <w:pPr>
        <w:spacing w:after="0" w:line="170" w:lineRule="exact"/>
        <w:rPr>
          <w:rFonts w:ascii="Arial" w:cs="Arial" w:eastAsia="Arial" w:hAnsi="Arial"/>
          <w:sz w:val="18"/>
          <w:szCs w:val="18"/>
          <w:color w:val="auto"/>
        </w:rPr>
      </w:pPr>
    </w:p>
    <w:p>
      <w:pPr>
        <w:ind w:left="1960" w:right="360" w:hanging="655"/>
        <w:spacing w:after="0" w:line="277" w:lineRule="auto"/>
        <w:tabs>
          <w:tab w:leader="none" w:pos="19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First Amended and Restated Agreement of Limited Partnership of SL Green Operating Partnership, L.P., dated August 20, 1997, as further amended to date (the “Partnership Agreement”);</w:t>
      </w:r>
    </w:p>
    <w:p>
      <w:pPr>
        <w:spacing w:after="0" w:line="170" w:lineRule="exact"/>
        <w:rPr>
          <w:rFonts w:ascii="Arial" w:cs="Arial" w:eastAsia="Arial" w:hAnsi="Arial"/>
          <w:sz w:val="18"/>
          <w:szCs w:val="18"/>
          <w:color w:val="auto"/>
        </w:rPr>
      </w:pPr>
    </w:p>
    <w:p>
      <w:pPr>
        <w:ind w:left="1960" w:right="160" w:hanging="655"/>
        <w:spacing w:after="0" w:line="255" w:lineRule="auto"/>
        <w:tabs>
          <w:tab w:leader="none" w:pos="197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certificate of Andrew S. Levine, Executive Vice President and Secretary of the Company, and Matthew J. DiLiberto, Chief Financial Officer of the Company, dated as of the date hereof (the “Officers’ Certificate”), to the effect that, among other things, the Charter, the Bylaws, the Directors’ Resolutions and the Partnership Agreement are true, correct and complete and have not been rescinded or modified and are in full force and effect on the date hereof, and certifying as to the manner of adoption or approval of the Directors’ Resolutions, the authorization of the issuance of the Notes, and the form, execution and delivery of the Indenture; and</w:t>
      </w:r>
    </w:p>
    <w:p>
      <w:pPr>
        <w:spacing w:after="0" w:line="193" w:lineRule="exact"/>
        <w:rPr>
          <w:rFonts w:ascii="Arial" w:cs="Arial" w:eastAsia="Arial" w:hAnsi="Arial"/>
          <w:sz w:val="18"/>
          <w:szCs w:val="18"/>
          <w:color w:val="auto"/>
        </w:rPr>
      </w:pPr>
    </w:p>
    <w:p>
      <w:pPr>
        <w:ind w:left="1960" w:right="460" w:hanging="655"/>
        <w:spacing w:after="0" w:line="277" w:lineRule="auto"/>
        <w:tabs>
          <w:tab w:leader="none" w:pos="196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and appropriate to render the opinions set forth in this letter, subject to the limitations, assumptions and qualifications noted below.</w:t>
      </w:r>
    </w:p>
    <w:p>
      <w:pPr>
        <w:sectPr>
          <w:pgSz w:w="11900" w:h="16838" w:orient="portrait"/>
          <w:cols w:equalWidth="0" w:num="1">
            <w:col w:w="11420"/>
          </w:cols>
          <w:pgMar w:left="240" w:top="121" w:right="239" w:bottom="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color w:val="auto"/>
        </w:rPr>
        <w:t>In reaching the opinions set forth below, we have assumed the following:</w:t>
      </w:r>
    </w:p>
    <w:p>
      <w:pPr>
        <w:spacing w:after="0" w:line="225" w:lineRule="exact"/>
        <w:rPr>
          <w:sz w:val="20"/>
          <w:szCs w:val="20"/>
          <w:color w:val="auto"/>
        </w:rPr>
      </w:pPr>
    </w:p>
    <w:p>
      <w:pPr>
        <w:ind w:left="1940" w:hanging="635"/>
        <w:spacing w:after="0"/>
        <w:tabs>
          <w:tab w:leader="none" w:pos="19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person executing any of the Documents on behalf of any party (other than the Company) is duly authorized to do so;</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natural person executing any of the Documents is legally competent to do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80" w:hanging="655"/>
        <w:spacing w:after="0" w:line="259" w:lineRule="auto"/>
        <w:tabs>
          <w:tab w:leader="none" w:pos="19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instrument, document or agreement reviewed by us has duly authorized and validly executed and delivered each such instrument, document and agreement to which such party is a signatory, and such party’s obligations set forth therein are legal, valid and binding and are enforceable in accordance with their respective terms;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there are no material modifications of, or amendments to, the pertinent sections of the Indenture;</w:t>
      </w:r>
    </w:p>
    <w:p>
      <w:pPr>
        <w:spacing w:after="0" w:line="225" w:lineRule="exact"/>
        <w:rPr>
          <w:rFonts w:ascii="Arial" w:cs="Arial" w:eastAsia="Arial" w:hAnsi="Arial"/>
          <w:sz w:val="18"/>
          <w:szCs w:val="18"/>
          <w:color w:val="auto"/>
        </w:rPr>
      </w:pPr>
    </w:p>
    <w:p>
      <w:pPr>
        <w:ind w:left="1960" w:hanging="655"/>
        <w:spacing w:after="0" w:line="264" w:lineRule="auto"/>
        <w:tabs>
          <w:tab w:leader="none" w:pos="19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all Documents submitted to us as certified, facsimile or photostatic copies conform to the original document; all signatures on all Documents submitted to us for examination are genuine; and all public records reviewed are accurate and complete;</w:t>
      </w:r>
    </w:p>
    <w:p>
      <w:pPr>
        <w:spacing w:after="0" w:line="181" w:lineRule="exact"/>
        <w:rPr>
          <w:rFonts w:ascii="Arial" w:cs="Arial" w:eastAsia="Arial" w:hAnsi="Arial"/>
          <w:sz w:val="18"/>
          <w:szCs w:val="18"/>
          <w:color w:val="auto"/>
        </w:rPr>
      </w:pPr>
    </w:p>
    <w:p>
      <w:pPr>
        <w:ind w:left="1960" w:hanging="655"/>
        <w:spacing w:after="0" w:line="277" w:lineRule="auto"/>
        <w:tabs>
          <w:tab w:leader="none" w:pos="19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certificates submitted to us, including but not limited to the Officers’ Certificate, are true and correct, both when made and as of the date hereof;</w:t>
      </w:r>
    </w:p>
    <w:p>
      <w:pPr>
        <w:spacing w:after="0" w:line="170"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Directors’ Resolutions were adopted at a duly convened meeting of the Board of Directors of the Company by the affirmative vote of at least a majority of the entire Board of Directors of the Company or by unanimous consent of the directors of the Company given in writing or by electronic transmission;</w:t>
      </w:r>
    </w:p>
    <w:p>
      <w:pPr>
        <w:spacing w:after="0" w:line="181" w:lineRule="exact"/>
        <w:rPr>
          <w:rFonts w:ascii="Arial" w:cs="Arial" w:eastAsia="Arial" w:hAnsi="Arial"/>
          <w:sz w:val="18"/>
          <w:szCs w:val="18"/>
          <w:color w:val="auto"/>
        </w:rPr>
      </w:pPr>
    </w:p>
    <w:p>
      <w:pPr>
        <w:ind w:left="1960" w:right="640" w:hanging="655"/>
        <w:spacing w:after="0" w:line="277" w:lineRule="auto"/>
        <w:tabs>
          <w:tab w:leader="none" w:pos="196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representations and warranties made by the Company in the Indenture (other than representations and warranties of the Company as to legal matters on which opinions are rendered herein) are true and correct;</w:t>
      </w:r>
    </w:p>
    <w:p>
      <w:pPr>
        <w:spacing w:after="0" w:line="170" w:lineRule="exact"/>
        <w:rPr>
          <w:rFonts w:ascii="Arial" w:cs="Arial" w:eastAsia="Arial" w:hAnsi="Arial"/>
          <w:sz w:val="18"/>
          <w:szCs w:val="18"/>
          <w:color w:val="auto"/>
        </w:rPr>
      </w:pPr>
    </w:p>
    <w:p>
      <w:pPr>
        <w:ind w:left="1960" w:right="60" w:hanging="655"/>
        <w:spacing w:after="0" w:line="257" w:lineRule="auto"/>
        <w:tabs>
          <w:tab w:leader="none" w:pos="19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corporate action required to be taken by the Company as general partner of SLG OP in authorizing actions in its capacity as general partner of SLG OP is the same as that which would be required to be taken had SLG OP been organized as a limited partnership under the laws of the State of Maryland, instead of the State of Delaware, with the Company as its sole general partner and with no restrictions under the governing documents of SLG OP on the power or authority of the general partner to act on its behalf;</w:t>
      </w:r>
    </w:p>
    <w:p>
      <w:pPr>
        <w:spacing w:after="0" w:line="188" w:lineRule="exact"/>
        <w:rPr>
          <w:rFonts w:ascii="Arial" w:cs="Arial" w:eastAsia="Arial" w:hAnsi="Arial"/>
          <w:sz w:val="18"/>
          <w:szCs w:val="18"/>
          <w:color w:val="auto"/>
        </w:rPr>
      </w:pPr>
    </w:p>
    <w:p>
      <w:pPr>
        <w:ind w:left="1960" w:right="820" w:hanging="655"/>
        <w:spacing w:after="0" w:line="277" w:lineRule="auto"/>
        <w:tabs>
          <w:tab w:leader="none" w:pos="19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Notes will be issued in book entry form, represented by a global note, and have been authenticated by the Trustee in accordance with, and subject to, the terms of the Indenture;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Indenture will remain in full force and effect for so long as the Notes are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Based on our review of the foregoing and subject to the assumptions and qualifications set forth herein, it is our opinion that, as of the date of this letter:</w:t>
      </w:r>
    </w:p>
    <w:p>
      <w:pPr>
        <w:spacing w:after="0" w:line="237" w:lineRule="exact"/>
        <w:rPr>
          <w:sz w:val="20"/>
          <w:szCs w:val="20"/>
          <w:color w:val="auto"/>
        </w:rPr>
      </w:pPr>
    </w:p>
    <w:p>
      <w:pPr>
        <w:ind w:left="1960" w:right="200" w:hanging="655"/>
        <w:spacing w:after="0" w:line="277" w:lineRule="auto"/>
        <w:tabs>
          <w:tab w:leader="none" w:pos="1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Maryland.</w:t>
      </w:r>
    </w:p>
    <w:p>
      <w:pPr>
        <w:spacing w:after="0" w:line="170" w:lineRule="exact"/>
        <w:rPr>
          <w:rFonts w:ascii="Arial" w:cs="Arial" w:eastAsia="Arial" w:hAnsi="Arial"/>
          <w:sz w:val="18"/>
          <w:szCs w:val="18"/>
          <w:color w:val="auto"/>
        </w:rPr>
      </w:pPr>
    </w:p>
    <w:p>
      <w:pPr>
        <w:ind w:left="1960" w:hanging="655"/>
        <w:spacing w:after="0" w:line="276" w:lineRule="auto"/>
        <w:tabs>
          <w:tab w:leader="none" w:pos="19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execution and delivery by the Company, in its own capacity and in its capacity as the general partner of SLG OP, of the Indenture (which includes the granting of the Guarantee by the Company pursuant to the First Supplemental Indenture) have been duly authorized by all necessary corporate action on the part of the Company, and the Indenture (which includes the granting of the Guarantee by the Company pursuant to the First Supplemental Indenture) has been duly executed and delivered by the Company, in its own capacity and in its capacity as the general partner of SLG OP.</w:t>
      </w:r>
    </w:p>
    <w:p>
      <w:pPr>
        <w:spacing w:after="0" w:line="172" w:lineRule="exact"/>
        <w:rPr>
          <w:rFonts w:ascii="Arial" w:cs="Arial" w:eastAsia="Arial" w:hAnsi="Arial"/>
          <w:sz w:val="17"/>
          <w:szCs w:val="17"/>
          <w:color w:val="auto"/>
        </w:rPr>
      </w:pPr>
    </w:p>
    <w:p>
      <w:pPr>
        <w:ind w:left="1960" w:right="40" w:hanging="655"/>
        <w:spacing w:after="0" w:line="264" w:lineRule="auto"/>
        <w:tabs>
          <w:tab w:leader="none" w:pos="1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issuance of the Notes by SLG OP pursuant to the Indenture and the granting of the Guarantee by the Company pursuant to the First Supplemental Indenture have been duly authorized by the Company, in its own capacity and in its capacity as the general partner of SLG OP.</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the applicability or effect of any federal or state securities laws, including the securities laws of the State of Maryland, or as to federal or state laws regarding fraudulent transfers, or with respect to the limited partnership actions that may be required for SLG OP to authorize, execute, deliver or perform its obligations under any document, instrument or agreement. To the extent that any matter as to which our opinion is expressed herein would be governed by the laws of any jurisdiction other than the State of Maryland, we do not express any opinion on such matter.</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opinion letter is issued as of the date hereof and is necessarily limited to laws now in effect and facts and circumstances presently existing and brought to our attention. We assume no obligation to supplement this opinion letter if any applicable laws change after the date hereof, or if we become aware of any facts or circumstances that now exist or that occur or arise in the future and may change the opinions expressed herein after the date hereof.</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your filing this opinion as an exhibit to the Registration Statement and further consent to the filing of this opinion as an exhibit to the applications to securities commissioners for the various states of the United States for registration of the Notes. We also consent to the identification of our firm as Maryland counsel to the Company in the section of the Registration Statement entitled “Legal Matters”. In giving this consent, we do not admit that we are within the category of persons whose consent is required by Section 7 of the Act.</w:t>
      </w:r>
    </w:p>
    <w:p>
      <w:pPr>
        <w:sectPr>
          <w:pgSz w:w="11900" w:h="16838" w:orient="portrait"/>
          <w:cols w:equalWidth="0" w:num="1">
            <w:col w:w="11400"/>
          </w:cols>
          <w:pgMar w:left="240" w:top="125" w:right="259" w:bottom="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Ballard Spahr LLP</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5" w:name="page86"/>
    <w:bookmarkEnd w:id="85"/>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Skadden, Arps, Slate, Meagher &amp; Flom LLP]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 Green Operating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Reckson Operating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SL Green Operating Partnership, L.P. 3.250% Senior Notes due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special counsel to SL Green Realty Corp., a Maryland corporation (the “Company”), SL Green Operating Partnership, L.P.,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 limited partnership (“SL Green OP”), and Reckson Operating Partnership, L.P., a Delaware limited partnership (“Reckson”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the “Guarantors” and the Guarantors, together with SL Green OP, the “Transaction Parties”), in connection with the public offering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$500,000,000 aggregate principal amount of SL Green OP’s 3.250% Senior Notes due 2022 (the “Notes”) to be fully and unconditionally guaranteed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(each a “Guarantee” and collectively the “Guarantees,” and, together with the Notes, the “Securities”), to be issued under the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October 5, 2017 (the “Base Indenture”), between SL Green OP and The Bank of New York Mellon, as trustee (the “Trustee”), as supplemented by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Indenture dated as of October 5, 2017 (the “First Supplemental Indenture” and, the Base Indenture as so supplemented by the First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 the “Indenture”), among the Transaction Parties and the Trustee.</w:t>
      </w:r>
    </w:p>
    <w:p>
      <w:pPr>
        <w:spacing w:after="0" w:line="211" w:lineRule="exact"/>
        <w:rPr>
          <w:sz w:val="20"/>
          <w:szCs w:val="20"/>
          <w:color w:val="auto"/>
        </w:rPr>
      </w:pPr>
    </w:p>
    <w:p>
      <w:pPr>
        <w:ind w:right="540" w:firstLine="689"/>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ind w:right="60" w:firstLine="1305"/>
        <w:spacing w:after="0" w:line="277" w:lineRule="auto"/>
        <w:tabs>
          <w:tab w:leader="none" w:pos="196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October 3, 2017 (the “Underwriting Agreement”), among the Transaction Parties and Wells Fargo Securities, LLC and J.P. Morgan Securities LLC, as representatives of the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therein (the “Underwriters”), relating to the sale by SL Green OP and the Guarantors to the Underwriters of the Securities;</w:t>
      </w:r>
    </w:p>
    <w:p>
      <w:pPr>
        <w:spacing w:after="0" w:line="225" w:lineRule="exact"/>
        <w:rPr>
          <w:sz w:val="20"/>
          <w:szCs w:val="20"/>
          <w:color w:val="auto"/>
        </w:rPr>
      </w:pPr>
    </w:p>
    <w:p>
      <w:pPr>
        <w:ind w:left="1980" w:hanging="675"/>
        <w:spacing w:after="0"/>
        <w:tabs>
          <w:tab w:leader="none" w:pos="1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executed copy of the Indenture, including Article VIII thereof containing the Guarantees;</w:t>
      </w:r>
    </w:p>
    <w:p>
      <w:pPr>
        <w:spacing w:after="0" w:line="225" w:lineRule="exact"/>
        <w:rPr>
          <w:rFonts w:ascii="Arial" w:cs="Arial" w:eastAsia="Arial" w:hAnsi="Arial"/>
          <w:sz w:val="18"/>
          <w:szCs w:val="18"/>
          <w:color w:val="auto"/>
        </w:rPr>
      </w:pPr>
    </w:p>
    <w:p>
      <w:pPr>
        <w:ind w:right="260" w:firstLine="1305"/>
        <w:spacing w:after="0" w:line="277" w:lineRule="auto"/>
        <w:tabs>
          <w:tab w:leader="none" w:pos="19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global certificate evidencing the Securities (the “Note Certificate”) in the form delivered by SL Green OP to the Trustee for authentication and delivery;</w:t>
      </w:r>
    </w:p>
    <w:p>
      <w:pPr>
        <w:spacing w:after="0" w:line="170" w:lineRule="exact"/>
        <w:rPr>
          <w:rFonts w:ascii="Arial" w:cs="Arial" w:eastAsia="Arial" w:hAnsi="Arial"/>
          <w:sz w:val="18"/>
          <w:szCs w:val="18"/>
          <w:color w:val="auto"/>
        </w:rPr>
      </w:pPr>
    </w:p>
    <w:p>
      <w:pPr>
        <w:ind w:right="220" w:firstLine="1305"/>
        <w:spacing w:after="0" w:line="277" w:lineRule="auto"/>
        <w:tabs>
          <w:tab w:leader="none" w:pos="196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executed copy of a certificate of Andrew S. Levine, Secretary of the Company, the general partner of SL Green OP, dated the date hereof (the “Secretary’s Certificate”);</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executed copy of a certificate of Andrew S. Levine, Director of Wyoming Acquisition GP LLC, a Delaware limited liability company (“Wyoming GP”), and the general partner of Reckson, dated the date hereof (the “Director’s Certificate”);</w:t>
      </w:r>
    </w:p>
    <w:p>
      <w:pPr>
        <w:spacing w:after="0" w:line="170" w:lineRule="exact"/>
        <w:rPr>
          <w:rFonts w:ascii="Arial" w:cs="Arial" w:eastAsia="Arial" w:hAnsi="Arial"/>
          <w:sz w:val="18"/>
          <w:szCs w:val="18"/>
          <w:color w:val="auto"/>
        </w:rPr>
      </w:pPr>
    </w:p>
    <w:p>
      <w:pPr>
        <w:ind w:right="160" w:firstLine="1305"/>
        <w:spacing w:after="0" w:line="277" w:lineRule="auto"/>
        <w:tabs>
          <w:tab w:leader="none" w:pos="196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the Certificate of Limited Partnership of SL Green OP, certified by the Secretary of State of the State of Delaware as of October 2, 2017, and certified pursuant to the Secretary’s Certificate;</w:t>
      </w:r>
    </w:p>
    <w:p>
      <w:pPr>
        <w:spacing w:after="0" w:line="170" w:lineRule="exact"/>
        <w:rPr>
          <w:rFonts w:ascii="Arial" w:cs="Arial" w:eastAsia="Arial" w:hAnsi="Arial"/>
          <w:sz w:val="18"/>
          <w:szCs w:val="18"/>
          <w:color w:val="auto"/>
        </w:rPr>
      </w:pPr>
    </w:p>
    <w:p>
      <w:pPr>
        <w:ind w:right="60" w:firstLine="1305"/>
        <w:spacing w:after="0" w:line="286" w:lineRule="auto"/>
        <w:tabs>
          <w:tab w:leader="none" w:pos="197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 copy of the First Amended and Restated Agreement of Limited Partnership of the Operating Partnership, dated as of August 20, 1997, by an among the Company, Hippomenes Associates, LLC, 470 Park South Associates, L.P., Stanley Nelson, Carol Nelson, Sheldon Lowe, Miami Corp., SL Green Properties, Inc., EBG Midtown South Corp., 64-36 Realty Associates, 673 First Associates, L.P., 29/35 Realty Associates, L.P., Green 6th Avenue Associates, L.P. and S.L. Green Leasing Inc., as amended by the First Amendment to the First Amended and Restated Agreement of Limited Partnership, dated May 14, 1998, the Second Amendment to the First Amended and Restated Agreement of Limited Partnership, dated June 3, 2002, the Third Amendment to the First Amended and Restated Agreement of Limited Partnership, dated December 12, 2003, the Amended and Restated Fourth Amendment to the First Amended and Restated Agreement of Limited Partnership, dated July 15, 2004, the Fifth Amendment to the First Amended and Restated Agreement of Limited Partnership, dated March 15, 2006, the Sixth Amendment to the First Amended and Restated Agreement of Limited Partnership, dated June 30, 2006, the Seventh Amendment to the First Amended and Restated Agreement of Limited Partnership, dated January 25, 2007, the Eighth Amendment to the First Amended and Restated Agreement of Limited Partnership, dated January 20, 2010, the Ninth Amendment to the First Amended and Restated Agreement of Limited Partnership, dated November 30, 2011, the Tenth Amendment to the First Amended and Restated Agreement of Limited Partnership, dated January 31, 2012, the Eleventh Amendment to the First Amended and Restated Agreement of Limited Partnership, dated March 6, 2012, the Twelfth Amendment to the First Amended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Restated Agreement of Limited Partnership, dated August 10, 2012, the Thirteenth Amendment to the First Amended and Restated Agreement of Limited Partnership, dated April 2, 2014, the Fourteenth Amendment to the First Amended and Restated Agreement of Limited Partnership of SL Green Operating Partnership, L.P., dated July 2, 2014, the Fifteenth Amendment to the First Amended and Restated Agreement of Limited Partnership of SL Green Operating Partnership, L.P., dated July 2, 2014, the Sixteenth Amendment to the First Amended and Restated Agreement of Limited Partnership of SL Green Operating Partnership, L.P., dated February 12, 2015, the Seventeenth Amendment to the First Amended and Restated Agreement of Limited Partnership of SL Green Operating Partnership, L.P., dated June 19, 2015, the Eighteenth Amendment to the First Amended and Restated Agreement of Limited Partnership of SL</w:t>
      </w:r>
    </w:p>
    <w:p>
      <w:pPr>
        <w:sectPr>
          <w:pgSz w:w="11900" w:h="16934" w:orient="portrait"/>
          <w:cols w:equalWidth="0" w:num="1">
            <w:col w:w="11420"/>
          </w:cols>
          <w:pgMar w:left="240" w:top="121" w:right="239" w:bottom="0" w:gutter="0" w:footer="0" w:header="0"/>
        </w:sectPr>
      </w:pPr>
    </w:p>
    <w:bookmarkStart w:id="86" w:name="page87"/>
    <w:bookmarkEnd w:id="86"/>
    <w:p>
      <w:pPr>
        <w:spacing w:after="0" w:line="1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Green Operating Partnership, L.P., dated June 25, 2015, the Nineteenth Amendment to the First Amended and Restated agreement of Limited Partnership of SL Green Operating Partnership, L.P., dated July 22, 2015, the Twentieth Amendment to the First Amended and Restated Agreement of Limited Partnership of SL Green Operating Partnership, L.P., dated July 22, 2015, the Twenty-First Amendment to the First Amended and Restated Agreement of Limited Partnership of SL Green Operating Partnership, L.P., dated August 20, 2015, the Twenty-Second Amendment to the First Amended and Restated Agreement of Limited Partnership of SL Green Operating Partnership, L.P., dated August 20, 2015, the Twenty-Third Amendment to the First Amended and Restated Agreement of Limited Partnership of SL Green Operating Partnership, L.P., dated April 1, 2016, the Twenty-Fourth Amendment to the First Amended and Restated Agreement of Limited Partnership of SL Green Operating Partnership, L.P., dated April 1, 2016 and the Twenty-Fifth Amendment to the First Amended and Restated Agreement of Limited Partnership of SL Green Operating Partnership, L.P., dated November 9, 2016 (as so amended, the “Operating Partnership Agreement”), certified pursuant to the Secretary’s Certificate;</w:t>
      </w:r>
    </w:p>
    <w:p>
      <w:pPr>
        <w:spacing w:after="0" w:line="182" w:lineRule="exact"/>
        <w:rPr>
          <w:sz w:val="20"/>
          <w:szCs w:val="20"/>
          <w:color w:val="auto"/>
        </w:rPr>
      </w:pPr>
    </w:p>
    <w:p>
      <w:pPr>
        <w:ind w:right="440" w:firstLine="1305"/>
        <w:spacing w:after="0" w:line="277" w:lineRule="auto"/>
        <w:tabs>
          <w:tab w:leader="none" w:pos="1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copy of the Certificate of Limited Partnership of Reckson, certified by the Secretary of State of the State of Delaware as of October 2, 2017, and certified pursuant to the Director’s Certificate;</w:t>
      </w:r>
    </w:p>
    <w:p>
      <w:pPr>
        <w:spacing w:after="0" w:line="170" w:lineRule="exact"/>
        <w:rPr>
          <w:rFonts w:ascii="Arial" w:cs="Arial" w:eastAsia="Arial" w:hAnsi="Arial"/>
          <w:sz w:val="18"/>
          <w:szCs w:val="18"/>
          <w:color w:val="auto"/>
        </w:rPr>
      </w:pPr>
    </w:p>
    <w:p>
      <w:pPr>
        <w:ind w:right="100" w:firstLine="1305"/>
        <w:spacing w:after="0" w:line="291" w:lineRule="auto"/>
        <w:tabs>
          <w:tab w:leader="none" w:pos="196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 copy of the Amended and Restated Agreement of Limited Partnership of Reckson, dated June 2, 1995, by and among Reckson Associates Realty Corp. and the persons set forth on Exhibit A thereto, as amended and supplemented by the First Amendment to the Amended and Restated Agreement of Limited Partnership, dated December 6, 1995, the Supplement to the Amended and Restated Agreement of Limited Partnership Establishing Series A Preferred Units of Limited Partnership Interest, dated April 13, 1998, the Supplement to the Amended and Restated Agreement of Limited Partnership Establishing Series B Preferred Units of Limited Partnership Interest, dated April 20, 1998, the Supplement to the Amended and Restated Agreement of Limited Partnership Establishing Series C Preferred Units of Limited Partnership Interest, dated April 1998, the Supplement to the Amended and Restated Agreement of Limited Partnership Establishing Series D Preferred Units of Limited Partnership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Interest, dated June 30, 1998, the Supplement to the Amended and Restated Agreement of Limited Partnership Establishing Series B Common Units of Limited Partnership Interest, dated May 24, 1999, the Supplement to the Amended and Restated Agreement of Limited Partnership Establishing Series E Preferred Partnership Units of Limited Partnership Interest, dated June 2, 1999, the Supplement to the Amended and Restated Agreement of Limited Partnership Establishing the Series F Junior Participating Preferred Partnership Units, dated October 13, 2000, the Supplement to the Amended and Restated Agreement of Limited Partnership Establishing the Series C Common Units of Limited Partnership Interest, dated as of August 7, 2003, the Supplement to the Amended and Restated Agreement of Limited Partnership Establishing LTIP Units of Limited Partnership Interest, dated December 27, 2004, the Supplement to the Amended and Restated Agreement of Limited Partnership Establishing 2005 LTIP Units of Limited Partnership Interest, dated March 11, 2005, the Supplement to the Amended and Restated Agreement of Limited Partnership Establishing 2006 LTIP Units of Limited Partnership Interest, dated April 4, 2006, and the Supplement to the Amended and Restated Agreement of Limited Partnership relating to the succession as a general partner of Wyoming GP, dated November 15, 2007, certified pursuant to the Director’s Certificate (the “Reckson LP Agreement”);</w:t>
      </w:r>
    </w:p>
    <w:p>
      <w:pPr>
        <w:spacing w:after="0" w:line="169" w:lineRule="exact"/>
        <w:rPr>
          <w:sz w:val="20"/>
          <w:szCs w:val="20"/>
          <w:color w:val="auto"/>
        </w:rPr>
      </w:pPr>
    </w:p>
    <w:p>
      <w:pPr>
        <w:ind w:right="460" w:firstLine="1305"/>
        <w:spacing w:after="0" w:line="277" w:lineRule="auto"/>
        <w:tabs>
          <w:tab w:leader="none" w:pos="19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copies of actions by written consent of the Company, as the general partner of SL Green OP, dated October 3, 2017, certified pursuant to the Secretary’s Certificate; and</w:t>
      </w:r>
    </w:p>
    <w:p>
      <w:pPr>
        <w:spacing w:after="0" w:line="170" w:lineRule="exact"/>
        <w:rPr>
          <w:rFonts w:ascii="Arial" w:cs="Arial" w:eastAsia="Arial" w:hAnsi="Arial"/>
          <w:sz w:val="18"/>
          <w:szCs w:val="18"/>
          <w:color w:val="auto"/>
        </w:rPr>
      </w:pPr>
    </w:p>
    <w:p>
      <w:pPr>
        <w:ind w:right="100" w:firstLine="1305"/>
        <w:spacing w:after="0" w:line="277" w:lineRule="auto"/>
        <w:tabs>
          <w:tab w:leader="none" w:pos="196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copies of actions by written consent of Wyoming GP, as the general partner of Reckson, dated October 3, 2017, certified pursuant to the Director’s Certificate.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Transaction Parties and such agreements, certificates and receipts of public officials, certificates of officers or other representatives of the Transaction Parties and others, and such other documents as we have deemed necessary or appropriate as a basis for the opinions stated below.</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Transaction Parties and others and of public officials, including those in the Secretary’s Certificate and the Director’s Certificate and the factual representations and warranties contained in the Underwriting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(i) the laws of the State of New York and (ii) the Delaware Revised Uniform Limited Partnership Act (“DRULPA”) (all of the foregoing being referred to as “Opined 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“Transaction Agreements” means the Underwriting Agreement, the Indenture and the Note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firstLine="656"/>
        <w:spacing w:after="0" w:line="302" w:lineRule="auto"/>
        <w:tabs>
          <w:tab w:leader="none" w:pos="129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Note Certificate has been duly authorized by all requisite limited partnership action on the part of SL Green OP and duly executed by SL Green OP under DRULPA, and when duly authenticated by the Trustee and issued and delivered by SL Green OP against payment therefor in accordance with the terms of the Underwriting Agreement and the Indenture, the Note Certificate will constitute the valid and binding obligation of SL Green OP, entitled to the benefits of the Indenture and enforceable against SL Green OP in accordance with its terms under the laws of the State of New York.</w:t>
      </w:r>
    </w:p>
    <w:p>
      <w:pPr>
        <w:spacing w:after="0" w:line="154" w:lineRule="exact"/>
        <w:rPr>
          <w:rFonts w:ascii="Arial" w:cs="Arial" w:eastAsia="Arial" w:hAnsi="Arial"/>
          <w:sz w:val="16"/>
          <w:szCs w:val="16"/>
          <w:color w:val="auto"/>
        </w:rPr>
      </w:pPr>
    </w:p>
    <w:p>
      <w:pPr>
        <w:ind w:right="140" w:firstLine="656"/>
        <w:spacing w:after="0" w:line="279" w:lineRule="auto"/>
        <w:tabs>
          <w:tab w:leader="none" w:pos="129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Guarantee of Reckson has been duly authorized by all requisite limited partnership action on the part of Reckson under DRULPA and duly executed by Reckson under DRUPLA and, when the Note Certificate is issued and delivered by SL Green OP against payment therefor in accordance with the terms of the Underwriting Agreement and the Indenture, the Guarantee of Reckson will constitute the valid and binding obligation of Reckson, enforceable against Reckson in accordance with its terms under the laws of the State of New York.</w:t>
      </w:r>
    </w:p>
    <w:p>
      <w:pPr>
        <w:spacing w:after="0" w:line="171" w:lineRule="exact"/>
        <w:rPr>
          <w:rFonts w:ascii="Arial" w:cs="Arial" w:eastAsia="Arial" w:hAnsi="Arial"/>
          <w:sz w:val="17"/>
          <w:szCs w:val="17"/>
          <w:color w:val="auto"/>
        </w:rPr>
      </w:pPr>
    </w:p>
    <w:p>
      <w:pPr>
        <w:ind w:right="440" w:firstLine="656"/>
        <w:spacing w:after="0" w:line="342" w:lineRule="auto"/>
        <w:tabs>
          <w:tab w:leader="none" w:pos="129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When the Note Certificate is issued and delivered by SL Green OP against payment therefor in accordance with the terms of the Underwriting Agreement and the Indenture, the Guarantee of the Company will constitute the valid and binding obligation of the Company, enforceable</w:t>
      </w:r>
    </w:p>
    <w:p>
      <w:pPr>
        <w:sectPr>
          <w:pgSz w:w="11900" w:h="16975" w:orient="portrait"/>
          <w:cols w:equalWidth="0" w:num="1">
            <w:col w:w="11400"/>
          </w:cols>
          <w:pgMar w:left="240" w:top="125" w:right="259" w:bottom="0" w:gutter="0" w:footer="0" w:header="0"/>
        </w:sectPr>
      </w:pPr>
    </w:p>
    <w:bookmarkStart w:id="87" w:name="page88"/>
    <w:bookmarkEnd w:id="87"/>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against the Company in accordance with its terms under the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380" w:firstLine="1305"/>
        <w:spacing w:after="0" w:line="264" w:lineRule="auto"/>
        <w:tabs>
          <w:tab w:leader="none" w:pos="19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opinions stated herein are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81" w:lineRule="exact"/>
        <w:rPr>
          <w:rFonts w:ascii="Arial" w:cs="Arial" w:eastAsia="Arial" w:hAnsi="Arial"/>
          <w:sz w:val="18"/>
          <w:szCs w:val="18"/>
          <w:color w:val="auto"/>
        </w:rPr>
      </w:pPr>
    </w:p>
    <w:p>
      <w:pPr>
        <w:ind w:right="220" w:firstLine="1305"/>
        <w:spacing w:after="0" w:line="277" w:lineRule="auto"/>
        <w:tabs>
          <w:tab w:leader="none" w:pos="19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regulatory regime applicable to any such party or any of its affiliates as a result of the specific assets or business operations of such party or such affiliates;</w:t>
      </w:r>
    </w:p>
    <w:p>
      <w:pPr>
        <w:spacing w:after="0" w:line="248" w:lineRule="exact"/>
        <w:rPr>
          <w:sz w:val="20"/>
          <w:szCs w:val="20"/>
          <w:color w:val="auto"/>
        </w:rPr>
      </w:pPr>
    </w:p>
    <w:p>
      <w:pPr>
        <w:ind w:right="200" w:firstLine="1305"/>
        <w:spacing w:after="0" w:line="342" w:lineRule="auto"/>
        <w:tabs>
          <w:tab w:leader="none" w:pos="19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23" w:lineRule="exact"/>
        <w:rPr>
          <w:rFonts w:ascii="Arial" w:cs="Arial" w:eastAsia="Arial" w:hAnsi="Arial"/>
          <w:sz w:val="16"/>
          <w:szCs w:val="16"/>
          <w:color w:val="auto"/>
        </w:rPr>
      </w:pPr>
    </w:p>
    <w:p>
      <w:pPr>
        <w:ind w:right="60" w:firstLine="1305"/>
        <w:spacing w:after="0" w:line="264" w:lineRule="auto"/>
        <w:tabs>
          <w:tab w:leader="none" w:pos="19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exculpation, release or waiver that may be contrary to public policy or violative of federal or state securities laws, rules or regulations;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we call to your attention that irrespective of the agreement of the parties to any Transaction Agreement, a court may decline to hear a case on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186" w:lineRule="exact"/>
        <w:rPr>
          <w:rFonts w:ascii="Arial" w:cs="Arial" w:eastAsia="Arial" w:hAnsi="Arial"/>
          <w:sz w:val="18"/>
          <w:szCs w:val="18"/>
          <w:color w:val="auto"/>
        </w:rPr>
      </w:pPr>
    </w:p>
    <w:p>
      <w:pPr>
        <w:ind w:right="200" w:firstLine="1305"/>
        <w:spacing w:after="0" w:line="264" w:lineRule="auto"/>
        <w:tabs>
          <w:tab w:leader="none" w:pos="19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Section 8.1 of the Indenture to the extent that such section provides that the obligations of the Guarantors are absolute and unconditional irrespective of the enforceability or genuineness of the Indenture or the effect thereof on the opinions herein stated;</w:t>
      </w:r>
    </w:p>
    <w:p>
      <w:pPr>
        <w:spacing w:after="0" w:line="181" w:lineRule="exact"/>
        <w:rPr>
          <w:rFonts w:ascii="Arial" w:cs="Arial" w:eastAsia="Arial" w:hAnsi="Arial"/>
          <w:sz w:val="18"/>
          <w:szCs w:val="18"/>
          <w:color w:val="auto"/>
        </w:rPr>
      </w:pPr>
    </w:p>
    <w:p>
      <w:pPr>
        <w:jc w:val="both"/>
        <w:ind w:right="100" w:firstLine="1305"/>
        <w:spacing w:after="0" w:line="342" w:lineRule="auto"/>
        <w:tabs>
          <w:tab w:leader="none" w:pos="19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enforceability of the provisions contained in Section 8.2 of the Indenture to the extent that such provisions limit the obligation of the Guarantors under the Indenture or any right of contribution of any party with respect to the Guarantees;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we have assumed that the Operating Partnership Agreement is the only partnership agreement, as defined under DRUPLA, of SL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Green OP;</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we have assumed that the Reckson LP Agreement is the only partnership agreement, as defined under DRUPLA, of Reckson;</w:t>
      </w:r>
    </w:p>
    <w:p>
      <w:pPr>
        <w:spacing w:after="0" w:line="248" w:lineRule="exact"/>
        <w:rPr>
          <w:rFonts w:ascii="Arial" w:cs="Arial" w:eastAsia="Arial" w:hAnsi="Arial"/>
          <w:sz w:val="16"/>
          <w:szCs w:val="16"/>
          <w:color w:val="auto"/>
        </w:rPr>
      </w:pPr>
    </w:p>
    <w:p>
      <w:pPr>
        <w:ind w:right="60" w:firstLine="1305"/>
        <w:spacing w:after="0" w:line="257" w:lineRule="auto"/>
        <w:tabs>
          <w:tab w:leader="none" w:pos="19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have assumed that each of SL Green OP and Reckson has, and since the time of its formation has had, at least one validly admitted and existing limited partner and (i) no procedures have been instituted for, and no other event has occurred, including, without limitation, any action taken by SL Green OP, Reckson or any of their respective general partners or partners, that would result in the liquidation, dissolution or winding-up of SL Green OP or Reckson, (ii) no event has occurred that has adversely affected the good standing of either SL Green OP or Reckson under the laws of its jurisdiction of formation, and each of SL Green OP and Reckson has taken all 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required by the laws of its jurisdiction of formation to maintain such good standing and (iii) no grounds exist for the revocation or forfeiture of either SL Green OP or Reckson’s Certificate of Limited Partnership; and</w:t>
      </w:r>
    </w:p>
    <w:p>
      <w:pPr>
        <w:spacing w:after="0" w:line="170" w:lineRule="exact"/>
        <w:rPr>
          <w:sz w:val="20"/>
          <w:szCs w:val="20"/>
          <w:color w:val="auto"/>
        </w:rPr>
      </w:pPr>
    </w:p>
    <w:p>
      <w:pPr>
        <w:ind w:right="20" w:firstLine="1305"/>
        <w:spacing w:after="0" w:line="291" w:lineRule="auto"/>
        <w:tabs>
          <w:tab w:leader="none" w:pos="195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w:t>
      </w:r>
    </w:p>
    <w:p>
      <w:pPr>
        <w:ind w:left="220" w:hanging="212"/>
        <w:spacing w:after="0"/>
        <w:tabs>
          <w:tab w:leader="none" w:pos="2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exceptions and limitations in sections 5-1401 and 5-1402 and (ii) principles of comity and constitutionality.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rendering the foregoing opinions we have assumed that, at all applicable times:</w:t>
      </w:r>
    </w:p>
    <w:p>
      <w:pPr>
        <w:spacing w:after="0" w:line="225" w:lineRule="exact"/>
        <w:rPr>
          <w:sz w:val="20"/>
          <w:szCs w:val="20"/>
          <w:color w:val="auto"/>
        </w:rPr>
      </w:pPr>
    </w:p>
    <w:p>
      <w:pPr>
        <w:ind w:right="20" w:firstLine="1305"/>
        <w:spacing w:after="0" w:line="259" w:lineRule="auto"/>
        <w:tabs>
          <w:tab w:leader="none" w:pos="194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(i) is and, as of the date of formation of SL Green OP, was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w:t>
      </w:r>
    </w:p>
    <w:p>
      <w:pPr>
        <w:spacing w:after="0" w:line="186" w:lineRule="exact"/>
        <w:rPr>
          <w:rFonts w:ascii="Arial" w:cs="Arial" w:eastAsia="Arial" w:hAnsi="Arial"/>
          <w:sz w:val="18"/>
          <w:szCs w:val="18"/>
          <w:color w:val="auto"/>
        </w:rPr>
      </w:pPr>
    </w:p>
    <w:p>
      <w:pPr>
        <w:ind w:right="480" w:firstLine="1305"/>
        <w:spacing w:after="0" w:line="264" w:lineRule="auto"/>
        <w:tabs>
          <w:tab w:leader="none" w:pos="195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execute, deliver and perform all its obligations under each of the Transaction Agreements, and to authorize, execute and deliver each of the Transaction Agreements, on behalf of SL Green OP and Reckson, as general partner of SL Green OP and as parent of the general partner of Reckson, as applicable;</w:t>
      </w:r>
    </w:p>
    <w:p>
      <w:pPr>
        <w:spacing w:after="0" w:line="181"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Transaction Agreements has been duly authorized, executed and delivered by the Company, on its own behalf and as general partner of SL Green OP and as parent of the general partner of Reckson, as applicable;</w:t>
      </w:r>
    </w:p>
    <w:p>
      <w:pPr>
        <w:spacing w:after="0" w:line="170" w:lineRule="exact"/>
        <w:rPr>
          <w:rFonts w:ascii="Arial" w:cs="Arial" w:eastAsia="Arial" w:hAnsi="Arial"/>
          <w:sz w:val="18"/>
          <w:szCs w:val="18"/>
          <w:color w:val="auto"/>
        </w:rPr>
      </w:pPr>
    </w:p>
    <w:p>
      <w:pPr>
        <w:ind w:right="80" w:firstLine="1305"/>
        <w:spacing w:after="0" w:line="302" w:lineRule="auto"/>
        <w:tabs>
          <w:tab w:leader="none" w:pos="19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none of (i) the authorization, execution and delivery by the Company, in its capacity as general partner of SL Green OP, of each of the Transaction Agreements, on behalf of SL Green OP, (ii) the authorization by the Company of each of the Transaction Agreements to which Reckson is a party, on behalf of Reckson, (iii) the execution and delivery by each Transaction Party of the Transaction Agreements to which such Transaction Party is a Party or (iv) the performance by such Transaction Party of its obligations under each of the Transaction Agreements: (a) conflicts or will conflict with the</w:t>
      </w:r>
    </w:p>
    <w:p>
      <w:pPr>
        <w:sectPr>
          <w:pgSz w:w="11900" w:h="16945" w:orient="portrait"/>
          <w:cols w:equalWidth="0" w:num="1">
            <w:col w:w="11420"/>
          </w:cols>
          <w:pgMar w:left="240" w:top="125" w:right="239" w:bottom="0" w:gutter="0" w:footer="0" w:header="0"/>
        </w:sectPr>
      </w:pPr>
    </w:p>
    <w:bookmarkStart w:id="88" w:name="page89"/>
    <w:bookmarkEnd w:id="88"/>
    <w:p>
      <w:pPr>
        <w:ind w:right="100"/>
        <w:spacing w:after="0" w:line="259" w:lineRule="auto"/>
        <w:rPr>
          <w:sz w:val="20"/>
          <w:szCs w:val="20"/>
          <w:color w:val="auto"/>
        </w:rPr>
      </w:pPr>
      <w:r>
        <w:rPr>
          <w:rFonts w:ascii="Arial" w:cs="Arial" w:eastAsia="Arial" w:hAnsi="Arial"/>
          <w:sz w:val="18"/>
          <w:szCs w:val="18"/>
          <w:color w:val="auto"/>
        </w:rPr>
        <w:t>certificate of incorporation, by-laws or any other comparable organizational document of such Transaction Party, (b) constitutes or will constitute a violation of, or a default under, any lease, indenture, instrument or other agreement to which any Transaction Party or its property is subject, (c) contravenes or will contravene any order or decree of any governmental authority to which any Transaction Party or its property is subject, (d) violates or will violate any law, rule or regulation to which any Transaction Party or its property is subject;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6" w:lineRule="auto"/>
        <w:tabs>
          <w:tab w:leader="none" w:pos="195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none of (i) the authorization, execution and delivery by the Company, in its capacity as general partner of SL Green OP, of each of the Transaction Agreements, on behalf of SL Green OP, (ii) the authorization by the Company of each of the Transaction Agreements to which Reckson is a party, on behalf of Reckson, (iii) the execution and delivery by each Transaction Party of the Transaction Agreements or (iv) the enforceability of each of the Transaction Agreements against such Transaction Party requires or will require the consent, approval, licensing or authorization of, or any filing, recording or registration with, any governmental authority under any law, rule or regulation of any jurisdiction.</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promulgated thereunder. We also hereby consent to the filing of this opinion with the Securities and Exchange Commission (the “Commission”) as an exhibit to the Company’s Current Report on Form 8-K being filed on the date hereof and incorporated by reference into the Company’s registration statement on Form S-3 (File No. 333-208621) filed with the Commission on December 18, 2015 under the Securities Act.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lowerLetter"/>
      <w:start w:val="4"/>
    </w:lvl>
  </w:abstractNum>
  <w:abstractNum w:abstractNumId="1">
    <w:nsid w:val="6AA78F7F"/>
    <w:multiLevelType w:val="hybridMultilevel"/>
    <w:lvl w:ilvl="0">
      <w:lvlJc w:val="left"/>
      <w:lvlText w:val="%1"/>
      <w:numFmt w:val="upperLetter"/>
      <w:start w:val="39"/>
    </w:lvl>
    <w:lvl w:ilvl="1">
      <w:lvlJc w:val="left"/>
      <w:lvlText w:val="%2."/>
      <w:numFmt w:val="decimal"/>
      <w:start w:val="1"/>
    </w:lvl>
  </w:abstractNum>
  <w:abstractNum w:abstractNumId="2">
    <w:nsid w:val="7672BD23"/>
    <w:multiLevelType w:val="hybridMultilevel"/>
    <w:lvl w:ilvl="0">
      <w:lvlJc w:val="left"/>
      <w:lvlText w:val="(%1)"/>
      <w:numFmt w:val="lowerLetter"/>
      <w:start w:val="1"/>
    </w:lvl>
  </w:abstractNum>
  <w:abstractNum w:abstractNumId="3">
    <w:nsid w:val="6FC75AF8"/>
    <w:multiLevelType w:val="hybridMultilevel"/>
    <w:lvl w:ilvl="0">
      <w:lvlJc w:val="left"/>
      <w:lvlText w:val="(%1)"/>
      <w:numFmt w:val="lowerLetter"/>
      <w:start w:val="2"/>
    </w:lvl>
  </w:abstractNum>
  <w:abstractNum w:abstractNumId="4">
    <w:nsid w:val="6A5F7029"/>
    <w:multiLevelType w:val="hybridMultilevel"/>
    <w:lvl w:ilvl="0">
      <w:lvlJc w:val="left"/>
      <w:lvlText w:val="(%1)"/>
      <w:numFmt w:val="lowerLetter"/>
      <w:start w:val="5"/>
    </w:lvl>
  </w:abstractNum>
  <w:abstractNum w:abstractNumId="5">
    <w:nsid w:val="7D5E18F8"/>
    <w:multiLevelType w:val="hybridMultilevel"/>
    <w:lvl w:ilvl="0">
      <w:lvlJc w:val="left"/>
      <w:lvlText w:val="(%1)"/>
      <w:numFmt w:val="lowerLetter"/>
      <w:start w:val="8"/>
    </w:lvl>
  </w:abstractNum>
  <w:abstractNum w:abstractNumId="6">
    <w:nsid w:val="5F3534A4"/>
    <w:multiLevelType w:val="hybridMultilevel"/>
    <w:lvl w:ilvl="0">
      <w:lvlJc w:val="left"/>
      <w:lvlText w:val="(%1)"/>
      <w:numFmt w:val="lowerLetter"/>
      <w:start w:val="12"/>
    </w:lvl>
  </w:abstractNum>
  <w:abstractNum w:abstractNumId="7">
    <w:nsid w:val="73A1821B"/>
    <w:multiLevelType w:val="hybridMultilevel"/>
    <w:lvl w:ilvl="0">
      <w:lvlJc w:val="left"/>
      <w:lvlText w:val="(%1)"/>
      <w:numFmt w:val="lowerLetter"/>
      <w:start w:val="14"/>
    </w:lvl>
  </w:abstractNum>
  <w:abstractNum w:abstractNumId="8">
    <w:nsid w:val="7DE67713"/>
    <w:multiLevelType w:val="hybridMultilevel"/>
    <w:lvl w:ilvl="0">
      <w:lvlJc w:val="left"/>
      <w:lvlText w:val="(%1)"/>
      <w:numFmt w:val="lowerLetter"/>
      <w:start w:val="16"/>
    </w:lvl>
  </w:abstractNum>
  <w:abstractNum w:abstractNumId="9">
    <w:nsid w:val="555C55B5"/>
    <w:multiLevelType w:val="hybridMultilevel"/>
    <w:lvl w:ilvl="0">
      <w:lvlJc w:val="left"/>
      <w:lvlText w:val="(%1)"/>
      <w:numFmt w:val="lowerLetter"/>
      <w:start w:val="18"/>
    </w:lvl>
  </w:abstractNum>
  <w:abstractNum w:abstractNumId="10">
    <w:nsid w:val="3FA62ACA"/>
    <w:multiLevelType w:val="hybridMultilevel"/>
    <w:lvl w:ilvl="0">
      <w:lvlJc w:val="left"/>
      <w:lvlText w:val="(%1)"/>
      <w:numFmt w:val="lowerLetter"/>
      <w:start w:val="19"/>
    </w:lvl>
  </w:abstractNum>
  <w:abstractNum w:abstractNumId="11">
    <w:nsid w:val="14FCE74E"/>
    <w:multiLevelType w:val="hybridMultilevel"/>
    <w:lvl w:ilvl="0">
      <w:lvlJc w:val="left"/>
      <w:lvlText w:val="(%1)"/>
      <w:numFmt w:val="lowerLetter"/>
      <w:start w:val="21"/>
    </w:lvl>
  </w:abstractNum>
  <w:abstractNum w:abstractNumId="12">
    <w:nsid w:val="6A3DD3E8"/>
    <w:multiLevelType w:val="hybridMultilevel"/>
    <w:lvl w:ilvl="0">
      <w:lvlJc w:val="left"/>
      <w:lvlText w:val="(%1)"/>
      <w:numFmt w:val="lowerLetter"/>
      <w:start w:val="22"/>
    </w:lvl>
  </w:abstractNum>
  <w:abstractNum w:abstractNumId="13">
    <w:nsid w:val="71C91298"/>
    <w:multiLevelType w:val="hybridMultilevel"/>
    <w:lvl w:ilvl="0">
      <w:lvlJc w:val="left"/>
      <w:lvlText w:val="(%1)"/>
      <w:numFmt w:val="upperLetter"/>
      <w:start w:val="5"/>
    </w:lvl>
    <w:lvl w:ilvl="1">
      <w:lvlJc w:val="left"/>
      <w:lvlText w:val="(%2)"/>
      <w:numFmt w:val="lowerRoman"/>
      <w:start w:val="10"/>
    </w:lvl>
  </w:abstractNum>
  <w:abstractNum w:abstractNumId="14">
    <w:nsid w:val="9DAF632"/>
    <w:multiLevelType w:val="hybridMultilevel"/>
    <w:lvl w:ilvl="0">
      <w:lvlJc w:val="left"/>
      <w:lvlText w:val="(%1)"/>
      <w:numFmt w:val="lowerLetter"/>
      <w:start w:val="25"/>
    </w:lvl>
  </w:abstractNum>
  <w:abstractNum w:abstractNumId="15">
    <w:nsid w:val="53299938"/>
    <w:multiLevelType w:val="hybridMultilevel"/>
    <w:lvl w:ilvl="0">
      <w:lvlJc w:val="left"/>
      <w:lvlText w:val="§"/>
      <w:numFmt w:val="bullet"/>
      <w:start w:val="1"/>
    </w:lvl>
    <w:lvl w:ilvl="1">
      <w:lvlJc w:val="left"/>
      <w:lvlText w:val="(%2)"/>
      <w:numFmt w:val="lowerLetter"/>
      <w:start w:val="27"/>
    </w:lvl>
  </w:abstractNum>
  <w:abstractNum w:abstractNumId="16">
    <w:nsid w:val="1FBFE8E0"/>
    <w:multiLevelType w:val="hybridMultilevel"/>
    <w:lvl w:ilvl="0">
      <w:lvlJc w:val="left"/>
      <w:lvlText w:val="(%1)"/>
      <w:numFmt w:val="lowerLetter"/>
      <w:start w:val="30"/>
    </w:lvl>
  </w:abstractNum>
  <w:abstractNum w:abstractNumId="17">
    <w:nsid w:val="5092CA79"/>
    <w:multiLevelType w:val="hybridMultilevel"/>
    <w:lvl w:ilvl="0">
      <w:lvlJc w:val="left"/>
      <w:lvlText w:val="(%1)"/>
      <w:numFmt w:val="lowerLetter"/>
      <w:start w:val="31"/>
    </w:lvl>
  </w:abstractNum>
  <w:abstractNum w:abstractNumId="18">
    <w:nsid w:val="1D545C4D"/>
    <w:multiLevelType w:val="hybridMultilevel"/>
    <w:lvl w:ilvl="0">
      <w:lvlJc w:val="left"/>
      <w:lvlText w:val="(%1)"/>
      <w:numFmt w:val="lowerLetter"/>
      <w:start w:val="2"/>
    </w:lvl>
    <w:lvl w:ilvl="1">
      <w:lvlJc w:val="left"/>
      <w:lvlText w:val="(%2)"/>
      <w:numFmt w:val="lowerLetter"/>
      <w:start w:val="37"/>
    </w:lvl>
  </w:abstractNum>
  <w:abstractNum w:abstractNumId="19">
    <w:nsid w:val="59ADEA3D"/>
    <w:multiLevelType w:val="hybridMultilevel"/>
    <w:lvl w:ilvl="0">
      <w:lvlJc w:val="left"/>
      <w:lvlText w:val="(%1)"/>
      <w:numFmt w:val="lowerLetter"/>
      <w:start w:val="40"/>
    </w:lvl>
  </w:abstractNum>
  <w:abstractNum w:abstractNumId="20">
    <w:nsid w:val="288F1A34"/>
    <w:multiLevelType w:val="hybridMultilevel"/>
    <w:lvl w:ilvl="0">
      <w:lvlJc w:val="left"/>
      <w:lvlText w:val="%1"/>
      <w:numFmt w:val="upperLetter"/>
      <w:start w:val="1"/>
    </w:lvl>
    <w:lvl w:ilvl="1">
      <w:lvlJc w:val="left"/>
      <w:lvlText w:val="(%2)"/>
      <w:numFmt w:val="lowerLetter"/>
      <w:start w:val="41"/>
    </w:lvl>
  </w:abstractNum>
  <w:abstractNum w:abstractNumId="21">
    <w:nsid w:val="2A155DBC"/>
    <w:multiLevelType w:val="hybridMultilevel"/>
    <w:lvl w:ilvl="0">
      <w:lvlJc w:val="left"/>
      <w:lvlText w:val="(%1)"/>
      <w:numFmt w:val="upperLetter"/>
      <w:start w:val="4"/>
    </w:lvl>
    <w:lvl w:ilvl="1">
      <w:lvlJc w:val="left"/>
      <w:lvlText w:val="(%2)"/>
      <w:numFmt w:val="lowerLetter"/>
      <w:start w:val="43"/>
    </w:lvl>
  </w:abstractNum>
  <w:abstractNum w:abstractNumId="22">
    <w:nsid w:val="1D9F6E5F"/>
    <w:multiLevelType w:val="hybridMultilevel"/>
    <w:lvl w:ilvl="0">
      <w:lvlJc w:val="left"/>
      <w:lvlText w:val="(%1)"/>
      <w:numFmt w:val="lowerLetter"/>
      <w:start w:val="44"/>
    </w:lvl>
  </w:abstractNum>
  <w:abstractNum w:abstractNumId="23">
    <w:nsid w:val="97E1B4E"/>
    <w:multiLevelType w:val="hybridMultilevel"/>
    <w:lvl w:ilvl="0">
      <w:lvlJc w:val="left"/>
      <w:lvlText w:val="(%1)"/>
      <w:numFmt w:val="lowerLetter"/>
      <w:start w:val="50"/>
    </w:lvl>
  </w:abstractNum>
  <w:abstractNum w:abstractNumId="24">
    <w:nsid w:val="51088277"/>
    <w:multiLevelType w:val="hybridMultilevel"/>
    <w:lvl w:ilvl="0">
      <w:lvlJc w:val="left"/>
      <w:lvlText w:val="(%1)"/>
      <w:numFmt w:val="lowerLetter"/>
      <w:start w:val="53"/>
    </w:lvl>
  </w:abstractNum>
  <w:abstractNum w:abstractNumId="25">
    <w:nsid w:val="1CA0C5FA"/>
    <w:multiLevelType w:val="hybridMultilevel"/>
    <w:lvl w:ilvl="0">
      <w:lvlJc w:val="left"/>
      <w:lvlText w:val="(%1)"/>
      <w:numFmt w:val="lowerLetter"/>
      <w:start w:val="54"/>
    </w:lvl>
  </w:abstractNum>
  <w:abstractNum w:abstractNumId="26">
    <w:nsid w:val="53584BCB"/>
    <w:multiLevelType w:val="hybridMultilevel"/>
    <w:lvl w:ilvl="0">
      <w:lvlJc w:val="left"/>
      <w:lvlText w:val="%1."/>
      <w:numFmt w:val="decimal"/>
      <w:start w:val="2"/>
    </w:lvl>
  </w:abstractNum>
  <w:abstractNum w:abstractNumId="27">
    <w:nsid w:val="415E286C"/>
    <w:multiLevelType w:val="hybridMultilevel"/>
    <w:lvl w:ilvl="0">
      <w:lvlJc w:val="left"/>
      <w:lvlText w:val="(%1)"/>
      <w:numFmt w:val="lowerLetter"/>
      <w:start w:val="1"/>
    </w:lvl>
  </w:abstractNum>
  <w:abstractNum w:abstractNumId="28">
    <w:nsid w:val="7C58FD05"/>
    <w:multiLevelType w:val="hybridMultilevel"/>
    <w:lvl w:ilvl="0">
      <w:lvlJc w:val="left"/>
      <w:lvlText w:val="%1."/>
      <w:numFmt w:val="decimal"/>
      <w:start w:val="3"/>
    </w:lvl>
  </w:abstractNum>
  <w:abstractNum w:abstractNumId="29">
    <w:nsid w:val="23D86AAC"/>
    <w:multiLevelType w:val="hybridMultilevel"/>
    <w:lvl w:ilvl="0">
      <w:lvlJc w:val="left"/>
      <w:lvlText w:val="(%1)"/>
      <w:numFmt w:val="lowerLetter"/>
      <w:start w:val="1"/>
    </w:lvl>
  </w:abstractNum>
  <w:abstractNum w:abstractNumId="30">
    <w:nsid w:val="45E6D486"/>
    <w:multiLevelType w:val="hybridMultilevel"/>
    <w:lvl w:ilvl="0">
      <w:lvlJc w:val="left"/>
      <w:lvlText w:val="%1"/>
      <w:numFmt w:val="lowerLetter"/>
      <w:start w:val="1"/>
    </w:lvl>
    <w:lvl w:ilvl="1">
      <w:lvlJc w:val="left"/>
      <w:lvlText w:val="(%2)"/>
      <w:numFmt w:val="lowerLetter"/>
      <w:start w:val="5"/>
    </w:lvl>
  </w:abstractNum>
  <w:abstractNum w:abstractNumId="31">
    <w:nsid w:val="5C10FE21"/>
    <w:multiLevelType w:val="hybridMultilevel"/>
    <w:lvl w:ilvl="0">
      <w:lvlJc w:val="left"/>
      <w:lvlText w:val="(%1)"/>
      <w:numFmt w:val="lowerLetter"/>
      <w:start w:val="9"/>
    </w:lvl>
    <w:lvl w:ilvl="1">
      <w:lvlJc w:val="left"/>
      <w:lvlText w:val="%2"/>
      <w:numFmt w:val="lowerLetter"/>
      <w:start w:val="1"/>
    </w:lvl>
  </w:abstractNum>
  <w:abstractNum w:abstractNumId="32">
    <w:nsid w:val="E7FFA2B"/>
    <w:multiLevelType w:val="hybridMultilevel"/>
    <w:lvl w:ilvl="0">
      <w:lvlJc w:val="left"/>
      <w:lvlText w:val="(%1)"/>
      <w:numFmt w:val="lowerLetter"/>
      <w:start w:val="7"/>
    </w:lvl>
  </w:abstractNum>
  <w:abstractNum w:abstractNumId="33">
    <w:nsid w:val="3C5991AA"/>
    <w:multiLevelType w:val="hybridMultilevel"/>
    <w:lvl w:ilvl="0">
      <w:lvlJc w:val="left"/>
      <w:lvlText w:val="(%1)"/>
      <w:numFmt w:val="lowerLetter"/>
      <w:start w:val="12"/>
    </w:lvl>
  </w:abstractNum>
  <w:abstractNum w:abstractNumId="34">
    <w:nsid w:val="4BD8591A"/>
    <w:multiLevelType w:val="hybridMultilevel"/>
    <w:lvl w:ilvl="0">
      <w:lvlJc w:val="left"/>
      <w:lvlText w:val="(%1)"/>
      <w:numFmt w:val="lowerLetter"/>
      <w:start w:val="18"/>
    </w:lvl>
  </w:abstractNum>
  <w:abstractNum w:abstractNumId="35">
    <w:nsid w:val="78DF6A55"/>
    <w:multiLevelType w:val="hybridMultilevel"/>
    <w:lvl w:ilvl="0">
      <w:lvlJc w:val="left"/>
      <w:lvlText w:val="%1"/>
      <w:numFmt w:val="lowerLetter"/>
      <w:start w:val="1"/>
    </w:lvl>
    <w:lvl w:ilvl="1">
      <w:lvlJc w:val="left"/>
      <w:lvlText w:val="%2."/>
      <w:numFmt w:val="decimal"/>
      <w:start w:val="4"/>
    </w:lvl>
  </w:abstractNum>
  <w:abstractNum w:abstractNumId="36">
    <w:nsid w:val="39B7AAA2"/>
    <w:multiLevelType w:val="hybridMultilevel"/>
    <w:lvl w:ilvl="0">
      <w:lvlJc w:val="left"/>
      <w:lvlText w:val="(%1)"/>
      <w:numFmt w:val="lowerLetter"/>
      <w:start w:val="6"/>
    </w:lvl>
    <w:lvl w:ilvl="1">
      <w:lvlJc w:val="left"/>
      <w:lvlText w:val="%2."/>
      <w:numFmt w:val="decimal"/>
      <w:start w:val="5"/>
    </w:lvl>
  </w:abstractNum>
  <w:abstractNum w:abstractNumId="37">
    <w:nsid w:val="2B0D8DBE"/>
    <w:multiLevelType w:val="hybridMultilevel"/>
    <w:lvl w:ilvl="0">
      <w:lvlJc w:val="left"/>
      <w:lvlText w:val="(%1)"/>
      <w:numFmt w:val="lowerLetter"/>
      <w:start w:val="1"/>
    </w:lvl>
  </w:abstractNum>
  <w:abstractNum w:abstractNumId="38">
    <w:nsid w:val="6C80EC70"/>
    <w:multiLevelType w:val="hybridMultilevel"/>
    <w:lvl w:ilvl="0">
      <w:lvlJc w:val="left"/>
      <w:lvlText w:val="%1."/>
      <w:numFmt w:val="decimal"/>
      <w:start w:val="6"/>
    </w:lvl>
  </w:abstractNum>
  <w:abstractNum w:abstractNumId="39">
    <w:nsid w:val="379E21B5"/>
    <w:multiLevelType w:val="hybridMultilevel"/>
    <w:lvl w:ilvl="0">
      <w:lvlJc w:val="left"/>
      <w:lvlText w:val="%1"/>
      <w:numFmt w:val="lowerLetter"/>
      <w:start w:val="1"/>
    </w:lvl>
    <w:lvl w:ilvl="1">
      <w:lvlJc w:val="left"/>
      <w:lvlText w:val="(%2)"/>
      <w:numFmt w:val="lowerLetter"/>
      <w:start w:val="1"/>
    </w:lvl>
  </w:abstractNum>
  <w:abstractNum w:abstractNumId="40">
    <w:nsid w:val="69E373"/>
    <w:multiLevelType w:val="hybridMultilevel"/>
    <w:lvl w:ilvl="0">
      <w:lvlJc w:val="left"/>
      <w:lvlText w:val="(%1)"/>
      <w:numFmt w:val="lowerLetter"/>
      <w:start w:val="61"/>
    </w:lvl>
    <w:lvl w:ilvl="1">
      <w:lvlJc w:val="left"/>
      <w:lvlText w:val="(%2)"/>
      <w:numFmt w:val="lowerLetter"/>
      <w:start w:val="3"/>
    </w:lvl>
  </w:abstractNum>
  <w:abstractNum w:abstractNumId="41">
    <w:nsid w:val="2C27173B"/>
    <w:multiLevelType w:val="hybridMultilevel"/>
    <w:lvl w:ilvl="0">
      <w:lvlJc w:val="left"/>
      <w:lvlText w:val="(%1)"/>
      <w:numFmt w:val="lowerLetter"/>
      <w:start w:val="4"/>
    </w:lvl>
  </w:abstractNum>
  <w:abstractNum w:abstractNumId="42">
    <w:nsid w:val="4C9B0904"/>
    <w:multiLevelType w:val="hybridMultilevel"/>
    <w:lvl w:ilvl="0">
      <w:lvlJc w:val="left"/>
      <w:lvlText w:val="(%1)"/>
      <w:numFmt w:val="lowerLetter"/>
      <w:start w:val="5"/>
    </w:lvl>
    <w:lvl w:ilvl="1">
      <w:lvlJc w:val="left"/>
      <w:lvlText w:val="%2."/>
      <w:numFmt w:val="lowerRoman"/>
      <w:start w:val="1"/>
    </w:lvl>
  </w:abstractNum>
  <w:abstractNum w:abstractNumId="43">
    <w:nsid w:val="6AA7B75C"/>
    <w:multiLevelType w:val="hybridMultilevel"/>
    <w:lvl w:ilvl="0">
      <w:lvlJc w:val="left"/>
      <w:lvlText w:val="(%1)"/>
      <w:numFmt w:val="lowerLetter"/>
      <w:start w:val="9"/>
    </w:lvl>
    <w:lvl w:ilvl="1">
      <w:lvlJc w:val="left"/>
      <w:lvlText w:val="(%2)"/>
      <w:numFmt w:val="lowerRoman"/>
      <w:start w:val="1"/>
    </w:lvl>
  </w:abstractNum>
  <w:abstractNum w:abstractNumId="44">
    <w:nsid w:val="1DF029D3"/>
    <w:multiLevelType w:val="hybridMultilevel"/>
    <w:lvl w:ilvl="0">
      <w:lvlJc w:val="left"/>
      <w:lvlText w:val="(%1)"/>
      <w:numFmt w:val="lowerLetter"/>
      <w:start w:val="12"/>
    </w:lvl>
  </w:abstractNum>
  <w:abstractNum w:abstractNumId="45">
    <w:nsid w:val="5675FF36"/>
    <w:multiLevelType w:val="hybridMultilevel"/>
    <w:lvl w:ilvl="0">
      <w:lvlJc w:val="left"/>
      <w:lvlText w:val="%1."/>
      <w:numFmt w:val="decimal"/>
      <w:start w:val="7"/>
    </w:lvl>
  </w:abstractNum>
  <w:abstractNum w:abstractNumId="46">
    <w:nsid w:val="3DD15094"/>
    <w:multiLevelType w:val="hybridMultilevel"/>
    <w:lvl w:ilvl="0">
      <w:lvlJc w:val="left"/>
      <w:lvlText w:val="%1."/>
      <w:numFmt w:val="decimal"/>
      <w:start w:val="8"/>
    </w:lvl>
  </w:abstractNum>
  <w:abstractNum w:abstractNumId="47">
    <w:nsid w:val="3DB012B3"/>
    <w:multiLevelType w:val="hybridMultilevel"/>
    <w:lvl w:ilvl="0">
      <w:lvlJc w:val="left"/>
      <w:lvlText w:val="(%1)"/>
      <w:numFmt w:val="lowerLetter"/>
      <w:start w:val="1"/>
    </w:lvl>
  </w:abstractNum>
  <w:abstractNum w:abstractNumId="48">
    <w:nsid w:val="2708C9AF"/>
    <w:multiLevelType w:val="hybridMultilevel"/>
    <w:lvl w:ilvl="0">
      <w:lvlJc w:val="left"/>
      <w:lvlText w:val="(%1)"/>
      <w:numFmt w:val="lowerLetter"/>
      <w:start w:val="2"/>
    </w:lvl>
  </w:abstractNum>
  <w:abstractNum w:abstractNumId="49">
    <w:nsid w:val="5B25ACE2"/>
    <w:multiLevelType w:val="hybridMultilevel"/>
    <w:lvl w:ilvl="0">
      <w:lvlJc w:val="left"/>
      <w:lvlText w:val="%1"/>
      <w:numFmt w:val="lowerLetter"/>
      <w:start w:val="1"/>
    </w:lvl>
    <w:lvl w:ilvl="1">
      <w:lvlJc w:val="left"/>
      <w:lvlText w:val="(%2)"/>
      <w:numFmt w:val="lowerLetter"/>
      <w:start w:val="4"/>
    </w:lvl>
  </w:abstractNum>
  <w:abstractNum w:abstractNumId="50">
    <w:nsid w:val="175DFCF0"/>
    <w:multiLevelType w:val="hybridMultilevel"/>
    <w:lvl w:ilvl="0">
      <w:lvlJc w:val="left"/>
      <w:lvlText w:val="(%1)"/>
      <w:numFmt w:val="lowerLetter"/>
      <w:start w:val="1"/>
    </w:lvl>
    <w:lvl w:ilvl="1">
      <w:lvlJc w:val="left"/>
      <w:lvlText w:val="%2"/>
      <w:numFmt w:val="lowerLetter"/>
      <w:start w:val="1"/>
    </w:lvl>
  </w:abstractNum>
  <w:abstractNum w:abstractNumId="51">
    <w:nsid w:val="4F97E3E4"/>
    <w:multiLevelType w:val="hybridMultilevel"/>
    <w:lvl w:ilvl="0">
      <w:lvlJc w:val="left"/>
      <w:lvlText w:val="(%1)"/>
      <w:numFmt w:val="lowerLetter"/>
      <w:start w:val="5"/>
    </w:lvl>
  </w:abstractNum>
  <w:abstractNum w:abstractNumId="52">
    <w:nsid w:val="53B0A9E"/>
    <w:multiLevelType w:val="hybridMultilevel"/>
    <w:lvl w:ilvl="0">
      <w:lvlJc w:val="left"/>
      <w:lvlText w:val="%1."/>
      <w:numFmt w:val="decimal"/>
      <w:start w:val="9"/>
    </w:lvl>
  </w:abstractNum>
  <w:abstractNum w:abstractNumId="53">
    <w:nsid w:val="34FD6B4F"/>
    <w:multiLevelType w:val="hybridMultilevel"/>
    <w:lvl w:ilvl="0">
      <w:lvlJc w:val="left"/>
      <w:lvlText w:val="(%1)"/>
      <w:numFmt w:val="lowerLetter"/>
      <w:start w:val="1"/>
    </w:lvl>
  </w:abstractNum>
  <w:abstractNum w:abstractNumId="54">
    <w:nsid w:val="5915FF32"/>
    <w:multiLevelType w:val="hybridMultilevel"/>
    <w:lvl w:ilvl="0">
      <w:lvlJc w:val="left"/>
      <w:lvlText w:val="(%1)"/>
      <w:numFmt w:val="lowerLetter"/>
      <w:start w:val="2"/>
    </w:lvl>
  </w:abstractNum>
  <w:abstractNum w:abstractNumId="55">
    <w:nsid w:val="56438D15"/>
    <w:multiLevelType w:val="hybridMultilevel"/>
    <w:lvl w:ilvl="0">
      <w:lvlJc w:val="left"/>
      <w:lvlText w:val="(%1)"/>
      <w:numFmt w:val="lowerLetter"/>
      <w:start w:val="3"/>
    </w:lvl>
  </w:abstractNum>
  <w:abstractNum w:abstractNumId="56">
    <w:nsid w:val="519E3149"/>
    <w:multiLevelType w:val="hybridMultilevel"/>
    <w:lvl w:ilvl="0">
      <w:lvlJc w:val="left"/>
      <w:lvlText w:val="%1."/>
      <w:numFmt w:val="decimal"/>
      <w:start w:val="10"/>
    </w:lvl>
  </w:abstractNum>
  <w:abstractNum w:abstractNumId="57">
    <w:nsid w:val="2C6E4AFD"/>
    <w:multiLevelType w:val="hybridMultilevel"/>
    <w:lvl w:ilvl="0">
      <w:lvlJc w:val="left"/>
      <w:lvlText w:val="%1."/>
      <w:numFmt w:val="decimal"/>
      <w:start w:val="12"/>
    </w:lvl>
  </w:abstractNum>
  <w:abstractNum w:abstractNumId="58">
    <w:nsid w:val="17A1B582"/>
    <w:multiLevelType w:val="hybridMultilevel"/>
    <w:lvl w:ilvl="0">
      <w:lvlJc w:val="left"/>
      <w:lvlText w:val="(%1)"/>
      <w:numFmt w:val="lowerRoman"/>
      <w:start w:val="1"/>
    </w:lvl>
  </w:abstractNum>
  <w:abstractNum w:abstractNumId="59">
    <w:nsid w:val="4DF72E4E"/>
    <w:multiLevelType w:val="hybridMultilevel"/>
    <w:lvl w:ilvl="0">
      <w:lvlJc w:val="left"/>
      <w:lvlText w:val="%1."/>
      <w:numFmt w:val="decimal"/>
      <w:start w:val="14"/>
    </w:lvl>
  </w:abstractNum>
  <w:abstractNum w:abstractNumId="60">
    <w:nsid w:val="5046B5A9"/>
    <w:multiLevelType w:val="hybridMultilevel"/>
    <w:lvl w:ilvl="0">
      <w:lvlJc w:val="left"/>
      <w:lvlText w:val="(%1)"/>
      <w:numFmt w:val="lowerLetter"/>
      <w:start w:val="1"/>
    </w:lvl>
  </w:abstractNum>
  <w:abstractNum w:abstractNumId="61">
    <w:nsid w:val="5D888A08"/>
    <w:multiLevelType w:val="hybridMultilevel"/>
    <w:lvl w:ilvl="0">
      <w:lvlJc w:val="left"/>
      <w:lvlText w:val="%1"/>
      <w:numFmt w:val="decimal"/>
      <w:start w:val="1"/>
    </w:lvl>
    <w:lvl w:ilvl="1">
      <w:lvlJc w:val="left"/>
      <w:lvlText w:val="(%2)"/>
      <w:numFmt w:val="lowerLetter"/>
      <w:start w:val="2"/>
    </w:lvl>
  </w:abstractNum>
  <w:abstractNum w:abstractNumId="62">
    <w:nsid w:val="2A082C70"/>
    <w:multiLevelType w:val="hybridMultilevel"/>
    <w:lvl w:ilvl="0">
      <w:lvlJc w:val="left"/>
      <w:lvlText w:val="%1."/>
      <w:numFmt w:val="decimal"/>
      <w:start w:val="15"/>
    </w:lvl>
    <w:lvl w:ilvl="1">
      <w:lvlJc w:val="left"/>
      <w:lvlText w:val="%2"/>
      <w:numFmt w:val="lowerLetter"/>
      <w:start w:val="1"/>
    </w:lvl>
  </w:abstractNum>
  <w:abstractNum w:abstractNumId="63">
    <w:nsid w:val="5EC6AFD4"/>
    <w:multiLevelType w:val="hybridMultilevel"/>
    <w:lvl w:ilvl="0">
      <w:lvlJc w:val="left"/>
      <w:lvlText w:val="%1."/>
      <w:numFmt w:val="decimal"/>
      <w:start w:val="19"/>
    </w:lvl>
  </w:abstractNum>
  <w:abstractNum w:abstractNumId="64">
    <w:nsid w:val="19E21BB2"/>
    <w:multiLevelType w:val="hybridMultilevel"/>
    <w:lvl w:ilvl="0">
      <w:lvlJc w:val="left"/>
      <w:lvlText w:val="%1."/>
      <w:numFmt w:val="decimal"/>
      <w:start w:val="1"/>
    </w:lvl>
  </w:abstractNum>
  <w:abstractNum w:abstractNumId="65">
    <w:nsid w:val="75E0858A"/>
    <w:multiLevelType w:val="hybridMultilevel"/>
    <w:lvl w:ilvl="0">
      <w:lvlJc w:val="left"/>
      <w:lvlText w:val="%1."/>
      <w:numFmt w:val="decimal"/>
      <w:start w:val="1"/>
    </w:lvl>
  </w:abstractNum>
  <w:abstractNum w:abstractNumId="66">
    <w:nsid w:val="57A61A29"/>
    <w:multiLevelType w:val="hybridMultilevel"/>
    <w:lvl w:ilvl="0">
      <w:lvlJc w:val="left"/>
      <w:lvlText w:val="%1."/>
      <w:numFmt w:val="decimal"/>
      <w:start w:val="10"/>
    </w:lvl>
  </w:abstractNum>
  <w:abstractNum w:abstractNumId="67">
    <w:nsid w:val="5399C654"/>
    <w:multiLevelType w:val="hybridMultilevel"/>
    <w:lvl w:ilvl="0">
      <w:lvlJc w:val="left"/>
      <w:lvlText w:val="%1."/>
      <w:numFmt w:val="decimal"/>
      <w:start w:val="1"/>
    </w:lvl>
  </w:abstractNum>
  <w:abstractNum w:abstractNumId="68">
    <w:nsid w:val="20EE1348"/>
    <w:multiLevelType w:val="hybridMultilevel"/>
    <w:lvl w:ilvl="0">
      <w:lvlJc w:val="left"/>
      <w:lvlText w:val="(%1)"/>
      <w:numFmt w:val="lowerLetter"/>
      <w:start w:val="1"/>
    </w:lvl>
  </w:abstractNum>
  <w:abstractNum w:abstractNumId="69">
    <w:nsid w:val="4427069A"/>
    <w:multiLevelType w:val="hybridMultilevel"/>
    <w:lvl w:ilvl="0">
      <w:lvlJc w:val="left"/>
      <w:lvlText w:val="(%1)"/>
      <w:numFmt w:val="lowerLetter"/>
      <w:start w:val="4"/>
    </w:lvl>
  </w:abstractNum>
  <w:abstractNum w:abstractNumId="70">
    <w:nsid w:val="B37E80A"/>
    <w:multiLevelType w:val="hybridMultilevel"/>
    <w:lvl w:ilvl="0">
      <w:lvlJc w:val="left"/>
      <w:lvlText w:val="(%1)"/>
      <w:numFmt w:val="lowerLetter"/>
      <w:start w:val="1"/>
    </w:lvl>
  </w:abstractNum>
  <w:abstractNum w:abstractNumId="71">
    <w:nsid w:val="2157F6BC"/>
    <w:multiLevelType w:val="hybridMultilevel"/>
    <w:lvl w:ilvl="0">
      <w:lvlJc w:val="left"/>
      <w:lvlText w:val="(%1)"/>
      <w:numFmt w:val="lowerLetter"/>
      <w:start w:val="1"/>
    </w:lvl>
  </w:abstractNum>
  <w:abstractNum w:abstractNumId="72">
    <w:nsid w:val="704E1DD5"/>
    <w:multiLevelType w:val="hybridMultilevel"/>
    <w:lvl w:ilvl="0">
      <w:lvlJc w:val="left"/>
      <w:lvlText w:val="(%1)"/>
      <w:numFmt w:val="lowerLetter"/>
      <w:start w:val="1"/>
    </w:lvl>
  </w:abstractNum>
  <w:abstractNum w:abstractNumId="73">
    <w:nsid w:val="57D2F10E"/>
    <w:multiLevelType w:val="hybridMultilevel"/>
    <w:lvl w:ilvl="0">
      <w:lvlJc w:val="left"/>
      <w:lvlText w:val="(%1)"/>
      <w:numFmt w:val="lowerLetter"/>
      <w:start w:val="2"/>
    </w:lvl>
  </w:abstractNum>
  <w:abstractNum w:abstractNumId="74">
    <w:nsid w:val="BFFAE18"/>
    <w:multiLevelType w:val="hybridMultilevel"/>
    <w:lvl w:ilvl="0">
      <w:lvlJc w:val="left"/>
      <w:lvlText w:val="(%1)"/>
      <w:numFmt w:val="lowerLetter"/>
      <w:start w:val="1"/>
    </w:lvl>
  </w:abstractNum>
  <w:abstractNum w:abstractNumId="75">
    <w:nsid w:val="E3E47A8"/>
    <w:multiLevelType w:val="hybridMultilevel"/>
    <w:lvl w:ilvl="0">
      <w:lvlJc w:val="left"/>
      <w:lvlText w:val="(%1)"/>
      <w:numFmt w:val="lowerLetter"/>
      <w:start w:val="3"/>
    </w:lvl>
  </w:abstractNum>
  <w:abstractNum w:abstractNumId="76">
    <w:nsid w:val="2E48F044"/>
    <w:multiLevelType w:val="hybridMultilevel"/>
    <w:lvl w:ilvl="0">
      <w:lvlJc w:val="left"/>
      <w:lvlText w:val="(%1)"/>
      <w:numFmt w:val="lowerLetter"/>
      <w:start w:val="9"/>
    </w:lvl>
  </w:abstractNum>
  <w:abstractNum w:abstractNumId="77">
    <w:nsid w:val="49D0FEAC"/>
    <w:multiLevelType w:val="hybridMultilevel"/>
    <w:lvl w:ilvl="0">
      <w:lvlJc w:val="left"/>
      <w:lvlText w:val="(%1)"/>
      <w:numFmt w:val="lowerLetter"/>
      <w:start w:val="19"/>
    </w:lvl>
  </w:abstractNum>
  <w:abstractNum w:abstractNumId="78">
    <w:nsid w:val="4BEE5A5B"/>
    <w:multiLevelType w:val="hybridMultilevel"/>
    <w:lvl w:ilvl="0">
      <w:lvlJc w:val="left"/>
      <w:lvlText w:val="(%1)"/>
      <w:numFmt w:val="lowerLetter"/>
      <w:start w:val="20"/>
    </w:lvl>
  </w:abstractNum>
  <w:abstractNum w:abstractNumId="79">
    <w:nsid w:val="5551B9F3"/>
    <w:multiLevelType w:val="hybridMultilevel"/>
    <w:lvl w:ilvl="0">
      <w:lvlJc w:val="left"/>
      <w:lvlText w:val="(%1)"/>
      <w:numFmt w:val="lowerLetter"/>
      <w:start w:val="27"/>
    </w:lvl>
  </w:abstractNum>
  <w:abstractNum w:abstractNumId="80">
    <w:nsid w:val="24F6AB8E"/>
    <w:multiLevelType w:val="hybridMultilevel"/>
    <w:lvl w:ilvl="0">
      <w:lvlJc w:val="left"/>
      <w:lvlText w:val="(%1)"/>
      <w:numFmt w:val="lowerLetter"/>
      <w:start w:val="1"/>
    </w:lvl>
  </w:abstractNum>
  <w:abstractNum w:abstractNumId="81">
    <w:nsid w:val="634C574C"/>
    <w:multiLevelType w:val="hybridMultilevel"/>
    <w:lvl w:ilvl="0">
      <w:lvlJc w:val="left"/>
      <w:lvlText w:val="(%1)"/>
      <w:numFmt w:val="lowerLetter"/>
      <w:start w:val="8"/>
    </w:lvl>
  </w:abstractNum>
  <w:abstractNum w:abstractNumId="82">
    <w:nsid w:val="24E99DD7"/>
    <w:multiLevelType w:val="hybridMultilevel"/>
    <w:lvl w:ilvl="0">
      <w:lvlJc w:val="left"/>
      <w:lvlText w:val="(%1)"/>
      <w:numFmt w:val="lowerLetter"/>
      <w:start w:val="1"/>
    </w:lvl>
  </w:abstractNum>
  <w:abstractNum w:abstractNumId="83">
    <w:nsid w:val="2A31B62D"/>
    <w:multiLevelType w:val="hybridMultilevel"/>
    <w:lvl w:ilvl="0">
      <w:lvlJc w:val="left"/>
      <w:lvlText w:val="(%1)"/>
      <w:numFmt w:val="lowerLetter"/>
      <w:start w:val="1"/>
    </w:lvl>
  </w:abstractNum>
  <w:abstractNum w:abstractNumId="84">
    <w:nsid w:val="1849C29B"/>
    <w:multiLevelType w:val="hybridMultilevel"/>
    <w:lvl w:ilvl="0">
      <w:lvlJc w:val="left"/>
      <w:lvlText w:val="(%1)"/>
      <w:numFmt w:val="lowerLetter"/>
      <w:start w:val="2"/>
    </w:lvl>
  </w:abstractNum>
  <w:abstractNum w:abstractNumId="85">
    <w:nsid w:val="7DFF9D09"/>
    <w:multiLevelType w:val="hybridMultilevel"/>
    <w:lvl w:ilvl="0">
      <w:lvlJc w:val="left"/>
      <w:lvlText w:val="(%1)"/>
      <w:numFmt w:val="lowerLetter"/>
      <w:start w:val="3"/>
    </w:lvl>
  </w:abstractNum>
  <w:abstractNum w:abstractNumId="86">
    <w:nsid w:val="754342"/>
    <w:multiLevelType w:val="hybridMultilevel"/>
    <w:lvl w:ilvl="0">
      <w:lvlJc w:val="left"/>
      <w:lvlText w:val="(%1)"/>
      <w:numFmt w:val="lowerLetter"/>
      <w:start w:val="1"/>
    </w:lvl>
    <w:lvl w:ilvl="1">
      <w:lvlJc w:val="left"/>
      <w:lvlText w:val="(%2)"/>
      <w:numFmt w:val="lowerRoman"/>
      <w:start w:val="1"/>
    </w:lvl>
  </w:abstractNum>
  <w:abstractNum w:abstractNumId="87">
    <w:nsid w:val="69E7F3E5"/>
    <w:multiLevelType w:val="hybridMultilevel"/>
    <w:lvl w:ilvl="0">
      <w:lvlJc w:val="left"/>
      <w:lvlText w:val="(%1)"/>
      <w:numFmt w:val="lowerRoman"/>
      <w:start w:val="1"/>
    </w:lvl>
  </w:abstractNum>
  <w:abstractNum w:abstractNumId="88">
    <w:nsid w:val="2A6DE806"/>
    <w:multiLevelType w:val="hybridMultilevel"/>
    <w:lvl w:ilvl="0">
      <w:lvlJc w:val="left"/>
      <w:lvlText w:val="(%1)"/>
      <w:numFmt w:val="lowerRoman"/>
      <w:start w:val="2"/>
    </w:lvl>
    <w:lvl w:ilvl="1">
      <w:lvlJc w:val="left"/>
      <w:lvlText w:val="(%2)"/>
      <w:numFmt w:val="upperLetter"/>
      <w:start w:val="1"/>
    </w:lvl>
  </w:abstractNum>
  <w:abstractNum w:abstractNumId="89">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37DF223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1">
    <w:nsid w:val="7AB49DA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2">
    <w:nsid w:val="759F82CD"/>
    <w:multiLevelType w:val="hybridMultilevel"/>
    <w:lvl w:ilvl="0">
      <w:lvlJc w:val="left"/>
      <w:lvlText w:val="(%1)"/>
      <w:numFmt w:val="lowerLetter"/>
      <w:start w:val="8"/>
    </w:lvl>
  </w:abstractNum>
  <w:abstractNum w:abstractNumId="93">
    <w:nsid w:val="61E74EA3"/>
    <w:multiLevelType w:val="hybridMultilevel"/>
    <w:lvl w:ilvl="0">
      <w:lvlJc w:val="left"/>
      <w:lvlText w:val="(%1)"/>
      <w:numFmt w:val="lowerLetter"/>
      <w:start w:val="10"/>
    </w:lvl>
  </w:abstractNum>
  <w:abstractNum w:abstractNumId="94">
    <w:nsid w:val="597B4D84"/>
    <w:multiLevelType w:val="hybridMultilevel"/>
    <w:lvl w:ilvl="0">
      <w:lvlJc w:val="left"/>
      <w:lvlText w:val="(%1)"/>
      <w:numFmt w:val="lowerLetter"/>
      <w:start w:val="1"/>
    </w:lvl>
  </w:abstractNum>
  <w:abstractNum w:abstractNumId="95">
    <w:nsid w:val="F819E7F"/>
    <w:multiLevelType w:val="hybridMultilevel"/>
    <w:lvl w:ilvl="0">
      <w:lvlJc w:val="left"/>
      <w:lvlText w:val="(%1)"/>
      <w:numFmt w:val="lowerLetter"/>
      <w:start w:val="2"/>
    </w:lvl>
  </w:abstractNum>
  <w:abstractNum w:abstractNumId="96">
    <w:nsid w:val="57C7D42D"/>
    <w:multiLevelType w:val="hybridMultilevel"/>
    <w:lvl w:ilvl="0">
      <w:lvlJc w:val="left"/>
      <w:lvlText w:val="(%1)"/>
      <w:numFmt w:val="lowerLetter"/>
      <w:start w:val="1"/>
    </w:lvl>
    <w:lvl w:ilvl="1">
      <w:lvlJc w:val="left"/>
      <w:lvlText w:val="(%2)"/>
      <w:numFmt w:val="lowerLetter"/>
      <w:start w:val="9"/>
    </w:lvl>
  </w:abstractNum>
  <w:abstractNum w:abstractNumId="97">
    <w:nsid w:val="312167AD"/>
    <w:multiLevelType w:val="hybridMultilevel"/>
    <w:lvl w:ilvl="0">
      <w:lvlJc w:val="left"/>
      <w:lvlText w:val="%1"/>
      <w:numFmt w:val="lowerLetter"/>
      <w:start w:val="1"/>
    </w:lvl>
    <w:lvl w:ilvl="1">
      <w:lvlJc w:val="left"/>
      <w:lvlText w:val="(%2)"/>
      <w:numFmt w:val="lowerLetter"/>
      <w:start w:val="35"/>
    </w:lvl>
  </w:abstractNum>
  <w:abstractNum w:abstractNumId="98">
    <w:nsid w:val="631B64D4"/>
    <w:multiLevelType w:val="hybridMultilevel"/>
    <w:lvl w:ilvl="0">
      <w:lvlJc w:val="left"/>
      <w:lvlText w:val="(%1)"/>
      <w:numFmt w:val="lowerLetter"/>
      <w:start w:val="3"/>
    </w:lvl>
    <w:lvl w:ilvl="1">
      <w:lvlJc w:val="left"/>
      <w:lvlText w:val="%2"/>
      <w:numFmt w:val="lowerLetter"/>
      <w:start w:val="1"/>
    </w:lvl>
  </w:abstractNum>
  <w:abstractNum w:abstractNumId="99">
    <w:nsid w:val="78B5E776"/>
    <w:multiLevelType w:val="hybridMultilevel"/>
    <w:lvl w:ilvl="0">
      <w:lvlJc w:val="left"/>
      <w:lvlText w:val="(%1)"/>
      <w:numFmt w:val="lowerLetter"/>
      <w:start w:val="1"/>
    </w:lvl>
  </w:abstractNum>
  <w:abstractNum w:abstractNumId="100">
    <w:nsid w:val="75486E47"/>
    <w:multiLevelType w:val="hybridMultilevel"/>
    <w:lvl w:ilvl="0">
      <w:lvlJc w:val="left"/>
      <w:lvlText w:val="(%1)"/>
      <w:numFmt w:val="lowerLetter"/>
      <w:start w:val="1"/>
    </w:lvl>
  </w:abstractNum>
  <w:abstractNum w:abstractNumId="101">
    <w:nsid w:val="6E534CDE"/>
    <w:multiLevelType w:val="hybridMultilevel"/>
    <w:lvl w:ilvl="0">
      <w:lvlJc w:val="left"/>
      <w:lvlText w:val="(%1)"/>
      <w:numFmt w:val="lowerLetter"/>
      <w:start w:val="1"/>
    </w:lvl>
  </w:abstractNum>
  <w:abstractNum w:abstractNumId="102">
    <w:nsid w:val="1A0DDE32"/>
    <w:multiLevelType w:val="hybridMultilevel"/>
    <w:lvl w:ilvl="0">
      <w:lvlJc w:val="left"/>
      <w:lvlText w:val="(%1)"/>
      <w:numFmt w:val="lowerLetter"/>
      <w:start w:val="2"/>
    </w:lvl>
    <w:lvl w:ilvl="1">
      <w:lvlJc w:val="left"/>
      <w:lvlText w:val="(%2)"/>
      <w:numFmt w:val="lowerRoman"/>
      <w:start w:val="1"/>
    </w:lvl>
  </w:abstractNum>
  <w:abstractNum w:abstractNumId="103">
    <w:nsid w:val="65968C1C"/>
    <w:multiLevelType w:val="hybridMultilevel"/>
    <w:lvl w:ilvl="0">
      <w:lvlJc w:val="left"/>
      <w:lvlText w:val="(%1)"/>
      <w:numFmt w:val="lowerLetter"/>
      <w:start w:val="1"/>
    </w:lvl>
  </w:abstractNum>
  <w:abstractNum w:abstractNumId="104">
    <w:nsid w:val="46263DEC"/>
    <w:multiLevelType w:val="hybridMultilevel"/>
    <w:lvl w:ilvl="0">
      <w:lvlJc w:val="left"/>
      <w:lvlText w:val="(%1)"/>
      <w:numFmt w:val="lowerLetter"/>
      <w:start w:val="2"/>
    </w:lvl>
  </w:abstractNum>
  <w:abstractNum w:abstractNumId="105">
    <w:nsid w:val="260D8C4A"/>
    <w:multiLevelType w:val="hybridMultilevel"/>
    <w:lvl w:ilvl="0">
      <w:lvlJc w:val="left"/>
      <w:lvlText w:val="(%1)"/>
      <w:numFmt w:val="lowerLetter"/>
      <w:start w:val="1"/>
    </w:lvl>
  </w:abstractNum>
  <w:abstractNum w:abstractNumId="106">
    <w:nsid w:val="73D4D3C4"/>
    <w:multiLevelType w:val="hybridMultilevel"/>
    <w:lvl w:ilvl="0">
      <w:lvlJc w:val="left"/>
      <w:lvlText w:val="(%1)"/>
      <w:numFmt w:val="lowerLetter"/>
      <w:start w:val="2"/>
    </w:lvl>
  </w:abstractNum>
  <w:abstractNum w:abstractNumId="107">
    <w:nsid w:val="746F2E30"/>
    <w:multiLevelType w:val="hybridMultilevel"/>
    <w:lvl w:ilvl="0">
      <w:lvlJc w:val="left"/>
      <w:lvlText w:val="(%1)"/>
      <w:numFmt w:val="lowerLetter"/>
      <w:start w:val="1"/>
    </w:lvl>
  </w:abstractNum>
  <w:abstractNum w:abstractNumId="108">
    <w:nsid w:val="6FDE8AF6"/>
    <w:multiLevelType w:val="hybridMultilevel"/>
    <w:lvl w:ilvl="0">
      <w:lvlJc w:val="left"/>
      <w:lvlText w:val="(%1)"/>
      <w:numFmt w:val="lowerLetter"/>
      <w:start w:val="1"/>
    </w:lvl>
  </w:abstractNum>
  <w:abstractNum w:abstractNumId="109">
    <w:nsid w:val="3FC32E2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0">
    <w:nsid w:val="49C0E823"/>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11">
    <w:nsid w:val="14D53685"/>
    <w:multiLevelType w:val="hybridMultilevel"/>
    <w:lvl w:ilvl="0">
      <w:lvlJc w:val="left"/>
      <w:lvlText w:val="(%1)"/>
      <w:numFmt w:val="lowerLetter"/>
      <w:start w:val="1"/>
    </w:lvl>
    <w:lvl w:ilvl="1">
      <w:lvlJc w:val="left"/>
      <w:lvlText w:val="(%2)"/>
      <w:numFmt w:val="lowerRoman"/>
      <w:start w:val="1"/>
    </w:lvl>
  </w:abstractNum>
  <w:abstractNum w:abstractNumId="112">
    <w:nsid w:val="230F856C"/>
    <w:multiLevelType w:val="hybridMultilevel"/>
    <w:lvl w:ilvl="0">
      <w:lvlJc w:val="left"/>
      <w:lvlText w:val="(%1)"/>
      <w:numFmt w:val="lowerLetter"/>
      <w:start w:val="1"/>
    </w:lvl>
  </w:abstractNum>
  <w:abstractNum w:abstractNumId="113">
    <w:nsid w:val="6EAA85FB"/>
    <w:multiLevelType w:val="hybridMultilevel"/>
    <w:lvl w:ilvl="0">
      <w:lvlJc w:val="left"/>
      <w:lvlText w:val="(%1)"/>
      <w:numFmt w:val="lowerLetter"/>
      <w:start w:val="5"/>
    </w:lvl>
  </w:abstractNum>
  <w:abstractNum w:abstractNumId="114">
    <w:nsid w:val="3F06ECB2"/>
    <w:multiLevelType w:val="hybridMultilevel"/>
    <w:lvl w:ilvl="0">
      <w:lvlJc w:val="left"/>
      <w:lvlText w:val="(%1)"/>
      <w:numFmt w:val="lowerLetter"/>
      <w:start w:val="1"/>
    </w:lvl>
  </w:abstractNum>
  <w:abstractNum w:abstractNumId="115">
    <w:nsid w:val="3B5948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6">
    <w:nsid w:val="6CAA2304"/>
    <w:multiLevelType w:val="hybridMultilevel"/>
    <w:lvl w:ilvl="0">
      <w:lvlJc w:val="left"/>
      <w:lvlText w:val="%1"/>
      <w:numFmt w:val="lowerLetter"/>
      <w:start w:val="1"/>
    </w:lvl>
    <w:lvl w:ilvl="1">
      <w:lvlJc w:val="left"/>
      <w:lvlText w:val="(%2)"/>
      <w:numFmt w:val="lowerLetter"/>
      <w:start w:val="35"/>
    </w:lvl>
  </w:abstractNum>
  <w:abstractNum w:abstractNumId="117">
    <w:nsid w:val="3F7C2FF4"/>
    <w:multiLevelType w:val="hybridMultilevel"/>
    <w:lvl w:ilvl="0">
      <w:lvlJc w:val="left"/>
      <w:lvlText w:val="(%1)"/>
      <w:numFmt w:val="lowerLetter"/>
      <w:start w:val="3"/>
    </w:lvl>
    <w:lvl w:ilvl="1">
      <w:lvlJc w:val="left"/>
      <w:lvlText w:val="%2"/>
      <w:numFmt w:val="lowerLetter"/>
      <w:start w:val="1"/>
    </w:lvl>
  </w:abstractNum>
  <w:abstractNum w:abstractNumId="118">
    <w:nsid w:val="25413BEC"/>
    <w:multiLevelType w:val="hybridMultilevel"/>
    <w:lvl w:ilvl="0">
      <w:lvlJc w:val="left"/>
      <w:lvlText w:val="(%1)"/>
      <w:numFmt w:val="lowerLetter"/>
      <w:start w:val="1"/>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lowerLetter"/>
      <w:start w:val="1"/>
    </w:lvl>
  </w:abstractNum>
  <w:abstractNum w:abstractNumId="121">
    <w:nsid w:val="5D205E20"/>
    <w:multiLevelType w:val="hybridMultilevel"/>
    <w:lvl w:ilvl="0">
      <w:lvlJc w:val="left"/>
      <w:lvlText w:val="(%1)"/>
      <w:numFmt w:val="lowerLetter"/>
      <w:start w:val="1"/>
    </w:lvl>
  </w:abstractNum>
  <w:abstractNum w:abstractNumId="122">
    <w:nsid w:val="11CCA8BA"/>
    <w:multiLevelType w:val="hybridMultilevel"/>
    <w:lvl w:ilvl="0">
      <w:lvlJc w:val="left"/>
      <w:lvlText w:val="(%1)"/>
      <w:numFmt w:val="lowerLetter"/>
      <w:start w:val="3"/>
    </w:lvl>
  </w:abstractNum>
  <w:abstractNum w:abstractNumId="123">
    <w:nsid w:val="4D32AB86"/>
    <w:multiLevelType w:val="hybridMultilevel"/>
    <w:lvl w:ilvl="0">
      <w:lvlJc w:val="left"/>
      <w:lvlText w:val="(%1)"/>
      <w:numFmt w:val="lowerLetter"/>
      <w:start w:val="1"/>
    </w:lvl>
  </w:abstractNum>
  <w:abstractNum w:abstractNumId="124">
    <w:nsid w:val="3F07ACC3"/>
    <w:multiLevelType w:val="hybridMultilevel"/>
    <w:lvl w:ilvl="0">
      <w:lvlJc w:val="left"/>
      <w:lvlText w:val="(%1)"/>
      <w:numFmt w:val="lowerLetter"/>
      <w:start w:val="1"/>
    </w:lvl>
  </w:abstractNum>
  <w:abstractNum w:abstractNumId="125">
    <w:nsid w:val="6B47F63E"/>
    <w:multiLevelType w:val="hybridMultilevel"/>
    <w:lvl w:ilvl="0">
      <w:lvlJc w:val="left"/>
      <w:lvlText w:val="(%1)"/>
      <w:numFmt w:val="lowerLetter"/>
      <w:start w:val="2"/>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2"/>
    </w:lvl>
  </w:abstractNum>
  <w:abstractNum w:abstractNumId="128">
    <w:nsid w:val="1C695DEC"/>
    <w:multiLevelType w:val="hybridMultilevel"/>
    <w:lvl w:ilvl="0">
      <w:lvlJc w:val="left"/>
      <w:lvlText w:val="(%1)"/>
      <w:numFmt w:val="lowerLetter"/>
      <w:start w:val="8"/>
    </w:lvl>
  </w:abstractNum>
  <w:abstractNum w:abstractNumId="129">
    <w:nsid w:val="3FCFAED9"/>
    <w:multiLevelType w:val="hybridMultilevel"/>
    <w:lvl w:ilvl="0">
      <w:lvlJc w:val="left"/>
      <w:lvlText w:val="(%1)"/>
      <w:numFmt w:val="lowerLetter"/>
      <w:start w:val="12"/>
    </w:lvl>
  </w:abstractNum>
  <w:abstractNum w:abstractNumId="130">
    <w:nsid w:val="F8568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11B1CC33"/>
    <w:multiLevelType w:val="hybridMultilevel"/>
    <w:lvl w:ilvl="0">
      <w:lvlJc w:val="left"/>
      <w:lvlText w:val="(%1)"/>
      <w:numFmt w:val="lowerLetter"/>
      <w:start w:val="3"/>
    </w:lvl>
  </w:abstractNum>
  <w:abstractNum w:abstractNumId="132">
    <w:nsid w:val="2E22FBB7"/>
    <w:multiLevelType w:val="hybridMultilevel"/>
    <w:lvl w:ilvl="0">
      <w:lvlJc w:val="left"/>
      <w:lvlText w:val="(%1)"/>
      <w:numFmt w:val="lowerLetter"/>
      <w:start w:val="1"/>
    </w:lvl>
  </w:abstractNum>
  <w:abstractNum w:abstractNumId="133">
    <w:nsid w:val="29934699"/>
    <w:multiLevelType w:val="hybridMultilevel"/>
    <w:lvl w:ilvl="0">
      <w:lvlJc w:val="left"/>
      <w:lvlText w:val="(%1)"/>
      <w:numFmt w:val="decimal"/>
      <w:start w:val="1"/>
    </w:lvl>
  </w:abstractNum>
  <w:abstractNum w:abstractNumId="134">
    <w:nsid w:val="77485850"/>
    <w:multiLevelType w:val="hybridMultilevel"/>
    <w:lvl w:ilvl="0">
      <w:lvlJc w:val="left"/>
      <w:lvlText w:val="(%1)"/>
      <w:numFmt w:val="lowerRoman"/>
      <w:start w:val="2"/>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Letter"/>
      <w:start w:val="2"/>
    </w:lvl>
  </w:abstractNum>
  <w:abstractNum w:abstractNumId="137">
    <w:nsid w:val="6B1D2C14"/>
    <w:multiLevelType w:val="hybridMultilevel"/>
    <w:lvl w:ilvl="0">
      <w:lvlJc w:val="left"/>
      <w:lvlText w:val="(%1)"/>
      <w:numFmt w:val="lowerLetter"/>
      <w:start w:val="1"/>
    </w:lvl>
  </w:abstractNum>
  <w:abstractNum w:abstractNumId="138">
    <w:nsid w:val="68B867D3"/>
    <w:multiLevelType w:val="hybridMultilevel"/>
    <w:lvl w:ilvl="0">
      <w:lvlJc w:val="left"/>
      <w:lvlText w:val="(%1)"/>
      <w:numFmt w:val="lowerRoman"/>
      <w:start w:val="1"/>
    </w:lvl>
    <w:lvl w:ilvl="1">
      <w:lvlJc w:val="left"/>
      <w:lvlText w:val="(%2)"/>
      <w:numFmt w:val="upperLetter"/>
      <w:start w:val="1"/>
    </w:lvl>
  </w:abstractNum>
  <w:abstractNum w:abstractNumId="139">
    <w:nsid w:val="3F7F5DD9"/>
    <w:multiLevelType w:val="hybridMultilevel"/>
    <w:lvl w:ilvl="0">
      <w:lvlJc w:val="left"/>
      <w:lvlText w:val="(%1)"/>
      <w:numFmt w:val="lowerLetter"/>
      <w:start w:val="2"/>
    </w:lvl>
  </w:abstractNum>
  <w:abstractNum w:abstractNumId="140">
    <w:nsid w:val="2AE05A34"/>
    <w:multiLevelType w:val="hybridMultilevel"/>
    <w:lvl w:ilvl="0">
      <w:lvlJc w:val="left"/>
      <w:lvlText w:val="%1"/>
      <w:numFmt w:val="lowerLetter"/>
      <w:start w:val="1"/>
    </w:lvl>
    <w:lvl w:ilvl="1">
      <w:lvlJc w:val="left"/>
      <w:lvlText w:val="(%2)"/>
      <w:numFmt w:val="lowerLetter"/>
      <w:start w:val="3"/>
    </w:lvl>
  </w:abstractNum>
  <w:abstractNum w:abstractNumId="141">
    <w:nsid w:val="32794FF7"/>
    <w:multiLevelType w:val="hybridMultilevel"/>
    <w:lvl w:ilvl="0">
      <w:lvlJc w:val="left"/>
      <w:lvlText w:val="(%1)"/>
      <w:numFmt w:val="lowerLetter"/>
      <w:start w:val="1"/>
    </w:lvl>
    <w:lvl w:ilvl="1">
      <w:lvlJc w:val="left"/>
      <w:lvlText w:val="%2"/>
      <w:numFmt w:val="lowerLetter"/>
      <w:start w:val="1"/>
    </w:lvl>
  </w:abstractNum>
  <w:abstractNum w:abstractNumId="142">
    <w:nsid w:val="5454945E"/>
    <w:multiLevelType w:val="hybridMultilevel"/>
    <w:lvl w:ilvl="0">
      <w:lvlJc w:val="left"/>
      <w:lvlText w:val="(%1)"/>
      <w:numFmt w:val="lowerLetter"/>
      <w:start w:val="1"/>
    </w:lvl>
  </w:abstractNum>
  <w:abstractNum w:abstractNumId="143">
    <w:nsid w:val="4DEFDFA0"/>
    <w:multiLevelType w:val="hybridMultilevel"/>
    <w:lvl w:ilvl="0">
      <w:lvlJc w:val="left"/>
      <w:lvlText w:val="(%1)"/>
      <w:numFmt w:val="lowerLetter"/>
      <w:start w:val="2"/>
    </w:lvl>
  </w:abstractNum>
  <w:abstractNum w:abstractNumId="144">
    <w:nsid w:val="2123D5F2"/>
    <w:multiLevelType w:val="hybridMultilevel"/>
    <w:lvl w:ilvl="0">
      <w:lvlJc w:val="left"/>
      <w:lvlText w:val="(%1)"/>
      <w:numFmt w:val="lowerLetter"/>
      <w:start w:val="1"/>
    </w:lvl>
  </w:abstractNum>
  <w:abstractNum w:abstractNumId="145">
    <w:nsid w:val="135B8110"/>
    <w:multiLevelType w:val="hybridMultilevel"/>
    <w:lvl w:ilvl="0">
      <w:lvlJc w:val="left"/>
      <w:lvlText w:val="(%1)"/>
      <w:numFmt w:val="lowerLetter"/>
      <w:start w:val="1"/>
    </w:lvl>
  </w:abstractNum>
  <w:abstractNum w:abstractNumId="146">
    <w:nsid w:val="94927A8"/>
    <w:multiLevelType w:val="hybridMultilevel"/>
    <w:lvl w:ilvl="0">
      <w:lvlJc w:val="left"/>
      <w:lvlText w:val="(%1)"/>
      <w:numFmt w:val="lowerLetter"/>
      <w:start w:val="2"/>
    </w:lvl>
  </w:abstractNum>
  <w:abstractNum w:abstractNumId="147">
    <w:nsid w:val="DCDF8F6"/>
    <w:multiLevelType w:val="hybridMultilevel"/>
    <w:lvl w:ilvl="0">
      <w:lvlJc w:val="left"/>
      <w:lvlText w:val="(%1)"/>
      <w:numFmt w:val="lowerLetter"/>
      <w:start w:val="3"/>
    </w:lvl>
  </w:abstractNum>
  <w:abstractNum w:abstractNumId="148">
    <w:nsid w:val="52D7B105"/>
    <w:multiLevelType w:val="hybridMultilevel"/>
    <w:lvl w:ilvl="0">
      <w:lvlJc w:val="left"/>
      <w:lvlText w:val="(%1)"/>
      <w:numFmt w:val="lowerLetter"/>
      <w:start w:val="13"/>
    </w:lvl>
  </w:abstractNum>
  <w:abstractNum w:abstractNumId="149">
    <w:nsid w:val="2E8A6394"/>
    <w:multiLevelType w:val="hybridMultilevel"/>
    <w:lvl w:ilvl="0">
      <w:lvlJc w:val="left"/>
      <w:lvlText w:val="(%1)"/>
      <w:numFmt w:val="lowerLetter"/>
      <w:start w:val="14"/>
    </w:lvl>
  </w:abstractNum>
  <w:abstractNum w:abstractNumId="150">
    <w:nsid w:val="24E60401"/>
    <w:multiLevelType w:val="hybridMultilevel"/>
    <w:lvl w:ilvl="0">
      <w:lvlJc w:val="left"/>
      <w:lvlText w:val="(%1)"/>
      <w:numFmt w:val="lowerLetter"/>
      <w:start w:val="1"/>
    </w:lvl>
    <w:lvl w:ilvl="1">
      <w:lvlJc w:val="left"/>
      <w:lvlText w:val="(%2)"/>
      <w:numFmt w:val="lowerLetter"/>
      <w:start w:val="9"/>
    </w:lvl>
  </w:abstractNum>
  <w:abstractNum w:abstractNumId="151">
    <w:nsid w:val="2A6AD9BE"/>
    <w:multiLevelType w:val="hybridMultilevel"/>
    <w:lvl w:ilvl="0">
      <w:lvlJc w:val="left"/>
      <w:lvlText w:val="%1"/>
      <w:numFmt w:val="lowerLetter"/>
      <w:start w:val="1"/>
    </w:lvl>
    <w:lvl w:ilvl="1">
      <w:lvlJc w:val="left"/>
      <w:lvlText w:val="(%2)"/>
      <w:numFmt w:val="lowerRoman"/>
      <w:start w:val="2"/>
    </w:lvl>
  </w:abstractNum>
  <w:abstractNum w:abstractNumId="152">
    <w:nsid w:val="BAAC1B4"/>
    <w:multiLevelType w:val="hybridMultilevel"/>
    <w:lvl w:ilvl="0">
      <w:lvlJc w:val="left"/>
      <w:lvlText w:val="(%1)"/>
      <w:numFmt w:val="lowerLetter"/>
      <w:start w:val="2"/>
    </w:lvl>
    <w:lvl w:ilvl="1">
      <w:lvlJc w:val="left"/>
      <w:lvlText w:val="%2"/>
      <w:numFmt w:val="lowerRoman"/>
      <w:start w:val="1"/>
    </w:lvl>
  </w:abstractNum>
  <w:abstractNum w:abstractNumId="153">
    <w:nsid w:val="36B2ACBC"/>
    <w:multiLevelType w:val="hybridMultilevel"/>
    <w:lvl w:ilvl="0">
      <w:lvlJc w:val="left"/>
      <w:lvlText w:val="(%1)"/>
      <w:numFmt w:val="lowerLetter"/>
      <w:start w:val="1"/>
    </w:lvl>
  </w:abstractNum>
  <w:abstractNum w:abstractNumId="154">
    <w:nsid w:val="779D8544"/>
    <w:multiLevelType w:val="hybridMultilevel"/>
    <w:lvl w:ilvl="0">
      <w:lvlJc w:val="left"/>
      <w:lvlText w:val="(%1)"/>
      <w:numFmt w:val="lowerLetter"/>
      <w:start w:val="1"/>
    </w:lvl>
  </w:abstractNum>
  <w:abstractNum w:abstractNumId="155">
    <w:nsid w:val="4AB26E78"/>
    <w:multiLevelType w:val="hybridMultilevel"/>
    <w:lvl w:ilvl="0">
      <w:lvlJc w:val="left"/>
      <w:lvlText w:val="(%1)"/>
      <w:numFmt w:val="lowerLetter"/>
      <w:start w:val="1"/>
    </w:lvl>
  </w:abstractNum>
  <w:abstractNum w:abstractNumId="156">
    <w:nsid w:val="21FAA2FA"/>
    <w:multiLevelType w:val="hybridMultilevel"/>
    <w:lvl w:ilvl="0">
      <w:lvlJc w:val="left"/>
      <w:lvlText w:val="(%1)"/>
      <w:numFmt w:val="lowerLetter"/>
      <w:start w:val="4"/>
    </w:lvl>
  </w:abstractNum>
  <w:abstractNum w:abstractNumId="157">
    <w:nsid w:val="5451CF49"/>
    <w:multiLevelType w:val="hybridMultilevel"/>
    <w:lvl w:ilvl="0">
      <w:lvlJc w:val="left"/>
      <w:lvlText w:val="(%1)"/>
      <w:numFmt w:val="lowerLetter"/>
      <w:start w:val="1"/>
    </w:lvl>
  </w:abstractNum>
  <w:abstractNum w:abstractNumId="158">
    <w:nsid w:val="6181EF69"/>
    <w:multiLevelType w:val="hybridMultilevel"/>
    <w:lvl w:ilvl="0">
      <w:lvlJc w:val="left"/>
      <w:lvlText w:val="(%1)"/>
      <w:numFmt w:val="lowerLetter"/>
      <w:start w:val="2"/>
    </w:lvl>
  </w:abstractNum>
  <w:abstractNum w:abstractNumId="159">
    <w:nsid w:val="3E6400E6"/>
    <w:multiLevelType w:val="hybridMultilevel"/>
    <w:lvl w:ilvl="0">
      <w:lvlJc w:val="left"/>
      <w:lvlText w:val="(%1)"/>
      <w:numFmt w:val="lowerLetter"/>
      <w:start w:val="1"/>
    </w:lvl>
  </w:abstractNum>
  <w:abstractNum w:abstractNumId="160">
    <w:nsid w:val="14217E23"/>
    <w:multiLevelType w:val="hybridMultilevel"/>
    <w:lvl w:ilvl="0">
      <w:lvlJc w:val="left"/>
      <w:lvlText w:val="(%1)"/>
      <w:numFmt w:val="lowerRoman"/>
      <w:start w:val="3"/>
    </w:lvl>
  </w:abstractNum>
  <w:abstractNum w:abstractNumId="161">
    <w:nsid w:val="710757D0"/>
    <w:multiLevelType w:val="hybridMultilevel"/>
    <w:lvl w:ilvl="0">
      <w:lvlJc w:val="left"/>
      <w:lvlText w:val="(%1)"/>
      <w:numFmt w:val="decimal"/>
      <w:start w:val="1"/>
    </w:lvl>
  </w:abstractNum>
  <w:abstractNum w:abstractNumId="162">
    <w:nsid w:val="5015CD1A"/>
    <w:multiLevelType w:val="hybridMultilevel"/>
    <w:lvl w:ilvl="0">
      <w:lvlJc w:val="left"/>
      <w:lvlText w:val="(%1)"/>
      <w:numFmt w:val="decimal"/>
      <w:start w:val="3"/>
    </w:lvl>
    <w:lvl w:ilvl="1">
      <w:lvlJc w:val="left"/>
      <w:lvlText w:val="(%2)"/>
      <w:numFmt w:val="lowerLetter"/>
      <w:start w:val="1"/>
    </w:lvl>
  </w:abstractNum>
  <w:abstractNum w:abstractNumId="163">
    <w:nsid w:val="424479DA"/>
    <w:multiLevelType w:val="hybridMultilevel"/>
    <w:lvl w:ilvl="0">
      <w:lvlJc w:val="left"/>
      <w:lvlText w:val="%1"/>
      <w:numFmt w:val="decimal"/>
      <w:start w:val="1"/>
    </w:lvl>
    <w:lvl w:ilvl="1">
      <w:lvlJc w:val="left"/>
      <w:lvlText w:val="(%2)"/>
      <w:numFmt w:val="lowerLetter"/>
      <w:start w:val="5"/>
    </w:lvl>
  </w:abstractNum>
  <w:abstractNum w:abstractNumId="164">
    <w:nsid w:val="1A9A9E69"/>
    <w:multiLevelType w:val="hybridMultilevel"/>
    <w:lvl w:ilvl="0">
      <w:lvlJc w:val="left"/>
      <w:lvlText w:val="(%1)"/>
      <w:numFmt w:val="decimal"/>
      <w:start w:val="5"/>
    </w:lvl>
    <w:lvl w:ilvl="1">
      <w:lvlJc w:val="left"/>
      <w:lvlText w:val="%2"/>
      <w:numFmt w:val="lowerLetter"/>
      <w:start w:val="1"/>
    </w:lvl>
  </w:abstractNum>
  <w:abstractNum w:abstractNumId="165">
    <w:nsid w:val="475E256A"/>
    <w:multiLevelType w:val="hybridMultilevel"/>
    <w:lvl w:ilvl="0">
      <w:lvlJc w:val="left"/>
      <w:lvlText w:val="(%1)"/>
      <w:numFmt w:val="decimal"/>
      <w:start w:val="1"/>
    </w:lvl>
  </w:abstractNum>
  <w:abstractNum w:abstractNumId="166">
    <w:nsid w:val="368DB37E"/>
    <w:multiLevelType w:val="hybridMultilevel"/>
    <w:lvl w:ilvl="0">
      <w:lvlJc w:val="left"/>
      <w:lvlText w:val="(%1)"/>
      <w:numFmt w:val="lowerLetter"/>
      <w:start w:val="1"/>
    </w:lvl>
    <w:lvl w:ilvl="1">
      <w:lvlJc w:val="left"/>
      <w:lvlText w:val="(%2)"/>
      <w:numFmt w:val="decimal"/>
      <w:start w:val="1"/>
    </w:lvl>
  </w:abstractNum>
  <w:abstractNum w:abstractNumId="167">
    <w:nsid w:val="6A3B714C"/>
    <w:multiLevelType w:val="hybridMultilevel"/>
    <w:lvl w:ilvl="0">
      <w:lvlJc w:val="left"/>
      <w:lvlText w:val="%1"/>
      <w:numFmt w:val="lowerLetter"/>
      <w:start w:val="1"/>
    </w:lvl>
    <w:lvl w:ilvl="1">
      <w:lvlJc w:val="left"/>
      <w:lvlText w:val="(%2)"/>
      <w:numFmt w:val="decimal"/>
      <w:start w:val="3"/>
    </w:lvl>
  </w:abstractNum>
  <w:abstractNum w:abstractNumId="168">
    <w:nsid w:val="327B517E"/>
    <w:multiLevelType w:val="hybridMultilevel"/>
    <w:lvl w:ilvl="0">
      <w:lvlJc w:val="left"/>
      <w:lvlText w:val="(%1)"/>
      <w:numFmt w:val="lowerLetter"/>
      <w:start w:val="6"/>
    </w:lvl>
    <w:lvl w:ilvl="1">
      <w:lvlJc w:val="left"/>
      <w:lvlText w:val="%2"/>
      <w:numFmt w:val="decimal"/>
      <w:start w:val="1"/>
    </w:lvl>
  </w:abstractNum>
  <w:abstractNum w:abstractNumId="169">
    <w:nsid w:val="1F461B51"/>
    <w:multiLevelType w:val="hybridMultilevel"/>
    <w:lvl w:ilvl="0">
      <w:lvlJc w:val="left"/>
      <w:lvlText w:val="(%1)"/>
      <w:numFmt w:val="lowerLetter"/>
      <w:start w:val="7"/>
    </w:lvl>
  </w:abstractNum>
  <w:abstractNum w:abstractNumId="170">
    <w:nsid w:val="29BACF25"/>
    <w:multiLevelType w:val="hybridMultilevel"/>
    <w:lvl w:ilvl="0">
      <w:lvlJc w:val="left"/>
      <w:lvlText w:val="(%1)"/>
      <w:numFmt w:val="lowerLetter"/>
      <w:start w:val="1"/>
    </w:lvl>
  </w:abstractNum>
  <w:abstractNum w:abstractNumId="171">
    <w:nsid w:val="5D5BABB3"/>
    <w:multiLevelType w:val="hybridMultilevel"/>
    <w:lvl w:ilvl="0">
      <w:lvlJc w:val="left"/>
      <w:lvlText w:val="(%1)"/>
      <w:numFmt w:val="lowerLetter"/>
      <w:start w:val="3"/>
    </w:lvl>
  </w:abstractNum>
  <w:abstractNum w:abstractNumId="172">
    <w:nsid w:val="51BF6B48"/>
    <w:multiLevelType w:val="hybridMultilevel"/>
    <w:lvl w:ilvl="0">
      <w:lvlJc w:val="left"/>
      <w:lvlText w:val="(%1)"/>
      <w:numFmt w:val="decimal"/>
      <w:start w:val="1"/>
    </w:lvl>
  </w:abstractNum>
  <w:abstractNum w:abstractNumId="173">
    <w:nsid w:val="7E0F6384"/>
    <w:multiLevelType w:val="hybridMultilevel"/>
    <w:lvl w:ilvl="0">
      <w:lvlJc w:val="left"/>
      <w:lvlText w:val="(%1)"/>
      <w:numFmt w:val="lowerLetter"/>
      <w:start w:val="1"/>
    </w:lvl>
  </w:abstractNum>
  <w:abstractNum w:abstractNumId="174">
    <w:nsid w:val="2B4B8B53"/>
    <w:multiLevelType w:val="hybridMultilevel"/>
    <w:lvl w:ilvl="0">
      <w:lvlJc w:val="left"/>
      <w:lvlText w:val="(%1)"/>
      <w:numFmt w:val="decimal"/>
      <w:start w:val="2"/>
    </w:lvl>
  </w:abstractNum>
  <w:abstractNum w:abstractNumId="175">
    <w:nsid w:val="72E3413A"/>
    <w:multiLevelType w:val="hybridMultilevel"/>
    <w:lvl w:ilvl="0">
      <w:lvlJc w:val="left"/>
      <w:lvlText w:val="(%1)"/>
      <w:numFmt w:val="lowerLetter"/>
      <w:start w:val="1"/>
    </w:lvl>
  </w:abstractNum>
  <w:abstractNum w:abstractNumId="176">
    <w:nsid w:val="116AE494"/>
    <w:multiLevelType w:val="hybridMultilevel"/>
    <w:lvl w:ilvl="0">
      <w:lvlJc w:val="left"/>
      <w:lvlText w:val="(%1)"/>
      <w:numFmt w:val="lowerLetter"/>
      <w:start w:val="3"/>
    </w:lvl>
  </w:abstractNum>
  <w:abstractNum w:abstractNumId="177">
    <w:nsid w:val="3494B2FB"/>
    <w:multiLevelType w:val="hybridMultilevel"/>
    <w:lvl w:ilvl="0">
      <w:lvlJc w:val="left"/>
      <w:lvlText w:val="(%1)"/>
      <w:numFmt w:val="lowerLetter"/>
      <w:start w:val="1"/>
    </w:lvl>
  </w:abstractNum>
  <w:abstractNum w:abstractNumId="178">
    <w:nsid w:val="B13A31"/>
    <w:multiLevelType w:val="hybridMultilevel"/>
    <w:lvl w:ilvl="0">
      <w:lvlJc w:val="left"/>
      <w:lvlText w:val="(%1)"/>
      <w:numFmt w:val="lowerLetter"/>
      <w:start w:val="1"/>
    </w:lvl>
    <w:lvl w:ilvl="1">
      <w:lvlJc w:val="left"/>
      <w:lvlText w:val="(%2)"/>
      <w:numFmt w:val="decimal"/>
      <w:start w:val="1"/>
    </w:lvl>
  </w:abstractNum>
  <w:abstractNum w:abstractNumId="179">
    <w:nsid w:val="64429599"/>
    <w:multiLevelType w:val="hybridMultilevel"/>
    <w:lvl w:ilvl="0">
      <w:lvlJc w:val="left"/>
      <w:lvlText w:val="(%1)"/>
      <w:numFmt w:val="lowerRoman"/>
      <w:start w:val="1"/>
    </w:lvl>
  </w:abstractNum>
  <w:abstractNum w:abstractNumId="180">
    <w:nsid w:val="631F1690"/>
    <w:multiLevelType w:val="hybridMultilevel"/>
    <w:lvl w:ilvl="0">
      <w:lvlJc w:val="left"/>
      <w:lvlText w:val="(%1)"/>
      <w:numFmt w:val="lowerRoman"/>
      <w:start w:val="4"/>
    </w:lvl>
  </w:abstractNum>
  <w:abstractNum w:abstractNumId="181">
    <w:nsid w:val="25973E32"/>
    <w:multiLevelType w:val="hybridMultilevel"/>
    <w:lvl w:ilvl="0">
      <w:lvlJc w:val="left"/>
      <w:lvlText w:val="(%1)"/>
      <w:numFmt w:val="lowerLetter"/>
      <w:start w:val="1"/>
    </w:lvl>
  </w:abstractNum>
  <w:abstractNum w:abstractNumId="182">
    <w:nsid w:val="EAD6F57"/>
    <w:multiLevelType w:val="hybridMultilevel"/>
    <w:lvl w:ilvl="0">
      <w:lvlJc w:val="left"/>
      <w:lvlText w:val="(%1)"/>
      <w:numFmt w:val="lowerLetter"/>
      <w:start w:val="3"/>
    </w:lvl>
  </w:abstractNum>
  <w:abstractNum w:abstractNumId="183">
    <w:nsid w:val="6EC9D844"/>
    <w:multiLevelType w:val="hybridMultilevel"/>
    <w:lvl w:ilvl="0">
      <w:lvlJc w:val="left"/>
      <w:lvlText w:val="%1."/>
      <w:numFmt w:val="decimal"/>
      <w:start w:val="1"/>
    </w:lvl>
  </w:abstractNum>
  <w:abstractNum w:abstractNumId="184">
    <w:nsid w:val="5C49EAEE"/>
    <w:multiLevelType w:val="hybridMultilevel"/>
    <w:lvl w:ilvl="0">
      <w:lvlJc w:val="left"/>
      <w:lvlText w:val="(%1)"/>
      <w:numFmt w:val="lowerRoman"/>
      <w:start w:val="1"/>
    </w:lvl>
  </w:abstractNum>
  <w:abstractNum w:abstractNumId="185">
    <w:nsid w:val="64AF49B"/>
    <w:multiLevelType w:val="hybridMultilevel"/>
    <w:lvl w:ilvl="0">
      <w:lvlJc w:val="left"/>
      <w:lvlText w:val="(%1)"/>
      <w:numFmt w:val="lowerRoman"/>
      <w:start w:val="2"/>
    </w:lvl>
  </w:abstractNum>
  <w:abstractNum w:abstractNumId="186">
    <w:nsid w:val="397C46BC"/>
    <w:multiLevelType w:val="hybridMultilevel"/>
    <w:lvl w:ilvl="0">
      <w:lvlJc w:val="left"/>
      <w:lvlText w:val="(%1)"/>
      <w:numFmt w:val="lowerRoman"/>
      <w:start w:val="8"/>
    </w:lvl>
  </w:abstractNum>
  <w:abstractNum w:abstractNumId="187">
    <w:nsid w:val="7E448DE9"/>
    <w:multiLevelType w:val="hybridMultilevel"/>
    <w:lvl w:ilvl="0">
      <w:lvlJc w:val="left"/>
      <w:lvlText w:val="(%1)"/>
      <w:numFmt w:val="lowerRoman"/>
      <w:start w:val="10"/>
    </w:lvl>
  </w:abstractNum>
  <w:abstractNum w:abstractNumId="188">
    <w:nsid w:val="5A9CC3E5"/>
    <w:multiLevelType w:val="hybridMultilevel"/>
    <w:lvl w:ilvl="0">
      <w:lvlJc w:val="left"/>
      <w:lvlText w:val="%1."/>
      <w:numFmt w:val="decimal"/>
      <w:start w:val="1"/>
    </w:lvl>
  </w:abstractNum>
  <w:abstractNum w:abstractNumId="189">
    <w:nsid w:val="1AFE3625"/>
    <w:multiLevelType w:val="hybridMultilevel"/>
    <w:lvl w:ilvl="0">
      <w:lvlJc w:val="left"/>
      <w:lvlText w:val="(%1)"/>
      <w:numFmt w:val="lowerLetter"/>
      <w:start w:val="1"/>
    </w:lvl>
  </w:abstractNum>
  <w:abstractNum w:abstractNumId="190">
    <w:nsid w:val="3CA88ECF"/>
    <w:multiLevelType w:val="hybridMultilevel"/>
    <w:lvl w:ilvl="0">
      <w:lvlJc w:val="left"/>
      <w:lvlText w:val="(%1)"/>
      <w:numFmt w:val="lowerLetter"/>
      <w:start w:val="3"/>
    </w:lvl>
  </w:abstractNum>
  <w:abstractNum w:abstractNumId="191">
    <w:nsid w:val="6EBE4208"/>
    <w:multiLevelType w:val="hybridMultilevel"/>
    <w:lvl w:ilvl="0">
      <w:lvlJc w:val="left"/>
      <w:lvlText w:val="%1"/>
      <w:numFmt w:val="lowerLetter"/>
      <w:start w:val="1"/>
    </w:lvl>
    <w:lvl w:ilvl="1">
      <w:lvlJc w:val="left"/>
      <w:lvlText w:val="(%2)"/>
      <w:numFmt w:val="lowerLetter"/>
      <w:start w:val="11"/>
    </w:lvl>
  </w:abstractNum>
  <w:abstractNum w:abstractNumId="192">
    <w:nsid w:val="C058DF5"/>
    <w:multiLevelType w:val="hybridMultilevel"/>
    <w:lvl w:ilvl="0">
      <w:lvlJc w:val="left"/>
      <w:lvlText w:val="(%1)"/>
      <w:numFmt w:val="lowerLetter"/>
      <w:start w:val="9"/>
    </w:lvl>
    <w:lvl w:ilvl="1">
      <w:lvlJc w:val="left"/>
      <w:lvlText w:val="%2"/>
      <w:numFmt w:val="lowerLetter"/>
      <w:start w:val="1"/>
    </w:lvl>
  </w:abstractNum>
  <w:abstractNum w:abstractNumId="193">
    <w:nsid w:val="CBE5BE9"/>
    <w:multiLevelType w:val="hybridMultilevel"/>
    <w:lvl w:ilvl="0">
      <w:lvlJc w:val="left"/>
      <w:lvlText w:val="(%1)"/>
      <w:numFmt w:val="lowerLetter"/>
      <w:start w:val="1"/>
    </w:lvl>
  </w:abstractNum>
  <w:abstractNum w:abstractNumId="194">
    <w:nsid w:val="3102BBE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2019-12-29T04:47:49Z</dcterms:created>
  <dcterms:modified xsi:type="dcterms:W3CDTF">2019-12-29T04:47:49Z</dcterms:modified>
</cp:coreProperties>
</file>