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 of Report (Date of earliest event reported):</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April 15, 2026</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SL GREEN REALTY CORP.</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Maryland</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ectPr>
          <w:pgSz w:w="11900" w:h="16838" w:orient="portrait"/>
          <w:cols w:equalWidth="0" w:num="1">
            <w:col w:w="11260"/>
          </w:cols>
          <w:pgMar w:left="300" w:top="1085" w:right="339" w:bottom="1440" w:gutter="0" w:footer="0" w:header="0"/>
        </w:sectPr>
      </w:pPr>
    </w:p>
    <w:p>
      <w:pPr>
        <w:spacing w:after="0" w:line="270"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3"/>
          <w:szCs w:val="13"/>
          <w:color w:val="auto"/>
        </w:rPr>
        <w:t>1-13199</w:t>
      </w:r>
    </w:p>
    <w:p>
      <w:pPr>
        <w:spacing w:after="0" w:line="2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13-3956775</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162" w:lineRule="exact"/>
        <w:rPr>
          <w:sz w:val="24"/>
          <w:szCs w:val="24"/>
          <w:color w:val="auto"/>
        </w:rPr>
      </w:pPr>
    </w:p>
    <w:p>
      <w:pPr>
        <w:sectPr>
          <w:pgSz w:w="11900" w:h="16838" w:orient="portrait"/>
          <w:cols w:equalWidth="0" w:num="2">
            <w:col w:w="6820" w:space="720"/>
            <w:col w:w="3720"/>
          </w:cols>
          <w:pgMar w:left="300" w:top="1085" w:right="33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2"/>
          <w:szCs w:val="12"/>
          <w:color w:val="auto"/>
        </w:rPr>
        <w:t>One Vanderbilt Avenue</w:t>
      </w:r>
    </w:p>
    <w:p>
      <w:pPr>
        <w:spacing w:after="0" w:line="33"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Times New Roman" w:cs="Times New Roman" w:eastAsia="Times New Roman" w:hAnsi="Times New Roman"/>
          <w:sz w:val="13"/>
          <w:szCs w:val="13"/>
          <w:color w:val="auto"/>
        </w:rPr>
        <w:t>10017</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(Zip Code)</w:t>
      </w:r>
    </w:p>
    <w:p>
      <w:pPr>
        <w:spacing w:after="0" w:line="83" w:lineRule="exact"/>
        <w:rPr>
          <w:sz w:val="24"/>
          <w:szCs w:val="24"/>
          <w:color w:val="auto"/>
        </w:rPr>
      </w:pPr>
    </w:p>
    <w:p>
      <w:pPr>
        <w:sectPr>
          <w:pgSz w:w="11900" w:h="16838" w:orient="portrait"/>
          <w:cols w:equalWidth="0" w:num="2">
            <w:col w:w="7580" w:space="720"/>
            <w:col w:w="2960"/>
          </w:cols>
          <w:pgMar w:left="300" w:top="1085" w:right="3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(212) 594-2700</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ectPr>
          <w:pgSz w:w="11900" w:h="16838" w:orient="portrait"/>
          <w:cols w:equalWidth="0" w:num="1">
            <w:col w:w="11260"/>
          </w:cols>
          <w:pgMar w:left="300" w:top="1085" w:right="339" w:bottom="1440" w:gutter="0" w:footer="0" w:header="0"/>
          <w:type w:val="continuous"/>
        </w:sectPr>
      </w:pP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2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Written communications pursuant to Rule 425 under the Securities Act (17 CFR 230.425)</w:t>
      </w:r>
    </w:p>
    <w:p>
      <w:pPr>
        <w:spacing w:after="0" w:line="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Soliciting material pursuant to Rule 14a-12 under the Exchange Act (17 CFR 240.14a-12)</w:t>
      </w:r>
    </w:p>
    <w:p>
      <w:pPr>
        <w:spacing w:after="0" w:line="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Pre-commencement communications pursuant to Rule 14d-2(b) under the Exchange Act (17 CFR 240.14d-2(b))</w:t>
      </w:r>
    </w:p>
    <w:p>
      <w:pPr>
        <w:spacing w:after="0" w:line="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Pre-commencement communications pursuant to Rule 13e-4(c) under the Exchange Act (17 CFR 240.13e-4(c))</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48"/>
        </w:trPr>
        <w:tc>
          <w:tcPr>
            <w:tcW w:w="2800" w:type="dxa"/>
            <w:vAlign w:val="bottom"/>
            <w:gridSpan w:val="2"/>
          </w:tcPr>
          <w:p>
            <w:pPr>
              <w:ind w:left="1120"/>
              <w:spacing w:after="0"/>
              <w:rPr>
                <w:sz w:val="20"/>
                <w:szCs w:val="20"/>
                <w:color w:val="auto"/>
              </w:rPr>
            </w:pPr>
            <w:r>
              <w:rPr>
                <w:rFonts w:ascii="Times New Roman" w:cs="Times New Roman" w:eastAsia="Times New Roman" w:hAnsi="Times New Roman"/>
                <w:sz w:val="10"/>
                <w:szCs w:val="10"/>
                <w:b w:val="1"/>
                <w:bCs w:val="1"/>
                <w:color w:val="auto"/>
              </w:rPr>
              <w:t>Registrant</w:t>
            </w: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Trading Symbol</w:t>
            </w: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800" w:type="dxa"/>
            <w:vAlign w:val="bottom"/>
          </w:tcPr>
          <w:p>
            <w:pPr>
              <w:ind w:left="380"/>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r>
      <w:tr>
        <w:trPr>
          <w:trHeight w:val="163"/>
        </w:trPr>
        <w:tc>
          <w:tcPr>
            <w:tcW w:w="2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SL Green Realty Corp.</w:t>
            </w: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SLG</w:t>
            </w:r>
          </w:p>
        </w:tc>
        <w:tc>
          <w:tcPr>
            <w:tcW w:w="100" w:type="dxa"/>
            <w:vAlign w:val="bottom"/>
          </w:tcPr>
          <w:p>
            <w:pPr>
              <w:spacing w:after="0"/>
              <w:rPr>
                <w:sz w:val="14"/>
                <w:szCs w:val="14"/>
                <w:color w:val="auto"/>
              </w:rPr>
            </w:pPr>
          </w:p>
        </w:tc>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Common Stock, $0.01 par value</w:t>
            </w:r>
          </w:p>
        </w:tc>
        <w:tc>
          <w:tcPr>
            <w:tcW w:w="100" w:type="dxa"/>
            <w:vAlign w:val="bottom"/>
          </w:tcPr>
          <w:p>
            <w:pPr>
              <w:spacing w:after="0"/>
              <w:rPr>
                <w:sz w:val="14"/>
                <w:szCs w:val="14"/>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71"/>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SL Green Realty Corp.</w:t>
            </w:r>
          </w:p>
        </w:tc>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SLG.PRI</w:t>
            </w: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6.500% Series I Cumulative Redeemable Preferred Stock, $0.01 par value</w:t>
            </w: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New York Stock Exchange</w:t>
            </w:r>
          </w:p>
        </w:tc>
      </w:tr>
    </w:tbl>
    <w:p>
      <w:pPr>
        <w:spacing w:after="0" w:line="203" w:lineRule="exact"/>
        <w:rPr>
          <w:sz w:val="24"/>
          <w:szCs w:val="24"/>
          <w:color w:val="auto"/>
        </w:rPr>
      </w:pPr>
    </w:p>
    <w:p>
      <w:pPr>
        <w:ind w:right="10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87" w:lineRule="exact"/>
        <w:rPr>
          <w:sz w:val="24"/>
          <w:szCs w:val="24"/>
          <w:color w:val="auto"/>
        </w:rPr>
      </w:pPr>
    </w:p>
    <w:p>
      <w:pPr>
        <w:spacing w:after="0" w:line="150" w:lineRule="exact"/>
        <w:tabs>
          <w:tab w:leader="none" w:pos="1580" w:val="left"/>
        </w:tabs>
        <w:rPr>
          <w:sz w:val="20"/>
          <w:szCs w:val="20"/>
          <w:color w:val="auto"/>
        </w:rPr>
      </w:pPr>
      <w:r>
        <w:rPr>
          <w:rFonts w:ascii="Times New Roman" w:cs="Times New Roman" w:eastAsia="Times New Roman" w:hAnsi="Times New Roman"/>
          <w:sz w:val="13"/>
          <w:szCs w:val="13"/>
          <w:color w:val="auto"/>
        </w:rPr>
        <w:t>Emerging growth company</w:t>
      </w:r>
      <w:r>
        <w:rPr>
          <w:sz w:val="20"/>
          <w:szCs w:val="20"/>
          <w:color w:val="auto"/>
        </w:rPr>
        <w:tab/>
      </w:r>
      <w:r>
        <w:rPr>
          <w:rFonts w:ascii="Times New Roman" w:cs="Times New Roman" w:eastAsia="Times New Roman" w:hAnsi="Times New Roman"/>
          <w:sz w:val="12"/>
          <w:szCs w:val="12"/>
          <w:color w:val="auto"/>
        </w:rPr>
        <w: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94"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375285</wp:posOffset>
            </wp:positionV>
            <wp:extent cx="719518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1085" w:right="339" w:bottom="1440" w:gutter="0" w:footer="0" w:header="0"/>
          <w:type w:val="continuous"/>
        </w:sectPr>
      </w:pPr>
    </w:p>
    <w:bookmarkStart w:id="1" w:name="page2"/>
    <w:bookmarkEnd w:id="1"/>
    <w:p>
      <w:pPr>
        <w:ind w:left="1"/>
        <w:spacing w:after="0"/>
        <w:tabs>
          <w:tab w:leader="none" w:pos="661" w:val="left"/>
        </w:tabs>
        <w:rPr>
          <w:sz w:val="20"/>
          <w:szCs w:val="20"/>
          <w:color w:val="auto"/>
        </w:rPr>
      </w:pPr>
      <w:r>
        <w:rPr>
          <w:rFonts w:ascii="Times New Roman" w:cs="Times New Roman" w:eastAsia="Times New Roman" w:hAnsi="Times New Roman"/>
          <w:sz w:val="13"/>
          <w:szCs w:val="13"/>
          <w:b w:val="1"/>
          <w:bCs w:val="1"/>
          <w:color w:val="auto"/>
        </w:rPr>
        <w:t>Item 2.02.</w:t>
        <w:tab/>
        <w:t>Results of Operations and Financial Condition</w:t>
      </w:r>
    </w:p>
    <w:p>
      <w:pPr>
        <w:spacing w:after="0" w:line="187" w:lineRule="exact"/>
        <w:rPr>
          <w:sz w:val="20"/>
          <w:szCs w:val="20"/>
          <w:color w:val="auto"/>
        </w:rPr>
      </w:pPr>
    </w:p>
    <w:p>
      <w:pPr>
        <w:jc w:val="both"/>
        <w:ind w:left="1"/>
        <w:spacing w:after="0" w:line="269" w:lineRule="auto"/>
        <w:rPr>
          <w:sz w:val="20"/>
          <w:szCs w:val="20"/>
          <w:color w:val="auto"/>
        </w:rPr>
      </w:pPr>
      <w:r>
        <w:rPr>
          <w:rFonts w:ascii="Times New Roman" w:cs="Times New Roman" w:eastAsia="Times New Roman" w:hAnsi="Times New Roman"/>
          <w:sz w:val="13"/>
          <w:szCs w:val="13"/>
          <w:color w:val="auto"/>
        </w:rPr>
        <w:t>Following the issuance of a press release on April 15, 2026 announcing SL Green Realty Corp.’s, or the Company, results for the quarter ended March 31, 2026, the Company has made available on its website supplemental information regarding the Company’s operations that is too voluminous for a press release. The Company is attaching the press release as Exhibit 99.1 and the supplemental package as Exhibit 99.2 to this Current Report on Form 8-K.</w:t>
      </w:r>
    </w:p>
    <w:p>
      <w:pPr>
        <w:spacing w:after="0" w:line="146" w:lineRule="exact"/>
        <w:rPr>
          <w:sz w:val="20"/>
          <w:szCs w:val="20"/>
          <w:color w:val="auto"/>
        </w:rPr>
      </w:pPr>
    </w:p>
    <w:p>
      <w:pPr>
        <w:jc w:val="both"/>
        <w:ind w:left="1"/>
        <w:spacing w:after="0" w:line="269" w:lineRule="auto"/>
        <w:rPr>
          <w:sz w:val="20"/>
          <w:szCs w:val="20"/>
          <w:color w:val="auto"/>
        </w:rPr>
      </w:pPr>
      <w:r>
        <w:rPr>
          <w:rFonts w:ascii="Times New Roman" w:cs="Times New Roman" w:eastAsia="Times New Roman" w:hAnsi="Times New Roman"/>
          <w:sz w:val="13"/>
          <w:szCs w:val="13"/>
          <w:color w:val="auto"/>
        </w:rPr>
        <w:t>The information (including Exhibits 99.1 and 99.2) being furnished pursuant to this “Item 2.02. Results of Operations and Financial Condition” shall not be deemed to be “filed” for the purposes of Section 18 of the Securities Exchange Act of 1934, as amended, or the Exchange Act, or otherwise subject to the liabilities of that section and shall not be deemed to be incorporated by reference into any filing under the Securities Act of 1933, as amended, or the Securities Act, or the Exchange Act regardless of any general incorporation language in such filing.</w:t>
      </w:r>
    </w:p>
    <w:p>
      <w:pPr>
        <w:spacing w:after="0" w:line="144" w:lineRule="exact"/>
        <w:rPr>
          <w:sz w:val="20"/>
          <w:szCs w:val="20"/>
          <w:color w:val="auto"/>
        </w:rPr>
      </w:pPr>
    </w:p>
    <w:p>
      <w:pPr>
        <w:ind w:left="1"/>
        <w:spacing w:after="0"/>
        <w:tabs>
          <w:tab w:leader="none" w:pos="661" w:val="left"/>
        </w:tabs>
        <w:rPr>
          <w:sz w:val="20"/>
          <w:szCs w:val="20"/>
          <w:color w:val="auto"/>
        </w:rPr>
      </w:pPr>
      <w:r>
        <w:rPr>
          <w:rFonts w:ascii="Times New Roman" w:cs="Times New Roman" w:eastAsia="Times New Roman" w:hAnsi="Times New Roman"/>
          <w:sz w:val="13"/>
          <w:szCs w:val="13"/>
          <w:b w:val="1"/>
          <w:bCs w:val="1"/>
          <w:color w:val="auto"/>
        </w:rPr>
        <w:t>Item 7.01.</w:t>
        <w:tab/>
        <w:t>Regulation FD Disclosure</w:t>
      </w:r>
    </w:p>
    <w:p>
      <w:pPr>
        <w:spacing w:after="0" w:line="18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As discussed in Item 2.02 above, on April 15, 2026, the Company issued a press release announcing its results for the quarter ended March 31, 2026.</w:t>
      </w:r>
    </w:p>
    <w:p>
      <w:pPr>
        <w:spacing w:after="0" w:line="185" w:lineRule="exact"/>
        <w:rPr>
          <w:sz w:val="20"/>
          <w:szCs w:val="20"/>
          <w:color w:val="auto"/>
        </w:rPr>
      </w:pPr>
    </w:p>
    <w:p>
      <w:pPr>
        <w:jc w:val="both"/>
        <w:ind w:left="1"/>
        <w:spacing w:after="0" w:line="269" w:lineRule="auto"/>
        <w:rPr>
          <w:sz w:val="20"/>
          <w:szCs w:val="20"/>
          <w:color w:val="auto"/>
        </w:rPr>
      </w:pPr>
      <w:r>
        <w:rPr>
          <w:rFonts w:ascii="Times New Roman" w:cs="Times New Roman" w:eastAsia="Times New Roman" w:hAnsi="Times New Roman"/>
          <w:sz w:val="13"/>
          <w:szCs w:val="13"/>
          <w:color w:val="auto"/>
        </w:rPr>
        <w:t>The information being furnished pursuant to this “Item 7.01. Regulation FD Disclosure” shall not be deemed to be “filed” for the purposes of Section 18 of the Exchange Act or otherwise subject to the liabilities of that section and shall not be deemed to be incorporated by reference into any filing under the Securities Act or the Exchange Act regardless of any general incorporation language in such filing. This information will not be deemed an admission as to the materiality of such information that is required to be disclosed solely by Regulation FD.</w:t>
      </w:r>
    </w:p>
    <w:p>
      <w:pPr>
        <w:spacing w:after="0" w:line="144" w:lineRule="exact"/>
        <w:rPr>
          <w:sz w:val="20"/>
          <w:szCs w:val="20"/>
          <w:color w:val="auto"/>
        </w:rPr>
      </w:pPr>
    </w:p>
    <w:p>
      <w:pPr>
        <w:ind w:left="1"/>
        <w:spacing w:after="0"/>
        <w:tabs>
          <w:tab w:leader="none" w:pos="661" w:val="left"/>
        </w:tabs>
        <w:rPr>
          <w:sz w:val="20"/>
          <w:szCs w:val="20"/>
          <w:color w:val="auto"/>
        </w:rPr>
      </w:pPr>
      <w:r>
        <w:rPr>
          <w:rFonts w:ascii="Times New Roman" w:cs="Times New Roman" w:eastAsia="Times New Roman" w:hAnsi="Times New Roman"/>
          <w:sz w:val="13"/>
          <w:szCs w:val="13"/>
          <w:b w:val="1"/>
          <w:bCs w:val="1"/>
          <w:color w:val="auto"/>
        </w:rPr>
        <w:t>Item 9.01.</w:t>
        <w:tab/>
        <w:t>Financial Statements and Exhibits</w:t>
      </w:r>
    </w:p>
    <w:p>
      <w:pPr>
        <w:spacing w:after="0" w:line="185" w:lineRule="exact"/>
        <w:rPr>
          <w:sz w:val="20"/>
          <w:szCs w:val="20"/>
          <w:color w:val="auto"/>
        </w:rPr>
      </w:pPr>
    </w:p>
    <w:p>
      <w:pPr>
        <w:ind w:left="321" w:hanging="321"/>
        <w:spacing w:after="0"/>
        <w:tabs>
          <w:tab w:leader="none" w:pos="321"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Exhibits</w:t>
      </w:r>
    </w:p>
    <w:p>
      <w:pPr>
        <w:spacing w:after="0" w:line="187" w:lineRule="exact"/>
        <w:rPr>
          <w:sz w:val="20"/>
          <w:szCs w:val="20"/>
          <w:color w:val="auto"/>
        </w:rPr>
      </w:pPr>
    </w:p>
    <w:p>
      <w:pPr>
        <w:ind w:left="121"/>
        <w:spacing w:after="0"/>
        <w:tabs>
          <w:tab w:leader="none" w:pos="481"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3"/>
          <w:szCs w:val="13"/>
          <w:u w:val="single" w:color="auto"/>
          <w:color w:val="0000FF"/>
        </w:rPr>
        <w:t>Press release regarding results for the quarter ended March 31, 2026.</w:t>
      </w:r>
    </w:p>
    <w:p>
      <w:pPr>
        <w:spacing w:after="0" w:line="21" w:lineRule="exact"/>
        <w:rPr>
          <w:sz w:val="20"/>
          <w:szCs w:val="20"/>
          <w:color w:val="auto"/>
        </w:rPr>
      </w:pPr>
    </w:p>
    <w:p>
      <w:pPr>
        <w:ind w:left="121"/>
        <w:spacing w:after="0"/>
        <w:tabs>
          <w:tab w:leader="none" w:pos="481"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FF"/>
        </w:rPr>
        <w:t>Supplemental package.</w:t>
      </w:r>
    </w:p>
    <w:p>
      <w:pPr>
        <w:spacing w:after="0" w:line="16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Non-GAAP Supplemental Financial Measures</w:t>
      </w:r>
    </w:p>
    <w:p>
      <w:pPr>
        <w:spacing w:after="0" w:line="18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u w:val="single" w:color="auto"/>
          <w:color w:val="auto"/>
        </w:rPr>
        <w:t>Funds from Operations (FFO)</w:t>
      </w:r>
    </w:p>
    <w:p>
      <w:pPr>
        <w:spacing w:after="0" w:line="187" w:lineRule="exact"/>
        <w:rPr>
          <w:sz w:val="20"/>
          <w:szCs w:val="20"/>
          <w:color w:val="auto"/>
        </w:rPr>
      </w:pPr>
    </w:p>
    <w:p>
      <w:pPr>
        <w:jc w:val="both"/>
        <w:ind w:left="1"/>
        <w:spacing w:after="0" w:line="261" w:lineRule="auto"/>
        <w:rPr>
          <w:sz w:val="20"/>
          <w:szCs w:val="20"/>
          <w:color w:val="auto"/>
        </w:rPr>
      </w:pPr>
      <w:r>
        <w:rPr>
          <w:rFonts w:ascii="Times New Roman" w:cs="Times New Roman" w:eastAsia="Times New Roman" w:hAnsi="Times New Roman"/>
          <w:sz w:val="13"/>
          <w:szCs w:val="13"/>
          <w:color w:val="auto"/>
        </w:rPr>
        <w:t>FFO is a widely recognized non-GAAP financial measure of REIT performance. The Company computes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Generally Accepted Accounting Principles, or GAAP), excluding gains (or losses) from sales of properties, and real estate related impairment charges, plus real estate related depreciation and amortization and after adjustments for unconsolidated partnerships and joint ventures.</w:t>
      </w:r>
    </w:p>
    <w:p>
      <w:pPr>
        <w:spacing w:after="0" w:line="151" w:lineRule="exact"/>
        <w:rPr>
          <w:sz w:val="20"/>
          <w:szCs w:val="20"/>
          <w:color w:val="auto"/>
        </w:rPr>
      </w:pPr>
    </w:p>
    <w:p>
      <w:pPr>
        <w:jc w:val="both"/>
        <w:ind w:left="1"/>
        <w:spacing w:after="0" w:line="257" w:lineRule="auto"/>
        <w:rPr>
          <w:sz w:val="20"/>
          <w:szCs w:val="20"/>
          <w:color w:val="auto"/>
        </w:rPr>
      </w:pPr>
      <w:r>
        <w:rPr>
          <w:rFonts w:ascii="Times New Roman" w:cs="Times New Roman" w:eastAsia="Times New Roman" w:hAnsi="Times New Roman"/>
          <w:sz w:val="13"/>
          <w:szCs w:val="13"/>
          <w:color w:val="auto"/>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the Company's ability to make cash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499745</wp:posOffset>
            </wp:positionV>
            <wp:extent cx="719518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1"/>
          </w:cols>
          <w:pgMar w:left="299" w:top="68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auto"/>
        </w:rPr>
        <w:t>Funds Available for Distribution (FAD)</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FAD is a non-GAAP financial measure that is calculated as FFO plus non-real estate depreciation, allowance for straight line credit loss, adjustment for straight line operating lease rent, non-cash deferred compensation, and pro-rata adjustments for these items from the Company's unconsolidated JVs, less straight line rental income, free rent net of amortization, second generation tenant improvement and leasing costs, and recurring capital expenditures.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FAD is not intended to represent cash flow for the period and is not indicative of cash flow provided by operating activities as determined in accordance with GAAP. FAD is presented solely as a supplemental disclosure with respect to liquidity.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Earnings Before Interest, Taxes, Depreciation and Amortization for Real Estate (EBITDAre)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EBITDAre is a non-GAAP financial measure. The Company computes EBITDAre in accordance with standards established by Nareit, which may not be comparable to EBITDAre reported by other REITs that do not compute EBITDAre in accordance with the Nareit definition, or that interpret the Nareit definition differently than the Company does. The White Paper on EBITDAre approved by the Board of Governors of Nareit in September 2017 defines EBITDAre as net income (loss) (computed in accordance with GAAP), plus interest expense, plus income tax expense, plus depreciation and amortization, plus (minus) losses and gains on the disposition of depreciated property, plus impairment write-downs of depreciated property and investments in unconsolidated joint ventures, plus adjustments to reflect the entity's share of EBITDAre of unconsolidated joint ventures.</w:t>
      </w:r>
    </w:p>
    <w:p>
      <w:pPr>
        <w:spacing w:after="0" w:line="1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Company presents EBITDAre because the Company believes that EBITDAre, along with cash flow from operating activities, investing activities and financing activities, provides investors with an additional indicator of the Company’s ability to incur and service debt. EBITDAre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Net Operating Income (NOI) and Cash NOI</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NOI is a non-GAAP financial measure that is calculated as operating income before transaction related costs, gains/losses on early extinguishment of debt, marketing general and administrative expenses and non-real estate revenue. Cash NOI is also a non-GAAP financial measure that is calculated by subtracting free rent (net of amortization), straight-line rent, and the amortization of acquired above and below-market leases from NOI, while adding operating lease straight-line adjustment and the allowance for straight-line tenant credit loss.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Company presents NOI and Cash NOI because the Company believes that these measures, when taken together with the corresponding GAAP financial measures and reconciliations, provide investors with meaningful information regarding the operating performance of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the Company's properties, unaffected by the cost of leverage, straight-line adjustments, depreciation, amortization, and other net income components. The Company uses these metrics internally as performance measures. None of these measures is an alternative to net income (determined in accordance with GAAP) and same-store performance should not be considered an alternative to GAAP net income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Coverage Ratios</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Company presents fixed charge and debt service coverage ratios to provide a measure of the Company’s financial flexibility to service current debt amortization, interest expense and operating lease rent from current cash net operating income. These coverage ratios represent a common measure of the Company’s ability to service fixed cash payments; however, these ratios are not used as an alternative to cash flow from operating, financing and investing activities (determined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481965</wp:posOffset>
            </wp:positionV>
            <wp:extent cx="719518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3" w:name="page4"/>
    <w:bookmarkEnd w:id="3"/>
    <w:p>
      <w:pPr>
        <w:ind w:left="52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u w:val="single" w:color="auto"/>
          <w:color w:val="auto"/>
        </w:rPr>
        <w:t>SL GREEN REALTY CORP.</w:t>
      </w:r>
    </w:p>
    <w:p>
      <w:pPr>
        <w:spacing w:after="0" w:line="200" w:lineRule="exact"/>
        <w:rPr>
          <w:sz w:val="20"/>
          <w:szCs w:val="20"/>
          <w:color w:val="auto"/>
        </w:rPr>
      </w:pPr>
    </w:p>
    <w:p>
      <w:pPr>
        <w:spacing w:after="0" w:line="3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13335</wp:posOffset>
            </wp:positionV>
            <wp:extent cx="23355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35530" cy="6350"/>
                    </a:xfrm>
                    <a:prstGeom prst="rect">
                      <a:avLst/>
                    </a:prstGeom>
                    <a:noFill/>
                  </pic:spPr>
                </pic:pic>
              </a:graphicData>
            </a:graphic>
          </wp:anchor>
        </w:drawing>
      </w:r>
    </w:p>
    <w:p>
      <w:pPr>
        <w:spacing w:after="0" w:line="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color w:val="auto"/>
        </w:rPr>
        <w:t>Matthew J. DiLiberto</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Date: April 16, 2026</w:t>
      </w:r>
    </w:p>
    <w:p>
      <w:pPr>
        <w:sectPr>
          <w:pgSz w:w="11900" w:h="16838" w:orient="portrait"/>
          <w:cols w:equalWidth="0" w:num="1">
            <w:col w:w="10159"/>
          </w:cols>
          <w:pgMar w:left="300" w:top="68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SL GREEN REALTY CORP. REPORTS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 QUARTER 2026 EPS OF ($1.20) PER SHARE;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FFO OF $0.84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716978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 and Operating Highlights</w:t>
      </w:r>
    </w:p>
    <w:p>
      <w:pPr>
        <w:spacing w:after="0" w:line="121" w:lineRule="exact"/>
        <w:rPr>
          <w:sz w:val="20"/>
          <w:szCs w:val="20"/>
          <w:color w:val="auto"/>
        </w:rPr>
      </w:pPr>
    </w:p>
    <w:p>
      <w:pPr>
        <w:ind w:left="480" w:hanging="245"/>
        <w:spacing w:after="0" w:line="275" w:lineRule="auto"/>
        <w:tabs>
          <w:tab w:leader="none" w:pos="476"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loss attributable to common stockholders of $1.20 per share for the first quarter of 2026 as compared to net loss of $0.30 per share for the same period in 2025.</w:t>
      </w:r>
    </w:p>
    <w:p>
      <w:pPr>
        <w:spacing w:after="0" w:line="70" w:lineRule="exact"/>
        <w:rPr>
          <w:rFonts w:ascii="Times New Roman" w:cs="Times New Roman" w:eastAsia="Times New Roman" w:hAnsi="Times New Roman"/>
          <w:sz w:val="16"/>
          <w:szCs w:val="16"/>
          <w:b w:val="1"/>
          <w:bCs w:val="1"/>
          <w:color w:val="auto"/>
        </w:rPr>
      </w:pPr>
    </w:p>
    <w:p>
      <w:pPr>
        <w:ind w:left="480" w:hanging="245"/>
        <w:spacing w:after="0" w:line="288" w:lineRule="auto"/>
        <w:tabs>
          <w:tab w:leader="none" w:pos="476"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Funds from operations ("FFO") of $0.84 per share for the first quarter of 2026. The Company reported FFO of $1.40 per share for the same period in 2025, which included $25.0 million, or $0.33 per share, of income related to the resolution of a commercial mortgage investment.</w:t>
      </w:r>
    </w:p>
    <w:p>
      <w:pPr>
        <w:spacing w:after="0" w:line="60" w:lineRule="exact"/>
        <w:rPr>
          <w:rFonts w:ascii="Times New Roman" w:cs="Times New Roman" w:eastAsia="Times New Roman" w:hAnsi="Times New Roman"/>
          <w:sz w:val="16"/>
          <w:szCs w:val="16"/>
          <w:b w:val="1"/>
          <w:bCs w:val="1"/>
          <w:color w:val="auto"/>
        </w:rPr>
      </w:pPr>
    </w:p>
    <w:p>
      <w:pPr>
        <w:ind w:left="460" w:hanging="225"/>
        <w:spacing w:after="0"/>
        <w:tabs>
          <w:tab w:leader="none" w:pos="46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Company reaffirms its previously announced 2026 FFO guidance range of FFO of $4.40 to $4.70 per share, with a midpoint of $4.55 per share.</w:t>
      </w:r>
    </w:p>
    <w:p>
      <w:pPr>
        <w:spacing w:after="0" w:line="120" w:lineRule="exact"/>
        <w:rPr>
          <w:rFonts w:ascii="Times New Roman" w:cs="Times New Roman" w:eastAsia="Times New Roman" w:hAnsi="Times New Roman"/>
          <w:sz w:val="16"/>
          <w:szCs w:val="16"/>
          <w:b w:val="1"/>
          <w:bCs w:val="1"/>
          <w:color w:val="auto"/>
        </w:rPr>
      </w:pPr>
    </w:p>
    <w:p>
      <w:pPr>
        <w:jc w:val="both"/>
        <w:ind w:left="480" w:hanging="245"/>
        <w:spacing w:after="0" w:line="259" w:lineRule="auto"/>
        <w:tabs>
          <w:tab w:leader="none" w:pos="476" w:val="left"/>
        </w:tabs>
        <w:numPr>
          <w:ilvl w:val="0"/>
          <w:numId w:val="2"/>
        </w:numPr>
        <w:rPr>
          <w:rFonts w:ascii="Times New Roman" w:cs="Times New Roman" w:eastAsia="Times New Roman" w:hAnsi="Times New Roman"/>
          <w:sz w:val="16"/>
          <w:szCs w:val="16"/>
          <w:b w:val="1"/>
          <w:bCs w:val="1"/>
          <w:color w:val="auto"/>
          <w:strike w:val="1"/>
        </w:rPr>
      </w:pPr>
      <w:r>
        <w:rPr>
          <w:rFonts w:ascii="Times New Roman" w:cs="Times New Roman" w:eastAsia="Times New Roman" w:hAnsi="Times New Roman"/>
          <w:sz w:val="16"/>
          <w:szCs w:val="16"/>
          <w:b w:val="1"/>
          <w:bCs w:val="1"/>
          <w:color w:val="auto"/>
        </w:rPr>
        <w:t>Signed 51 Manhattan office leases totaling 929,264 square feet in the first quarter of 2026, the highest volume ever achieved during the first quarter in the Company's 28-year history. The mark-to-market on signed Manhattan office leases was 16.1% higher for the first quarter than the previous fully escalated rents on the same spaces.</w:t>
      </w:r>
    </w:p>
    <w:p>
      <w:pPr>
        <w:spacing w:after="0" w:line="92" w:lineRule="exact"/>
        <w:rPr>
          <w:rFonts w:ascii="Times New Roman" w:cs="Times New Roman" w:eastAsia="Times New Roman" w:hAnsi="Times New Roman"/>
          <w:sz w:val="16"/>
          <w:szCs w:val="16"/>
          <w:b w:val="1"/>
          <w:bCs w:val="1"/>
          <w:color w:val="auto"/>
          <w:strike w:val="1"/>
        </w:rPr>
      </w:pPr>
    </w:p>
    <w:p>
      <w:pPr>
        <w:ind w:left="480" w:hanging="245"/>
        <w:spacing w:after="0" w:line="275" w:lineRule="auto"/>
        <w:tabs>
          <w:tab w:leader="none" w:pos="476"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Manhattan same-store cash net operating income ("NOI"), including the Company's share of same-store cash NOI from unconsolidated joint ventures, increased 2.6% for the first quarter of 2026, excluding lease termination income, as compared to the same period in 2025.</w:t>
      </w:r>
    </w:p>
    <w:p>
      <w:pPr>
        <w:spacing w:after="0" w:line="70" w:lineRule="exact"/>
        <w:rPr>
          <w:rFonts w:ascii="Times New Roman" w:cs="Times New Roman" w:eastAsia="Times New Roman" w:hAnsi="Times New Roman"/>
          <w:sz w:val="16"/>
          <w:szCs w:val="16"/>
          <w:b w:val="1"/>
          <w:bCs w:val="1"/>
          <w:color w:val="auto"/>
        </w:rPr>
      </w:pPr>
    </w:p>
    <w:p>
      <w:pPr>
        <w:jc w:val="both"/>
        <w:ind w:left="480" w:hanging="245"/>
        <w:spacing w:after="0" w:line="259" w:lineRule="auto"/>
        <w:tabs>
          <w:tab w:leader="none" w:pos="476"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Manhattan same-store office occupancy increased to 94.4% as of March 31, 2026, inclusive of leases signed but not yet commenced, as compared to 93.0% as of December 31, 2025. The Company expects to increase Manhattan same-store office occupancy, inclusive of leases signed but not yet commenced, to 95.0% by December 31, 2026.</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Investing Highlights</w:t>
      </w:r>
    </w:p>
    <w:p>
      <w:pPr>
        <w:spacing w:after="0" w:line="121" w:lineRule="exact"/>
        <w:rPr>
          <w:sz w:val="20"/>
          <w:szCs w:val="20"/>
          <w:color w:val="auto"/>
        </w:rPr>
      </w:pPr>
    </w:p>
    <w:p>
      <w:pPr>
        <w:ind w:left="480" w:hanging="245"/>
        <w:spacing w:after="0" w:line="275" w:lineRule="auto"/>
        <w:tabs>
          <w:tab w:leader="none" w:pos="476"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Entered into a contract to sell the residential and retail components of 7 Dey Street for total consideration of $222.6 million. The transaction is expected to close in the second quarter of 2026, subject to customary closing conditions.</w:t>
      </w:r>
    </w:p>
    <w:p>
      <w:pPr>
        <w:spacing w:after="0" w:line="70" w:lineRule="exact"/>
        <w:rPr>
          <w:rFonts w:ascii="Times New Roman" w:cs="Times New Roman" w:eastAsia="Times New Roman" w:hAnsi="Times New Roman"/>
          <w:sz w:val="16"/>
          <w:szCs w:val="16"/>
          <w:b w:val="1"/>
          <w:bCs w:val="1"/>
          <w:color w:val="auto"/>
        </w:rPr>
      </w:pPr>
    </w:p>
    <w:p>
      <w:pPr>
        <w:ind w:left="460" w:hanging="225"/>
        <w:spacing w:after="0"/>
        <w:tabs>
          <w:tab w:leader="none" w:pos="46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Together with our joint venture partner, closed on the sale of 690 Madison Avenue for $54.5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Financing Highlights</w:t>
      </w:r>
    </w:p>
    <w:p>
      <w:pPr>
        <w:spacing w:after="0" w:line="111" w:lineRule="exact"/>
        <w:rPr>
          <w:sz w:val="20"/>
          <w:szCs w:val="20"/>
          <w:color w:val="auto"/>
        </w:rPr>
      </w:pPr>
    </w:p>
    <w:p>
      <w:pPr>
        <w:ind w:left="480" w:hanging="245"/>
        <w:spacing w:after="0" w:line="275" w:lineRule="auto"/>
        <w:tabs>
          <w:tab w:leader="none" w:pos="476"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Together with our joint venture partners, completed a $1.65 billion, five-year, fixed-rate refinancing of One Madison Avenue. The single asset, single borrower (SASB) CMBS execution was priced at a spread of 181 basis points above the US treasury index, resulting in an interest rate of 5.81%.</w:t>
      </w:r>
    </w:p>
    <w:p>
      <w:pPr>
        <w:spacing w:after="0" w:line="60" w:lineRule="exact"/>
        <w:rPr>
          <w:rFonts w:ascii="Times New Roman" w:cs="Times New Roman" w:eastAsia="Times New Roman" w:hAnsi="Times New Roman"/>
          <w:sz w:val="16"/>
          <w:szCs w:val="16"/>
          <w:b w:val="1"/>
          <w:bCs w:val="1"/>
          <w:color w:val="auto"/>
        </w:rPr>
      </w:pPr>
    </w:p>
    <w:p>
      <w:pPr>
        <w:ind w:left="460" w:hanging="225"/>
        <w:spacing w:after="0"/>
        <w:tabs>
          <w:tab w:leader="none" w:pos="4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Refinanced, extended and reduced the overall cost of $2.0 billion of the</w:t>
      </w:r>
    </w:p>
    <w:p>
      <w:pPr>
        <w:sectPr>
          <w:pgSz w:w="11900" w:h="16838" w:orient="portrait"/>
          <w:cols w:equalWidth="0" w:num="1">
            <w:col w:w="11280"/>
          </w:cols>
          <w:pgMar w:left="300" w:top="129" w:right="319" w:bottom="1440" w:gutter="0" w:footer="0" w:header="0"/>
        </w:sectPr>
      </w:pPr>
    </w:p>
    <w:bookmarkStart w:id="5" w:name="page6"/>
    <w:bookmarkEnd w:id="5"/>
    <w:p>
      <w:pPr>
        <w:jc w:val="both"/>
        <w:spacing w:after="0" w:line="245" w:lineRule="auto"/>
        <w:rPr>
          <w:sz w:val="20"/>
          <w:szCs w:val="20"/>
          <w:color w:val="auto"/>
        </w:rPr>
      </w:pPr>
      <w:r>
        <w:rPr>
          <w:rFonts w:ascii="Times New Roman" w:cs="Times New Roman" w:eastAsia="Times New Roman" w:hAnsi="Times New Roman"/>
          <w:sz w:val="16"/>
          <w:szCs w:val="16"/>
          <w:b w:val="1"/>
          <w:bCs w:val="1"/>
          <w:color w:val="auto"/>
        </w:rPr>
        <w:t>Company's $2.4 billion corporate credit facility. The existing $1.25 billion revolving line of credit was extended to June 2031 while the existing $1.05 billion term loan was bifurcated, resulting in a new $750 million term loan with a maturity date of June 2031. The cost of the revolving line of credit and the new term loan were each reduced by 25 basis points. The remaining $300 million term loan that matures in May 2027 and the existing $100 million term loan that matures in November 2026 were not modified.</w:t>
      </w:r>
    </w:p>
    <w:p>
      <w:pPr>
        <w:sectPr>
          <w:pgSz w:w="11900" w:h="16838" w:orient="portrait"/>
          <w:cols w:equalWidth="0" w:num="1">
            <w:col w:w="10800"/>
          </w:cols>
          <w:pgMar w:left="780" w:top="589" w:right="319" w:bottom="1440" w:gutter="0" w:footer="0" w:header="0"/>
        </w:sectPr>
      </w:pPr>
    </w:p>
    <w:bookmarkStart w:id="6" w:name="page7"/>
    <w:bookmarkEnd w:id="6"/>
    <w:p>
      <w:pPr>
        <w:jc w:val="both"/>
        <w:spacing w:after="0" w:line="272" w:lineRule="auto"/>
        <w:rPr>
          <w:sz w:val="20"/>
          <w:szCs w:val="20"/>
          <w:color w:val="auto"/>
        </w:rPr>
      </w:pPr>
      <w:r>
        <w:rPr>
          <w:rFonts w:ascii="Times New Roman" w:cs="Times New Roman" w:eastAsia="Times New Roman" w:hAnsi="Times New Roman"/>
          <w:sz w:val="16"/>
          <w:szCs w:val="16"/>
          <w:color w:val="auto"/>
        </w:rPr>
        <w:t>NEW YORK, April 15, 2026 - SL Green Realty Corp. (the "Company") (NYSE: SLG) today reported a net loss attributable to common stockholders for the quarter ended March 31, 2026 of $84.4 million, or $1.20 per share, as compared to a net loss of $21.1 million, or $0.30 per share, for the same period in 2025.</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reported FFO for the quarter ended March 31, 2026 of $64.6 million or $0.84 per share, net of the write-off of $4.8 million, or $0.06 per share, of unamortized deferred financing costs and inclusive of $2.0 million, or $0.03 per share, of positive non-cash fair value adjustments on mark-to-market derivatives. The Company reported FFO of $106.5 million, or $1.40 per share, for the same period in 2025, which included $25.0 million, or $0.33 per share, of income related to the resolution of a commercial mortgage investment.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per share amounts are presented on a diluted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Operating and Leasing Activity</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Manhattan same-store cash NOI, including the Company's share of same-store cash NOI from unconsolidated joint ventures, increased by 2.6% for the first quarter of 2026, excluding lease termination income, as compared to the same period in 2025.</w:t>
      </w:r>
    </w:p>
    <w:p>
      <w:pPr>
        <w:spacing w:after="0" w:line="6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During the first quarter of 2026, the Company signed 51 office leases in its Manhattan office portfolio totaling 929,264 square feet. The average rent on the Manhattan office leases signed in the first quarter of 2026 was $105.12 per rentable square foot, the highest average starting rent for leases signed in any one quarter in the Company’s history, with an average lease term of 9.8 years and average tenant concessions of 10.9 months of free rent with a tenant improvement allowance of $107.76 per rentable square foot. Thirty-four leases comprising 666,790 square feet, representing office leases on space that had been occupied within the prior twelve months, are considered replacement leases on which mark-to-market is calculated. Those replacement leases had average starting rents of $114.75 per rentable square foot, representing a 16.1% increase over the previous fully escalated rents on the same office spaces.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Occupancy in the Company's Manhattan same-store office portfolio increased to 94.4% as of March 31, 2026, inclusive of leases signed but not yet commenced, as compared to 93.0% at the end of the previous quarter. The Company expects to increase Manhattan same-store office occupancy, inclusive of leases signed but not yet commenced, to 95.0% by December 31, 2026.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leasing activity in the first quarter includes:</w:t>
      </w:r>
    </w:p>
    <w:p>
      <w:pPr>
        <w:spacing w:after="0" w:line="121" w:lineRule="exact"/>
        <w:rPr>
          <w:sz w:val="20"/>
          <w:szCs w:val="20"/>
          <w:color w:val="auto"/>
        </w:rPr>
      </w:pPr>
    </w:p>
    <w:p>
      <w:pPr>
        <w:ind w:left="460" w:hanging="225"/>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lease with Clay Labs, Inc. for 163,095 square feet at 11 Madison Avenue;</w:t>
      </w:r>
    </w:p>
    <w:p>
      <w:pPr>
        <w:spacing w:after="0" w:line="120" w:lineRule="exact"/>
        <w:rPr>
          <w:rFonts w:ascii="Times New Roman" w:cs="Times New Roman" w:eastAsia="Times New Roman" w:hAnsi="Times New Roman"/>
          <w:sz w:val="16"/>
          <w:szCs w:val="16"/>
          <w:color w:val="auto"/>
        </w:rPr>
      </w:pPr>
    </w:p>
    <w:p>
      <w:pPr>
        <w:ind w:left="460" w:hanging="225"/>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lease with a large global investment firm for 150,036 square feet at 245 Park Avenue;</w:t>
      </w:r>
    </w:p>
    <w:p>
      <w:pPr>
        <w:spacing w:after="0" w:line="120" w:lineRule="exact"/>
        <w:rPr>
          <w:rFonts w:ascii="Times New Roman" w:cs="Times New Roman" w:eastAsia="Times New Roman" w:hAnsi="Times New Roman"/>
          <w:sz w:val="16"/>
          <w:szCs w:val="16"/>
          <w:color w:val="auto"/>
        </w:rPr>
      </w:pPr>
    </w:p>
    <w:p>
      <w:pPr>
        <w:ind w:left="460" w:hanging="225"/>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expansion lease with Harvey AI Corporation for 92,663 square feet at One Madison Avenue;</w:t>
      </w:r>
    </w:p>
    <w:p>
      <w:pPr>
        <w:spacing w:after="0" w:line="130" w:lineRule="exact"/>
        <w:rPr>
          <w:rFonts w:ascii="Times New Roman" w:cs="Times New Roman" w:eastAsia="Times New Roman" w:hAnsi="Times New Roman"/>
          <w:sz w:val="16"/>
          <w:szCs w:val="16"/>
          <w:color w:val="auto"/>
        </w:rPr>
      </w:pPr>
    </w:p>
    <w:p>
      <w:pPr>
        <w:ind w:left="460" w:hanging="225"/>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expansion lease with TD Securities for 51,081 square feet at 125 Park Avenue;</w:t>
      </w:r>
    </w:p>
    <w:p>
      <w:pPr>
        <w:spacing w:after="0" w:line="120" w:lineRule="exact"/>
        <w:rPr>
          <w:rFonts w:ascii="Times New Roman" w:cs="Times New Roman" w:eastAsia="Times New Roman" w:hAnsi="Times New Roman"/>
          <w:sz w:val="16"/>
          <w:szCs w:val="16"/>
          <w:color w:val="auto"/>
        </w:rPr>
      </w:pPr>
    </w:p>
    <w:p>
      <w:pPr>
        <w:ind w:left="460" w:hanging="225"/>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lease with Robinson &amp; Cole for 48,451 square feet at 100 Park Avenue;</w:t>
      </w:r>
    </w:p>
    <w:p>
      <w:pPr>
        <w:sectPr>
          <w:pgSz w:w="11900" w:h="16838" w:orient="portrait"/>
          <w:cols w:equalWidth="0" w:num="1">
            <w:col w:w="11280"/>
          </w:cols>
          <w:pgMar w:left="300" w:top="601" w:right="319" w:bottom="1440" w:gutter="0" w:footer="0" w:header="0"/>
        </w:sectPr>
      </w:pPr>
    </w:p>
    <w:bookmarkStart w:id="7" w:name="page8"/>
    <w:bookmarkEnd w:id="7"/>
    <w:p>
      <w:pPr>
        <w:ind w:left="460" w:hanging="225"/>
        <w:spacing w:after="0"/>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lease with One Main General Services Corp for 38,037 square feet at 1185 Avenue of the Americas;</w:t>
      </w:r>
    </w:p>
    <w:p>
      <w:pPr>
        <w:spacing w:after="0" w:line="120" w:lineRule="exact"/>
        <w:rPr>
          <w:rFonts w:ascii="Times New Roman" w:cs="Times New Roman" w:eastAsia="Times New Roman" w:hAnsi="Times New Roman"/>
          <w:sz w:val="16"/>
          <w:szCs w:val="16"/>
          <w:color w:val="auto"/>
        </w:rPr>
      </w:pPr>
    </w:p>
    <w:p>
      <w:pPr>
        <w:ind w:left="460" w:hanging="225"/>
        <w:spacing w:after="0"/>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expansion lease with McDermott, Will &amp; Schulte for 29,734 square feet at One Vanderbilt Avenue.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Investment Activity</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March, the Company entered into a contract to sell the residential and retail components of 7 Dey Street for total consideration of $222.6 million. The transaction is expected to close in the second quarter of 2026, subject to customary closing conditions. The Company will retain ownership of the 26,000 square foot office condominium.</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February, together with our joint venture partner, the Company closed on the sale of 690 Madison Avenue for $54.5 million. The transaction generated cash proceeds to the Company of $48.5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Financing Activity</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In March, together with our joint venture partners, the Company completed a $1.65 billion, five-year, fixed-rate refinancing of One Madison Avenue. The single asset, single borrower (SASB) CMBS execution was priced at a spread of 181 basis points above the US treasury index, resulting in an interest rate of 5.81%. The new financing replaced the property’s previous $1.25 billion construction facility, which had an outstanding balance of $1.171 billion.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March, the Company refinanced, extended and reduced the overall cost of $2.0 billion of the Company's $2.4 billion corporate credit facility.</w:t>
      </w:r>
    </w:p>
    <w:p>
      <w:pPr>
        <w:spacing w:after="0" w:line="111" w:lineRule="exact"/>
        <w:rPr>
          <w:sz w:val="20"/>
          <w:szCs w:val="20"/>
          <w:color w:val="auto"/>
        </w:rPr>
      </w:pPr>
    </w:p>
    <w:p>
      <w:pPr>
        <w:ind w:left="480" w:hanging="245"/>
        <w:spacing w:after="0" w:line="272" w:lineRule="auto"/>
        <w:tabs>
          <w:tab w:leader="none" w:pos="47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revolving line of credit component of the facility was maintained at $1.25 billion, the maturity was extended to June 2031, inclusive of as-of-right extension options, and the borrowing cost was reduced by 25 basis points to 125 basis over SOFR based on the Company's current credit rating.</w:t>
      </w:r>
    </w:p>
    <w:p>
      <w:pPr>
        <w:spacing w:after="0" w:line="64" w:lineRule="exact"/>
        <w:rPr>
          <w:rFonts w:ascii="Times New Roman" w:cs="Times New Roman" w:eastAsia="Times New Roman" w:hAnsi="Times New Roman"/>
          <w:sz w:val="16"/>
          <w:szCs w:val="16"/>
          <w:color w:val="auto"/>
        </w:rPr>
      </w:pPr>
    </w:p>
    <w:p>
      <w:pPr>
        <w:jc w:val="both"/>
        <w:ind w:left="480" w:hanging="245"/>
        <w:spacing w:after="0" w:line="251" w:lineRule="auto"/>
        <w:tabs>
          <w:tab w:leader="none" w:pos="47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$1.05 billion term loan component of the facility was bifurcated, resulting in a new $750 million term loan with a maturity date of June 2031 and a borrowing cost that was reduced by 25 basis points to 145 basis points over SOFR, based on the Company’s current credit rating. The remaining $300 million of the term loan with a maturity date of May 2027 will continue to be outstanding on its current terms.</w:t>
      </w:r>
    </w:p>
    <w:p>
      <w:pPr>
        <w:spacing w:after="0" w:line="81" w:lineRule="exact"/>
        <w:rPr>
          <w:rFonts w:ascii="Times New Roman" w:cs="Times New Roman" w:eastAsia="Times New Roman" w:hAnsi="Times New Roman"/>
          <w:sz w:val="16"/>
          <w:szCs w:val="16"/>
          <w:color w:val="auto"/>
        </w:rPr>
      </w:pPr>
    </w:p>
    <w:p>
      <w:pPr>
        <w:ind w:left="460" w:hanging="225"/>
        <w:spacing w:after="0"/>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$100 million term loan component of the facility with a maturity date of November 2026 will also remain outstanding on its current terms.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Dividends</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March 23, 2026, the Company announced that its board of directors established an annual ordinary dividend on its common stock for 2026 of $2.47 per share. The new dividend level will allow the Company to retain incremental liquidity for investment opportunities, which may include discounted debt extinguishments, share repurchases or ongoing development projects.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first quarter of 2026, the Company declared:</w:t>
      </w:r>
    </w:p>
    <w:p>
      <w:pPr>
        <w:spacing w:after="0" w:line="121" w:lineRule="exact"/>
        <w:rPr>
          <w:sz w:val="20"/>
          <w:szCs w:val="20"/>
          <w:color w:val="auto"/>
        </w:rPr>
      </w:pPr>
    </w:p>
    <w:p>
      <w:pPr>
        <w:ind w:left="460" w:hanging="225"/>
        <w:spacing w:after="0"/>
        <w:tabs>
          <w:tab w:leader="none" w:pos="46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quarterly ordinary dividend on its outstanding common stock of $0.6175 per share, which was paid in cash on April 15, 2026;</w:t>
      </w:r>
    </w:p>
    <w:p>
      <w:pPr>
        <w:sectPr>
          <w:pgSz w:w="11900" w:h="16838" w:orient="portrait"/>
          <w:cols w:equalWidth="0" w:num="1">
            <w:col w:w="11280"/>
          </w:cols>
          <w:pgMar w:left="300" w:top="601" w:right="319" w:bottom="1440" w:gutter="0" w:footer="0" w:header="0"/>
        </w:sectPr>
      </w:pPr>
    </w:p>
    <w:bookmarkStart w:id="8" w:name="page9"/>
    <w:bookmarkEnd w:id="8"/>
    <w:p>
      <w:pPr>
        <w:ind w:left="480" w:hanging="245"/>
        <w:spacing w:after="0" w:line="272" w:lineRule="auto"/>
        <w:tabs>
          <w:tab w:leader="none" w:pos="476"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quarterly dividend on its outstanding 6.50% Series I Cumulative Redeemable Preferred Stock of $0.40625 per share for the period January 15, 2026 through and including April 14, 2026, which was paid in cash on April 15, 2026, and is the equivalent of an annualized dividend of $1.625 per share.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 and Audio Webcast</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executive management team, led by Marc Holliday, Chairman and Chief Executive Officer, will host a conference call and audio webcast on Thursday, April 16, 2026, at 2:00 p.m. ET to discuss the financial results.</w:t>
      </w:r>
    </w:p>
    <w:p>
      <w:pPr>
        <w:spacing w:after="0" w:line="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Supplemental data will be available prior to the quarterly conference call in the Investors section of the SL Green Realty Corp. website at www.slgreen.com under “Financial Reports.”</w:t>
      </w:r>
    </w:p>
    <w:p>
      <w:pPr>
        <w:spacing w:after="0" w:line="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live conference call will be webcast in listen-only mode and a replay will be available in the Investors section of the SL Green Realty Corp. website at www.slgreen.com under “Presentations &amp; Webcasts.”</w:t>
      </w:r>
    </w:p>
    <w:p>
      <w:pPr>
        <w:spacing w:after="0" w:line="65" w:lineRule="exact"/>
        <w:rPr>
          <w:sz w:val="20"/>
          <w:szCs w:val="20"/>
          <w:color w:val="auto"/>
        </w:rPr>
      </w:pPr>
    </w:p>
    <w:p>
      <w:pPr>
        <w:ind w:right="440"/>
        <w:spacing w:after="0" w:line="397" w:lineRule="auto"/>
        <w:rPr>
          <w:sz w:val="20"/>
          <w:szCs w:val="20"/>
          <w:color w:val="auto"/>
        </w:rPr>
      </w:pPr>
      <w:r>
        <w:rPr>
          <w:rFonts w:ascii="Times New Roman" w:cs="Times New Roman" w:eastAsia="Times New Roman" w:hAnsi="Times New Roman"/>
          <w:sz w:val="16"/>
          <w:szCs w:val="16"/>
          <w:color w:val="auto"/>
        </w:rPr>
        <w:t xml:space="preserve">Research analysts who wish to participate in the conference call must first register at https://register-conf.media-server.com/register/BIfae87cfbadc74c2fbc45e803ee1d1e2f. </w:t>
      </w:r>
      <w:r>
        <w:rPr>
          <w:rFonts w:ascii="Times New Roman" w:cs="Times New Roman" w:eastAsia="Times New Roman" w:hAnsi="Times New Roman"/>
          <w:sz w:val="16"/>
          <w:szCs w:val="16"/>
          <w:b w:val="1"/>
          <w:bCs w:val="1"/>
          <w:u w:val="single" w:color="auto"/>
          <w:color w:val="auto"/>
        </w:rPr>
        <w:t>Company Profile</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SL Green Realty Corp., Manhattan's largest office landlord, is a fully integrated real estate investment trust, or REIT, that is focused primarily on acquiring, managing and maximizing the value of Manhattan commercial properties. As of March 31, 2026, SL Green held interests in 55 buildings totaling 30.8 million square feet, which included ownership interests in 29.4 million square feet and 1.4 million square feet securing debt and preferred equity investments, excluding fund investments, and managed 3 buildings totaling 0.8 million square feet owned by third parties.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obtain the latest news releases and other Company information, please visit our website at www.slgreen.com or contact Investor Relations at investor.relations@slgreen.com.</w:t>
      </w:r>
    </w:p>
    <w:p>
      <w:pPr>
        <w:sectPr>
          <w:pgSz w:w="11900" w:h="16838" w:orient="portrait"/>
          <w:cols w:equalWidth="0" w:num="1">
            <w:col w:w="11280"/>
          </w:cols>
          <w:pgMar w:left="300" w:top="60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auto"/>
        </w:rPr>
        <w:t>Disclaimers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Non-GAAP Financial Measures</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i w:val="1"/>
          <w:iCs w:val="1"/>
          <w:color w:val="auto"/>
        </w:rPr>
        <w:t>During the quarterly conference call, the Company may discuss non-GAAP financial measures as defined by SEC Regulation G. In addition, the Company has used non-GAAP financial measures in this press release. A reconciliation of each non-GAAP financial measure and the comparable GAAP financial measure can be found in this release and in the Company’s Supplemental Package.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i w:val="1"/>
          <w:iCs w:val="1"/>
          <w:color w:val="auto"/>
        </w:rPr>
        <w:t>This press release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press release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occupancy,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 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i w:val="1"/>
          <w:iCs w:val="1"/>
          <w:color w:val="auto"/>
        </w:rPr>
        <w:t>Forward-looking statements contained in this press release are subject to a number of risks and uncertainties, many of which are beyond our control, that may cause our actual results, performance or achievements to be materially different from future results, performance or achievements expressed or implied by forward-looking statements made by us. Factors and risks to our business that could cause actual results to differ from those contained in the forward-looking statements include risks and uncertainties described in our filings with the Securities and Exchange Commission. Except to the extent required by law, we undertake no obligation to publicly update or revise any forward-looking statements, whether as a result of future events, new information or otherwise.</w:t>
      </w:r>
    </w:p>
    <w:p>
      <w:pPr>
        <w:sectPr>
          <w:pgSz w:w="11900" w:h="16838" w:orient="portrait"/>
          <w:cols w:equalWidth="0" w:num="1">
            <w:col w:w="11280"/>
          </w:cols>
          <w:pgMar w:left="300" w:top="599"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SL GREEN REALTY CORP.</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 and in thousands, except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4"/>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150"/>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Rental revenue, net</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165,995</w:t>
            </w:r>
          </w:p>
        </w:tc>
        <w:tc>
          <w:tcPr>
            <w:tcW w:w="100" w:type="dxa"/>
            <w:vAlign w:val="bottom"/>
          </w:tcPr>
          <w:p>
            <w:pPr>
              <w:spacing w:after="0"/>
              <w:rPr>
                <w:sz w:val="13"/>
                <w:szCs w:val="13"/>
                <w:color w:val="auto"/>
              </w:rPr>
            </w:pP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144,518</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Escalation and reimbursement revenues</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20,881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18,501</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SUMMIT Operator revenue</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24,142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22,534</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Investment income</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2,346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16,114</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Interest income from real estate loans held by consolidated securitization vehicles</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14,649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15,981</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Fee income</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20,006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12,275</w:t>
            </w:r>
          </w:p>
        </w:tc>
        <w:tc>
          <w:tcPr>
            <w:tcW w:w="0" w:type="dxa"/>
            <w:vAlign w:val="bottom"/>
          </w:tcPr>
          <w:p>
            <w:pPr>
              <w:spacing w:after="0"/>
              <w:rPr>
                <w:sz w:val="1"/>
                <w:szCs w:val="1"/>
                <w:color w:val="auto"/>
              </w:rPr>
            </w:pPr>
          </w:p>
        </w:tc>
      </w:tr>
      <w:tr>
        <w:trPr>
          <w:trHeight w:val="155"/>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Other income</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5,061</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9,923</w:t>
            </w:r>
          </w:p>
        </w:tc>
        <w:tc>
          <w:tcPr>
            <w:tcW w:w="0" w:type="dxa"/>
            <w:vAlign w:val="bottom"/>
          </w:tcPr>
          <w:p>
            <w:pPr>
              <w:spacing w:after="0"/>
              <w:rPr>
                <w:sz w:val="1"/>
                <w:szCs w:val="1"/>
                <w:color w:val="auto"/>
              </w:rPr>
            </w:pPr>
          </w:p>
        </w:tc>
      </w:tr>
      <w:tr>
        <w:trPr>
          <w:trHeight w:val="138"/>
        </w:trPr>
        <w:tc>
          <w:tcPr>
            <w:tcW w:w="73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Total revenues</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253,080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239,846</w:t>
            </w:r>
          </w:p>
        </w:tc>
        <w:tc>
          <w:tcPr>
            <w:tcW w:w="0" w:type="dxa"/>
            <w:vAlign w:val="bottom"/>
          </w:tcPr>
          <w:p>
            <w:pPr>
              <w:spacing w:after="0"/>
              <w:rPr>
                <w:sz w:val="1"/>
                <w:szCs w:val="1"/>
                <w:color w:val="auto"/>
              </w:rPr>
            </w:pPr>
          </w:p>
        </w:tc>
      </w:tr>
      <w:tr>
        <w:trPr>
          <w:trHeight w:val="139"/>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Expenses: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Operating expenses, including related party expenses of $2 in 2026 and $3 in 2025</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61,457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56,062</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Real estate taxes</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41,912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37,217</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Operating lease rent</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6,944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6,106</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SUMMIT Operator expenses</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24,942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21,764</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Interest expense, net of interest income</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50,909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45,681</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Amortization of deferred financing costs</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2,802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1,687</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SUMMIT Operator tax expense (benefit)</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585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Interest expense on senior obligations of consolidated securitization vehicles</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14,649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13,972</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69,751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64,498</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Loan loss and other investment reserves, net of recoveries</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(25,039)</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Transaction related costs</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284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w:t>
            </w:r>
          </w:p>
        </w:tc>
        <w:tc>
          <w:tcPr>
            <w:tcW w:w="0" w:type="dxa"/>
            <w:vAlign w:val="bottom"/>
          </w:tcPr>
          <w:p>
            <w:pPr>
              <w:spacing w:after="0"/>
              <w:rPr>
                <w:sz w:val="1"/>
                <w:szCs w:val="1"/>
                <w:color w:val="auto"/>
              </w:rPr>
            </w:pPr>
          </w:p>
        </w:tc>
      </w:tr>
      <w:tr>
        <w:trPr>
          <w:trHeight w:val="155"/>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Marketing, general and administrative</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22,786</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21,724</w:t>
            </w:r>
          </w:p>
        </w:tc>
        <w:tc>
          <w:tcPr>
            <w:tcW w:w="0" w:type="dxa"/>
            <w:vAlign w:val="bottom"/>
          </w:tcPr>
          <w:p>
            <w:pPr>
              <w:spacing w:after="0"/>
              <w:rPr>
                <w:sz w:val="1"/>
                <w:szCs w:val="1"/>
                <w:color w:val="auto"/>
              </w:rPr>
            </w:pPr>
          </w:p>
        </w:tc>
      </w:tr>
      <w:tr>
        <w:trPr>
          <w:trHeight w:val="143"/>
        </w:trPr>
        <w:tc>
          <w:tcPr>
            <w:tcW w:w="73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Total expenses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297,021</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243,922</w:t>
            </w:r>
          </w:p>
        </w:tc>
        <w:tc>
          <w:tcPr>
            <w:tcW w:w="0" w:type="dxa"/>
            <w:vAlign w:val="bottom"/>
          </w:tcPr>
          <w:p>
            <w:pPr>
              <w:spacing w:after="0"/>
              <w:rPr>
                <w:sz w:val="1"/>
                <w:szCs w:val="1"/>
                <w:color w:val="auto"/>
              </w:rPr>
            </w:pPr>
          </w:p>
        </w:tc>
      </w:tr>
      <w:tr>
        <w:trPr>
          <w:trHeight w:val="154"/>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Equity in net (loss) income from unconsolidated joint ventures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(20,780)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Income from debt fund investments, net</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2,478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Equity in net loss on sale of interest in unconsolidated joint venture/real estate</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Purchase price and other fair value adjustments</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4,183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(9,611)</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Gain (loss) on sale of real estate, net</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16,636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w:t>
            </w:r>
          </w:p>
        </w:tc>
        <w:tc>
          <w:tcPr>
            <w:tcW w:w="0" w:type="dxa"/>
            <w:vAlign w:val="bottom"/>
          </w:tcPr>
          <w:p>
            <w:pPr>
              <w:spacing w:after="0"/>
              <w:rPr>
                <w:sz w:val="1"/>
                <w:szCs w:val="1"/>
                <w:color w:val="auto"/>
              </w:rPr>
            </w:pPr>
          </w:p>
        </w:tc>
      </w:tr>
      <w:tr>
        <w:trPr>
          <w:trHeight w:val="155"/>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Depreciable real estate reserves</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(35,160)</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(8,546)</w:t>
            </w:r>
          </w:p>
        </w:tc>
        <w:tc>
          <w:tcPr>
            <w:tcW w:w="0" w:type="dxa"/>
            <w:vAlign w:val="bottom"/>
          </w:tcPr>
          <w:p>
            <w:pPr>
              <w:spacing w:after="0"/>
              <w:rPr>
                <w:sz w:val="1"/>
                <w:szCs w:val="1"/>
                <w:color w:val="auto"/>
              </w:rPr>
            </w:pPr>
          </w:p>
        </w:tc>
      </w:tr>
      <w:tr>
        <w:trPr>
          <w:trHeight w:val="139"/>
        </w:trPr>
        <w:tc>
          <w:tcPr>
            <w:tcW w:w="73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Net loss</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(77,398)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(21,545)</w:t>
            </w:r>
          </w:p>
        </w:tc>
        <w:tc>
          <w:tcPr>
            <w:tcW w:w="0" w:type="dxa"/>
            <w:vAlign w:val="bottom"/>
          </w:tcPr>
          <w:p>
            <w:pPr>
              <w:spacing w:after="0"/>
              <w:rPr>
                <w:sz w:val="1"/>
                <w:szCs w:val="1"/>
                <w:color w:val="auto"/>
              </w:rPr>
            </w:pPr>
          </w:p>
        </w:tc>
      </w:tr>
      <w:tr>
        <w:trPr>
          <w:trHeight w:val="13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Net income (loss) attributable to noncontrolling interests: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Noncontrolling interests in the Operating Partnership</w:t>
            </w: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6,678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1,465</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Noncontrolling interests in other partnerships</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(7,734)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4,897</w:t>
            </w:r>
          </w:p>
        </w:tc>
        <w:tc>
          <w:tcPr>
            <w:tcW w:w="0" w:type="dxa"/>
            <w:vAlign w:val="bottom"/>
          </w:tcPr>
          <w:p>
            <w:pPr>
              <w:spacing w:after="0"/>
              <w:rPr>
                <w:sz w:val="1"/>
                <w:szCs w:val="1"/>
                <w:color w:val="auto"/>
              </w:rPr>
            </w:pPr>
          </w:p>
        </w:tc>
      </w:tr>
      <w:tr>
        <w:trPr>
          <w:trHeight w:val="155"/>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Preferred units distributions</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(2,199)</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(2,154)</w:t>
            </w:r>
          </w:p>
        </w:tc>
        <w:tc>
          <w:tcPr>
            <w:tcW w:w="0" w:type="dxa"/>
            <w:vAlign w:val="bottom"/>
          </w:tcPr>
          <w:p>
            <w:pPr>
              <w:spacing w:after="0"/>
              <w:rPr>
                <w:sz w:val="1"/>
                <w:szCs w:val="1"/>
                <w:color w:val="auto"/>
              </w:rPr>
            </w:pPr>
          </w:p>
        </w:tc>
      </w:tr>
      <w:tr>
        <w:trPr>
          <w:trHeight w:val="13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Net loss attributable to SL Green</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(80,653)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(17,337)</w:t>
            </w:r>
          </w:p>
        </w:tc>
        <w:tc>
          <w:tcPr>
            <w:tcW w:w="0" w:type="dxa"/>
            <w:vAlign w:val="bottom"/>
          </w:tcPr>
          <w:p>
            <w:pPr>
              <w:spacing w:after="0"/>
              <w:rPr>
                <w:sz w:val="1"/>
                <w:szCs w:val="1"/>
                <w:color w:val="auto"/>
              </w:rPr>
            </w:pPr>
          </w:p>
        </w:tc>
      </w:tr>
      <w:tr>
        <w:trPr>
          <w:trHeight w:val="14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Perpetual preferred stock dividends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(3,738)</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(3,738)</w:t>
            </w:r>
          </w:p>
        </w:tc>
        <w:tc>
          <w:tcPr>
            <w:tcW w:w="0" w:type="dxa"/>
            <w:vAlign w:val="bottom"/>
          </w:tcPr>
          <w:p>
            <w:pPr>
              <w:spacing w:after="0"/>
              <w:rPr>
                <w:sz w:val="1"/>
                <w:szCs w:val="1"/>
                <w:color w:val="auto"/>
              </w:rPr>
            </w:pPr>
          </w:p>
        </w:tc>
      </w:tr>
      <w:tr>
        <w:trPr>
          <w:trHeight w:val="146"/>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Net loss attributable to SL Green common stockholders</w:t>
            </w: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(84,391)</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(21,075)</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Earnings Per Share (EPS)</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7360" w:type="dxa"/>
            <w:vAlign w:val="bottom"/>
            <w:gridSpan w:val="3"/>
            <w:vMerge w:val="continue"/>
          </w:tcPr>
          <w:p>
            <w:pPr>
              <w:spacing w:after="0"/>
              <w:rPr>
                <w:sz w:val="7"/>
                <w:szCs w:val="7"/>
                <w:color w:val="auto"/>
              </w:rPr>
            </w:pPr>
          </w:p>
        </w:tc>
        <w:tc>
          <w:tcPr>
            <w:tcW w:w="20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(1.20)</w:t>
            </w:r>
          </w:p>
        </w:tc>
        <w:tc>
          <w:tcPr>
            <w:tcW w:w="100" w:type="dxa"/>
            <w:vAlign w:val="bottom"/>
          </w:tcPr>
          <w:p>
            <w:pPr>
              <w:spacing w:after="0"/>
              <w:rPr>
                <w:sz w:val="7"/>
                <w:szCs w:val="7"/>
                <w:color w:val="auto"/>
              </w:rPr>
            </w:pPr>
          </w:p>
        </w:tc>
        <w:tc>
          <w:tcPr>
            <w:tcW w:w="260" w:type="dxa"/>
            <w:vAlign w:val="bottom"/>
            <w:vMerge w:val="restart"/>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(0.30)</w:t>
            </w:r>
          </w:p>
        </w:tc>
        <w:tc>
          <w:tcPr>
            <w:tcW w:w="0" w:type="dxa"/>
            <w:vAlign w:val="bottom"/>
          </w:tcPr>
          <w:p>
            <w:pPr>
              <w:spacing w:after="0"/>
              <w:rPr>
                <w:sz w:val="1"/>
                <w:szCs w:val="1"/>
                <w:color w:val="auto"/>
              </w:rPr>
            </w:pPr>
          </w:p>
        </w:tc>
      </w:tr>
      <w:tr>
        <w:trPr>
          <w:trHeight w:val="170"/>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Basic loss per share</w:t>
            </w:r>
          </w:p>
        </w:tc>
        <w:tc>
          <w:tcPr>
            <w:tcW w:w="2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Diluted loss per share</w:t>
            </w: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(1.20)</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(0.30)</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Funds From Operations (FFO)</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Basic FFO per share</w:t>
            </w: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0.85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Diluted FFO per share</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60" w:type="dxa"/>
            <w:vAlign w:val="bottom"/>
            <w:gridSpan w:val="3"/>
            <w:vMerge w:val="continue"/>
          </w:tcPr>
          <w:p>
            <w:pPr>
              <w:spacing w:after="0"/>
              <w:rPr>
                <w:sz w:val="9"/>
                <w:szCs w:val="9"/>
                <w:color w:val="auto"/>
              </w:rPr>
            </w:pPr>
          </w:p>
        </w:tc>
        <w:tc>
          <w:tcPr>
            <w:tcW w:w="200" w:type="dxa"/>
            <w:vAlign w:val="bottom"/>
            <w:tcBorders>
              <w:bottom w:val="single" w:sz="8" w:color="auto"/>
            </w:tcBorders>
          </w:tcPr>
          <w:p>
            <w:pPr>
              <w:jc w:val="right"/>
              <w:ind w:right="88"/>
              <w:spacing w:after="0" w:line="10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bottom w:val="single" w:sz="8" w:color="auto"/>
            </w:tcBorders>
          </w:tcPr>
          <w:p>
            <w:pPr>
              <w:jc w:val="right"/>
              <w:ind w:right="8"/>
              <w:spacing w:after="0" w:line="107" w:lineRule="exact"/>
              <w:rPr>
                <w:sz w:val="20"/>
                <w:szCs w:val="20"/>
                <w:color w:val="auto"/>
              </w:rPr>
            </w:pPr>
            <w:r>
              <w:rPr>
                <w:rFonts w:ascii="Times New Roman" w:cs="Times New Roman" w:eastAsia="Times New Roman" w:hAnsi="Times New Roman"/>
                <w:sz w:val="10"/>
                <w:szCs w:val="10"/>
                <w:b w:val="1"/>
                <w:bCs w:val="1"/>
                <w:color w:val="auto"/>
              </w:rPr>
              <w:t>0.84</w:t>
            </w:r>
          </w:p>
        </w:tc>
        <w:tc>
          <w:tcPr>
            <w:tcW w:w="100" w:type="dxa"/>
            <w:vAlign w:val="bottom"/>
          </w:tcPr>
          <w:p>
            <w:pPr>
              <w:spacing w:after="0"/>
              <w:rPr>
                <w:sz w:val="9"/>
                <w:szCs w:val="9"/>
                <w:color w:val="auto"/>
              </w:rPr>
            </w:pPr>
          </w:p>
        </w:tc>
        <w:tc>
          <w:tcPr>
            <w:tcW w:w="260" w:type="dxa"/>
            <w:vAlign w:val="bottom"/>
            <w:tcBorders>
              <w:bottom w:val="single" w:sz="8" w:color="auto"/>
            </w:tcBorders>
          </w:tcPr>
          <w:p>
            <w:pPr>
              <w:jc w:val="right"/>
              <w:ind w:right="148"/>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1.40</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Basic ownership interest</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70,687</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Weighted average REIT common shares for net income per share</w:t>
            </w: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70,424</w:t>
            </w:r>
          </w:p>
        </w:tc>
        <w:tc>
          <w:tcPr>
            <w:tcW w:w="0" w:type="dxa"/>
            <w:vAlign w:val="bottom"/>
          </w:tcPr>
          <w:p>
            <w:pPr>
              <w:spacing w:after="0"/>
              <w:rPr>
                <w:sz w:val="1"/>
                <w:szCs w:val="1"/>
                <w:color w:val="auto"/>
              </w:rPr>
            </w:pPr>
          </w:p>
        </w:tc>
      </w:tr>
      <w:tr>
        <w:trPr>
          <w:trHeight w:val="156"/>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Weighted average partnership units held by noncontrolling interests</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4,980</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4,103</w:t>
            </w:r>
          </w:p>
        </w:tc>
        <w:tc>
          <w:tcPr>
            <w:tcW w:w="0" w:type="dxa"/>
            <w:vAlign w:val="bottom"/>
          </w:tcPr>
          <w:p>
            <w:pPr>
              <w:spacing w:after="0"/>
              <w:rPr>
                <w:sz w:val="1"/>
                <w:szCs w:val="1"/>
                <w:color w:val="auto"/>
              </w:rPr>
            </w:pPr>
          </w:p>
        </w:tc>
      </w:tr>
      <w:tr>
        <w:trPr>
          <w:trHeight w:val="146"/>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Basic weighted average shares and units outstanding</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75,667</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74,527</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Diluted ownership interest</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72,270</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Weighted average REIT common share and common share equivalents</w:t>
            </w: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72,230</w:t>
            </w:r>
          </w:p>
        </w:tc>
        <w:tc>
          <w:tcPr>
            <w:tcW w:w="0" w:type="dxa"/>
            <w:vAlign w:val="bottom"/>
          </w:tcPr>
          <w:p>
            <w:pPr>
              <w:spacing w:after="0"/>
              <w:rPr>
                <w:sz w:val="1"/>
                <w:szCs w:val="1"/>
                <w:color w:val="auto"/>
              </w:rPr>
            </w:pPr>
          </w:p>
        </w:tc>
      </w:tr>
      <w:tr>
        <w:trPr>
          <w:trHeight w:val="155"/>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Weighted average partnership units held by noncontrolling interests</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4,980</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4,103</w:t>
            </w:r>
          </w:p>
        </w:tc>
        <w:tc>
          <w:tcPr>
            <w:tcW w:w="0" w:type="dxa"/>
            <w:vAlign w:val="bottom"/>
          </w:tcPr>
          <w:p>
            <w:pPr>
              <w:spacing w:after="0"/>
              <w:rPr>
                <w:sz w:val="1"/>
                <w:szCs w:val="1"/>
                <w:color w:val="auto"/>
              </w:rPr>
            </w:pPr>
          </w:p>
        </w:tc>
      </w:tr>
      <w:tr>
        <w:trPr>
          <w:trHeight w:val="128"/>
        </w:trPr>
        <w:tc>
          <w:tcPr>
            <w:tcW w:w="73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Diluted weighted average shares and units outstanding</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77,250</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76,333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20"/>
          </w:cols>
          <w:pgMar w:left="1340" w:top="601" w:right="1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SL GREEN REALTY CORP.</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 and in thousands, except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20" w:type="dxa"/>
            <w:vAlign w:val="bottom"/>
          </w:tcPr>
          <w:p>
            <w:pPr>
              <w:spacing w:after="0"/>
              <w:rPr>
                <w:sz w:val="11"/>
                <w:szCs w:val="11"/>
                <w:color w:val="auto"/>
              </w:rPr>
            </w:pP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118"/>
        </w:trPr>
        <w:tc>
          <w:tcPr>
            <w:tcW w:w="8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Commercial real estate properties, at cost:</w:t>
            </w: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Land and land interests</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1,848,531</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1,699,215</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Building and improvements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4,298,249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4,012,305</w:t>
            </w:r>
          </w:p>
        </w:tc>
        <w:tc>
          <w:tcPr>
            <w:tcW w:w="0" w:type="dxa"/>
            <w:vAlign w:val="bottom"/>
          </w:tcPr>
          <w:p>
            <w:pPr>
              <w:spacing w:after="0"/>
              <w:rPr>
                <w:sz w:val="1"/>
                <w:szCs w:val="1"/>
                <w:color w:val="auto"/>
              </w:rPr>
            </w:pPr>
          </w:p>
        </w:tc>
      </w:tr>
      <w:tr>
        <w:trPr>
          <w:trHeight w:val="142"/>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Building leasehold and improvements</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1,465,411</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1,448,112</w:t>
            </w:r>
          </w:p>
        </w:tc>
        <w:tc>
          <w:tcPr>
            <w:tcW w:w="0" w:type="dxa"/>
            <w:vAlign w:val="bottom"/>
          </w:tcPr>
          <w:p>
            <w:pPr>
              <w:spacing w:after="0"/>
              <w:rPr>
                <w:sz w:val="1"/>
                <w:szCs w:val="1"/>
                <w:color w:val="auto"/>
              </w:rPr>
            </w:pPr>
          </w:p>
        </w:tc>
      </w:tr>
      <w:tr>
        <w:trPr>
          <w:trHeight w:val="123"/>
        </w:trPr>
        <w:tc>
          <w:tcPr>
            <w:tcW w:w="8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7,612,191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7,159,632</w:t>
            </w:r>
          </w:p>
        </w:tc>
        <w:tc>
          <w:tcPr>
            <w:tcW w:w="0" w:type="dxa"/>
            <w:vAlign w:val="bottom"/>
          </w:tcPr>
          <w:p>
            <w:pPr>
              <w:spacing w:after="0"/>
              <w:rPr>
                <w:sz w:val="1"/>
                <w:szCs w:val="1"/>
                <w:color w:val="auto"/>
              </w:rPr>
            </w:pPr>
          </w:p>
        </w:tc>
      </w:tr>
      <w:tr>
        <w:trPr>
          <w:trHeight w:val="142"/>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Less: accumulated depreciation</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(2,321,290)</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(2,306,377)</w:t>
            </w:r>
          </w:p>
        </w:tc>
        <w:tc>
          <w:tcPr>
            <w:tcW w:w="0" w:type="dxa"/>
            <w:vAlign w:val="bottom"/>
          </w:tcPr>
          <w:p>
            <w:pPr>
              <w:spacing w:after="0"/>
              <w:rPr>
                <w:sz w:val="1"/>
                <w:szCs w:val="1"/>
                <w:color w:val="auto"/>
              </w:rPr>
            </w:pPr>
          </w:p>
        </w:tc>
      </w:tr>
      <w:tr>
        <w:trPr>
          <w:trHeight w:val="123"/>
        </w:trPr>
        <w:tc>
          <w:tcPr>
            <w:tcW w:w="8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5,290,901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4,853,255</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Assets held for sale</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211,222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143,867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155,747</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Restricted cash</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194,772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180,748</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Investment in marketable securities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25,330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23,666</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Tenant and other receivables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56,724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45,524</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Related party receivables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25,161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16,293</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Deferred rents receivable</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262,730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266,678</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Debt and preferred equity investments, net of discounts and deferred origination fees of $5 and $14 in 2026 and 2025, respectively, and allowances of $300 and $454 in 2026 and 2025, respectively</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118,083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168,358</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Investments in unconsolidated joint ventures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2,500,573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2,624,755</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Debt fund investments, at fair value</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293,243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152,958</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Deferred costs, net</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129,428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129,019</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Right-of-use assets - operating leases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909,377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864,430</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Real estate loans held by consolidated securitization vehicles, at fair value</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1,027,164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1,023,877</w:t>
            </w:r>
          </w:p>
        </w:tc>
        <w:tc>
          <w:tcPr>
            <w:tcW w:w="0" w:type="dxa"/>
            <w:vAlign w:val="bottom"/>
          </w:tcPr>
          <w:p>
            <w:pPr>
              <w:spacing w:after="0"/>
              <w:rPr>
                <w:sz w:val="1"/>
                <w:szCs w:val="1"/>
                <w:color w:val="auto"/>
              </w:rPr>
            </w:pPr>
          </w:p>
        </w:tc>
      </w:tr>
      <w:tr>
        <w:trPr>
          <w:trHeight w:val="142"/>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Other assets</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570,175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577,299</w:t>
            </w:r>
          </w:p>
        </w:tc>
        <w:tc>
          <w:tcPr>
            <w:tcW w:w="0" w:type="dxa"/>
            <w:vAlign w:val="bottom"/>
          </w:tcPr>
          <w:p>
            <w:pPr>
              <w:spacing w:after="0"/>
              <w:rPr>
                <w:sz w:val="1"/>
                <w:szCs w:val="1"/>
                <w:color w:val="auto"/>
              </w:rPr>
            </w:pPr>
          </w:p>
        </w:tc>
      </w:tr>
      <w:tr>
        <w:trPr>
          <w:trHeight w:val="132"/>
        </w:trPr>
        <w:tc>
          <w:tcPr>
            <w:tcW w:w="85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2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11,758,750</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11,082,607</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Mortgages and other loans payable</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2,509,135</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2,154,499</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Revolving credit facility</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825,000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640,000</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Unsecured term loan</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1,150,000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1,150,000</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Deferred financing costs, net</w:t>
            </w: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(35,673)</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(13,063)</w:t>
            </w:r>
          </w:p>
        </w:tc>
        <w:tc>
          <w:tcPr>
            <w:tcW w:w="0" w:type="dxa"/>
            <w:vAlign w:val="bottom"/>
          </w:tcPr>
          <w:p>
            <w:pPr>
              <w:spacing w:after="0"/>
              <w:rPr>
                <w:sz w:val="1"/>
                <w:szCs w:val="1"/>
                <w:color w:val="auto"/>
              </w:rPr>
            </w:pPr>
          </w:p>
        </w:tc>
      </w:tr>
      <w:tr>
        <w:trPr>
          <w:trHeight w:val="12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Total debt, net of deferred financing costs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4,448,462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3,931,436</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Accrued interest payable</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19,791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15,221</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Accounts payable and accrued expenses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118,912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134,621</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Deferred revenue</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168,980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147,419</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Lease liability - financing leases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108,515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108,183</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Lease liability - operating leases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851,142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805,192</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Dividend and distributions payable</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49,380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2,536</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Security deposits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73,638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68,276</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Liabilities related to assets held for sale</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189,842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Junior subordinate deferrable interest debentures held by trusts that issued trust preferred securities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Senior obligations of consolidated securitization vehicles, at fair value</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1,027,164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1,023,877</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Other liabilities (includes $167,423 and $244,941 at fair value as of March 31, 2026 and December 31, 2025, respectively)</w:t>
            </w: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241,392</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392,756</w:t>
            </w:r>
          </w:p>
        </w:tc>
        <w:tc>
          <w:tcPr>
            <w:tcW w:w="0" w:type="dxa"/>
            <w:vAlign w:val="bottom"/>
          </w:tcPr>
          <w:p>
            <w:pPr>
              <w:spacing w:after="0"/>
              <w:rPr>
                <w:sz w:val="1"/>
                <w:szCs w:val="1"/>
                <w:color w:val="auto"/>
              </w:rPr>
            </w:pPr>
          </w:p>
        </w:tc>
      </w:tr>
      <w:tr>
        <w:trPr>
          <w:trHeight w:val="129"/>
        </w:trPr>
        <w:tc>
          <w:tcPr>
            <w:tcW w:w="85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7,397,218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6,729,517</w:t>
            </w:r>
          </w:p>
        </w:tc>
        <w:tc>
          <w:tcPr>
            <w:tcW w:w="0" w:type="dxa"/>
            <w:vAlign w:val="bottom"/>
          </w:tcPr>
          <w:p>
            <w:pPr>
              <w:spacing w:after="0"/>
              <w:rPr>
                <w:sz w:val="1"/>
                <w:szCs w:val="1"/>
                <w:color w:val="auto"/>
              </w:rPr>
            </w:pPr>
          </w:p>
        </w:tc>
      </w:tr>
      <w:tr>
        <w:trPr>
          <w:trHeight w:val="176"/>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Commitments and contingencies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Noncontrolling interests in Operating Partnership</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259,415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241,371</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Preferred units and redeemable equity</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204,319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199,271</w:t>
            </w:r>
          </w:p>
        </w:tc>
        <w:tc>
          <w:tcPr>
            <w:tcW w:w="0" w:type="dxa"/>
            <w:vAlign w:val="bottom"/>
          </w:tcPr>
          <w:p>
            <w:pPr>
              <w:spacing w:after="0"/>
              <w:rPr>
                <w:sz w:val="1"/>
                <w:szCs w:val="1"/>
                <w:color w:val="auto"/>
              </w:rPr>
            </w:pPr>
          </w:p>
        </w:tc>
      </w:tr>
      <w:tr>
        <w:trPr>
          <w:trHeight w:val="177"/>
        </w:trPr>
        <w:tc>
          <w:tcPr>
            <w:tcW w:w="8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SL Green stockholders' equity:</w:t>
            </w: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Series I Preferred Stock, $0.01 par value, $25.00 liquidation preference, 9,200 and 9,200 issued and outstanding at both March 31, 2026 and December 31, 2025</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221,932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221,932</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Common stock, $0.01 par value 160,000 shares authorized, 71,124 and 71,159 issued and outstanding at March 31, 2026 and December 31, 2025, respectively</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711</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4,213,856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4,212,590</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(7,287)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(22,198)</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Retained deficit</w:t>
            </w: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(892,890)</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(741,880)</w:t>
            </w:r>
          </w:p>
        </w:tc>
        <w:tc>
          <w:tcPr>
            <w:tcW w:w="0" w:type="dxa"/>
            <w:vAlign w:val="bottom"/>
          </w:tcPr>
          <w:p>
            <w:pPr>
              <w:spacing w:after="0"/>
              <w:rPr>
                <w:sz w:val="1"/>
                <w:szCs w:val="1"/>
                <w:color w:val="auto"/>
              </w:rPr>
            </w:pPr>
          </w:p>
        </w:tc>
      </w:tr>
      <w:tr>
        <w:trPr>
          <w:trHeight w:val="12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Total SL Green Realty Corp. stockholders’ equity</w:t>
            </w: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3,536,322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3,671,155</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Noncontrolling interests in other partnerships</w:t>
            </w: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361,476</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241,293</w:t>
            </w:r>
          </w:p>
        </w:tc>
        <w:tc>
          <w:tcPr>
            <w:tcW w:w="0" w:type="dxa"/>
            <w:vAlign w:val="bottom"/>
          </w:tcPr>
          <w:p>
            <w:pPr>
              <w:spacing w:after="0"/>
              <w:rPr>
                <w:sz w:val="1"/>
                <w:szCs w:val="1"/>
                <w:color w:val="auto"/>
              </w:rPr>
            </w:pPr>
          </w:p>
        </w:tc>
      </w:tr>
      <w:tr>
        <w:trPr>
          <w:trHeight w:val="133"/>
        </w:trPr>
        <w:tc>
          <w:tcPr>
            <w:tcW w:w="85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3,897,798</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3,912,448</w:t>
            </w:r>
          </w:p>
        </w:tc>
        <w:tc>
          <w:tcPr>
            <w:tcW w:w="0" w:type="dxa"/>
            <w:vAlign w:val="bottom"/>
          </w:tcPr>
          <w:p>
            <w:pPr>
              <w:spacing w:after="0"/>
              <w:rPr>
                <w:sz w:val="1"/>
                <w:szCs w:val="1"/>
                <w:color w:val="auto"/>
              </w:rPr>
            </w:pPr>
          </w:p>
        </w:tc>
      </w:tr>
      <w:tr>
        <w:trPr>
          <w:trHeight w:val="132"/>
        </w:trPr>
        <w:tc>
          <w:tcPr>
            <w:tcW w:w="8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equity</w:t>
            </w:r>
          </w:p>
        </w:tc>
        <w:tc>
          <w:tcPr>
            <w:tcW w:w="2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11,758,750</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11,082,607</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601" w:right="3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SL GREEN REALTY CORP.</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(unaudited and in thousands, except per share data)</w:t>
      </w:r>
    </w:p>
    <w:p>
      <w:pPr>
        <w:spacing w:after="0" w:line="200" w:lineRule="exact"/>
        <w:rPr>
          <w:sz w:val="20"/>
          <w:szCs w:val="20"/>
          <w:color w:val="auto"/>
        </w:rPr>
      </w:pPr>
    </w:p>
    <w:p>
      <w:pPr>
        <w:spacing w:after="0" w:line="285" w:lineRule="exact"/>
        <w:rPr>
          <w:sz w:val="20"/>
          <w:szCs w:val="20"/>
          <w:color w:val="auto"/>
        </w:rPr>
      </w:pPr>
    </w:p>
    <w:tbl>
      <w:tblPr>
        <w:tblLayout w:type="fixed"/>
        <w:tblInd w:w="160" w:type="dxa"/>
        <w:tblCellMar>
          <w:top w:w="0" w:type="dxa"/>
          <w:left w:w="0" w:type="dxa"/>
          <w:bottom w:w="0" w:type="dxa"/>
          <w:right w:w="0" w:type="dxa"/>
        </w:tblCellMar>
      </w:tblPr>
      <w:tr>
        <w:trPr>
          <w:trHeight w:val="148"/>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00" w:type="dxa"/>
            <w:vAlign w:val="bottom"/>
            <w:tcBorders>
              <w:top w:val="single" w:sz="8" w:color="auto"/>
            </w:tcBorders>
          </w:tcPr>
          <w:p>
            <w:pPr>
              <w:spacing w:after="0"/>
              <w:rPr>
                <w:sz w:val="12"/>
                <w:szCs w:val="12"/>
                <w:color w:val="auto"/>
              </w:rPr>
            </w:pPr>
          </w:p>
        </w:tc>
      </w:tr>
      <w:tr>
        <w:trPr>
          <w:trHeight w:val="146"/>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700" w:type="dxa"/>
            <w:vAlign w:val="bottom"/>
            <w:tcBorders>
              <w:bottom w:val="single" w:sz="8" w:color="auto"/>
            </w:tcBorders>
          </w:tcPr>
          <w:p>
            <w:pPr>
              <w:spacing w:after="0"/>
              <w:rPr>
                <w:sz w:val="12"/>
                <w:szCs w:val="12"/>
                <w:color w:val="auto"/>
              </w:rPr>
            </w:pPr>
          </w:p>
        </w:tc>
      </w:tr>
      <w:tr>
        <w:trPr>
          <w:trHeight w:val="108"/>
        </w:trPr>
        <w:tc>
          <w:tcPr>
            <w:tcW w:w="6360" w:type="dxa"/>
            <w:vAlign w:val="bottom"/>
            <w:gridSpan w:val="4"/>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Funds From Operations (FFO) Reconciliation:</w:t>
            </w:r>
          </w:p>
        </w:tc>
        <w:tc>
          <w:tcPr>
            <w:tcW w:w="260" w:type="dxa"/>
            <w:vAlign w:val="bottom"/>
          </w:tcPr>
          <w:p>
            <w:pPr>
              <w:spacing w:after="0"/>
              <w:rPr>
                <w:sz w:val="9"/>
                <w:szCs w:val="9"/>
                <w:color w:val="auto"/>
              </w:rPr>
            </w:pPr>
          </w:p>
        </w:tc>
        <w:tc>
          <w:tcPr>
            <w:tcW w:w="860" w:type="dxa"/>
            <w:vAlign w:val="bottom"/>
          </w:tcPr>
          <w:p>
            <w:pPr>
              <w:jc w:val="right"/>
              <w:ind w:right="408"/>
              <w:spacing w:after="0" w:line="108" w:lineRule="exact"/>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jc w:val="right"/>
              <w:ind w:right="408"/>
              <w:spacing w:after="0" w:line="108" w:lineRule="exact"/>
              <w:rPr>
                <w:sz w:val="20"/>
                <w:szCs w:val="20"/>
                <w:color w:val="auto"/>
              </w:rPr>
            </w:pPr>
            <w:r>
              <w:rPr>
                <w:rFonts w:ascii="Times New Roman" w:cs="Times New Roman" w:eastAsia="Times New Roman" w:hAnsi="Times New Roman"/>
                <w:sz w:val="10"/>
                <w:szCs w:val="10"/>
                <w:b w:val="1"/>
                <w:bCs w:val="1"/>
                <w:color w:val="auto"/>
              </w:rPr>
              <w:t>2025</w:t>
            </w:r>
          </w:p>
        </w:tc>
      </w:tr>
      <w:tr>
        <w:trPr>
          <w:trHeight w:val="20"/>
        </w:trPr>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8"/>
        </w:trPr>
        <w:tc>
          <w:tcPr>
            <w:tcW w:w="636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Net loss attributable to SL Green common stockholders</w:t>
            </w: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(84,391)</w:t>
            </w:r>
          </w:p>
        </w:tc>
        <w:tc>
          <w:tcPr>
            <w:tcW w:w="100" w:type="dxa"/>
            <w:vAlign w:val="bottom"/>
          </w:tcPr>
          <w:p>
            <w:pPr>
              <w:spacing w:after="0"/>
              <w:rPr>
                <w:sz w:val="19"/>
                <w:szCs w:val="19"/>
                <w:color w:val="auto"/>
              </w:rPr>
            </w:pPr>
          </w:p>
        </w:tc>
        <w:tc>
          <w:tcPr>
            <w:tcW w:w="440" w:type="dxa"/>
            <w:vAlign w:val="bottom"/>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(21,075)</w:t>
            </w:r>
          </w:p>
        </w:tc>
      </w:tr>
      <w:tr>
        <w:trPr>
          <w:trHeight w:val="12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89"/>
              </w:rPr>
              <w:t>Add:</w:t>
            </w:r>
          </w:p>
        </w:tc>
        <w:tc>
          <w:tcPr>
            <w:tcW w:w="6160" w:type="dxa"/>
            <w:vAlign w:val="bottom"/>
            <w:gridSpan w:val="3"/>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50"/>
        </w:trPr>
        <w:tc>
          <w:tcPr>
            <w:tcW w:w="63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69,751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64,498</w:t>
            </w:r>
          </w:p>
        </w:tc>
      </w:tr>
      <w:tr>
        <w:trPr>
          <w:trHeight w:val="148"/>
        </w:trPr>
        <w:tc>
          <w:tcPr>
            <w:tcW w:w="63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Joint venture depreciation and noncontrolling interest adjustments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62,596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53,361</w:t>
            </w:r>
          </w:p>
        </w:tc>
      </w:tr>
      <w:tr>
        <w:trPr>
          <w:trHeight w:val="148"/>
        </w:trPr>
        <w:tc>
          <w:tcPr>
            <w:tcW w:w="63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Net income (loss) attributable to noncontrolling interests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(6,362)</w:t>
            </w:r>
          </w:p>
        </w:tc>
      </w:tr>
      <w:tr>
        <w:trPr>
          <w:trHeight w:val="125"/>
        </w:trPr>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w w:val="94"/>
              </w:rPr>
              <w:t>Less:</w:t>
            </w:r>
          </w:p>
        </w:tc>
        <w:tc>
          <w:tcPr>
            <w:tcW w:w="614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50"/>
        </w:trPr>
        <w:tc>
          <w:tcPr>
            <w:tcW w:w="63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Equity in net loss on sale of interest in unconsolidated joint venture/real estate</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63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Purchase price and other fair value adjustments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(6,544)</w:t>
            </w:r>
          </w:p>
        </w:tc>
      </w:tr>
      <w:tr>
        <w:trPr>
          <w:trHeight w:val="148"/>
        </w:trPr>
        <w:tc>
          <w:tcPr>
            <w:tcW w:w="63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Gain (loss) on sale of real estate, net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16,636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w:t>
            </w:r>
          </w:p>
        </w:tc>
      </w:tr>
      <w:tr>
        <w:trPr>
          <w:trHeight w:val="148"/>
        </w:trPr>
        <w:tc>
          <w:tcPr>
            <w:tcW w:w="63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Depreciable real estate reserves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(35,160)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(8,546)</w:t>
            </w:r>
          </w:p>
        </w:tc>
      </w:tr>
      <w:tr>
        <w:trPr>
          <w:trHeight w:val="148"/>
        </w:trPr>
        <w:tc>
          <w:tcPr>
            <w:tcW w:w="63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Depreciable real estate reserves in unconsolidated joint venture</w:t>
            </w:r>
          </w:p>
        </w:tc>
        <w:tc>
          <w:tcPr>
            <w:tcW w:w="2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(1,780)</w:t>
            </w:r>
          </w:p>
        </w:tc>
      </w:tr>
      <w:tr>
        <w:trPr>
          <w:trHeight w:val="155"/>
        </w:trPr>
        <w:tc>
          <w:tcPr>
            <w:tcW w:w="63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Depreciation on non-rental real estate assets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1,503</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1,263</w:t>
            </w:r>
          </w:p>
        </w:tc>
      </w:tr>
      <w:tr>
        <w:trPr>
          <w:trHeight w:val="128"/>
        </w:trPr>
        <w:tc>
          <w:tcPr>
            <w:tcW w:w="636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FFO attributable to SL Green common stockholders and unit holders</w:t>
            </w: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64,623</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106,511</w:t>
            </w: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601" w:right="1440" w:bottom="1440" w:gutter="0" w:footer="0" w:header="0"/>
        </w:sectPr>
      </w:pPr>
    </w:p>
    <w:bookmarkStart w:id="13" w:name="page14"/>
    <w:bookmarkEnd w:id="13"/>
    <w:p>
      <w:pPr>
        <w:ind w:left="3760"/>
        <w:spacing w:after="0"/>
        <w:rPr>
          <w:sz w:val="20"/>
          <w:szCs w:val="20"/>
          <w:color w:val="auto"/>
        </w:rPr>
      </w:pPr>
      <w:r>
        <w:rPr>
          <w:rFonts w:ascii="Times New Roman" w:cs="Times New Roman" w:eastAsia="Times New Roman" w:hAnsi="Times New Roman"/>
          <w:sz w:val="12"/>
          <w:szCs w:val="12"/>
          <w:b w:val="1"/>
          <w:bCs w:val="1"/>
          <w:color w:val="auto"/>
        </w:rPr>
        <w:t>SL GREEN REALTY CORP.</w:t>
      </w:r>
    </w:p>
    <w:p>
      <w:pPr>
        <w:spacing w:after="0" w:line="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(unaudited and in thousands, except per share data)</w:t>
      </w:r>
    </w:p>
    <w:p>
      <w:pPr>
        <w:spacing w:after="0" w:line="200" w:lineRule="exact"/>
        <w:rPr>
          <w:sz w:val="20"/>
          <w:szCs w:val="20"/>
          <w:color w:val="auto"/>
        </w:rPr>
      </w:pPr>
    </w:p>
    <w:p>
      <w:pPr>
        <w:spacing w:after="0" w:line="288" w:lineRule="exact"/>
        <w:rPr>
          <w:sz w:val="20"/>
          <w:szCs w:val="20"/>
          <w:color w:val="auto"/>
        </w:rPr>
      </w:pPr>
    </w:p>
    <w:tbl>
      <w:tblPr>
        <w:tblLayout w:type="fixed"/>
        <w:tblInd w:w="160" w:type="dxa"/>
        <w:tblCellMar>
          <w:top w:w="0" w:type="dxa"/>
          <w:left w:w="0" w:type="dxa"/>
          <w:bottom w:w="0" w:type="dxa"/>
          <w:right w:w="0" w:type="dxa"/>
        </w:tblCellMar>
      </w:tblPr>
      <w:tr>
        <w:trPr>
          <w:trHeight w:val="148"/>
        </w:trPr>
        <w:tc>
          <w:tcPr>
            <w:tcW w:w="24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00" w:type="dxa"/>
            <w:vAlign w:val="bottom"/>
            <w:tcBorders>
              <w:top w:val="single" w:sz="8" w:color="auto"/>
            </w:tcBorders>
          </w:tcPr>
          <w:p>
            <w:pPr>
              <w:spacing w:after="0"/>
              <w:rPr>
                <w:sz w:val="12"/>
                <w:szCs w:val="12"/>
                <w:color w:val="auto"/>
              </w:rPr>
            </w:pPr>
          </w:p>
        </w:tc>
      </w:tr>
      <w:tr>
        <w:trPr>
          <w:trHeight w:val="146"/>
        </w:trPr>
        <w:tc>
          <w:tcPr>
            <w:tcW w:w="24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700" w:type="dxa"/>
            <w:vAlign w:val="bottom"/>
            <w:tcBorders>
              <w:bottom w:val="single" w:sz="8" w:color="auto"/>
            </w:tcBorders>
          </w:tcPr>
          <w:p>
            <w:pPr>
              <w:spacing w:after="0"/>
              <w:rPr>
                <w:sz w:val="12"/>
                <w:szCs w:val="12"/>
                <w:color w:val="auto"/>
              </w:rPr>
            </w:pPr>
          </w:p>
        </w:tc>
      </w:tr>
      <w:tr>
        <w:trPr>
          <w:trHeight w:val="108"/>
        </w:trPr>
        <w:tc>
          <w:tcPr>
            <w:tcW w:w="636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Operating income and Same-store NOI Reconciliation:</w:t>
            </w:r>
          </w:p>
        </w:tc>
        <w:tc>
          <w:tcPr>
            <w:tcW w:w="260" w:type="dxa"/>
            <w:vAlign w:val="bottom"/>
          </w:tcPr>
          <w:p>
            <w:pPr>
              <w:spacing w:after="0"/>
              <w:rPr>
                <w:sz w:val="9"/>
                <w:szCs w:val="9"/>
                <w:color w:val="auto"/>
              </w:rPr>
            </w:pPr>
          </w:p>
        </w:tc>
        <w:tc>
          <w:tcPr>
            <w:tcW w:w="860" w:type="dxa"/>
            <w:vAlign w:val="bottom"/>
          </w:tcPr>
          <w:p>
            <w:pPr>
              <w:jc w:val="right"/>
              <w:ind w:right="408"/>
              <w:spacing w:after="0" w:line="108" w:lineRule="exact"/>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jc w:val="right"/>
              <w:ind w:right="408"/>
              <w:spacing w:after="0" w:line="108" w:lineRule="exact"/>
              <w:rPr>
                <w:sz w:val="20"/>
                <w:szCs w:val="20"/>
                <w:color w:val="auto"/>
              </w:rPr>
            </w:pPr>
            <w:r>
              <w:rPr>
                <w:rFonts w:ascii="Times New Roman" w:cs="Times New Roman" w:eastAsia="Times New Roman" w:hAnsi="Times New Roman"/>
                <w:sz w:val="10"/>
                <w:szCs w:val="10"/>
                <w:b w:val="1"/>
                <w:bCs w:val="1"/>
                <w:color w:val="auto"/>
              </w:rPr>
              <w:t>2025</w:t>
            </w:r>
          </w:p>
        </w:tc>
      </w:tr>
      <w:tr>
        <w:trPr>
          <w:trHeight w:val="20"/>
        </w:trPr>
        <w:tc>
          <w:tcPr>
            <w:tcW w:w="24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(77,398)</w:t>
            </w:r>
          </w:p>
        </w:tc>
        <w:tc>
          <w:tcPr>
            <w:tcW w:w="100" w:type="dxa"/>
            <w:vAlign w:val="bottom"/>
          </w:tcPr>
          <w:p>
            <w:pPr>
              <w:spacing w:after="0"/>
              <w:rPr>
                <w:sz w:val="16"/>
                <w:szCs w:val="16"/>
                <w:color w:val="auto"/>
              </w:rPr>
            </w:pPr>
          </w:p>
        </w:tc>
        <w:tc>
          <w:tcPr>
            <w:tcW w:w="440" w:type="dxa"/>
            <w:vAlign w:val="bottom"/>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(21,545)</w:t>
            </w:r>
          </w:p>
        </w:tc>
      </w:tr>
      <w:tr>
        <w:trPr>
          <w:trHeight w:val="26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Depreciable real estate reserves</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8,546</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(Gain) loss on sale of real estate, net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(16,636)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482</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Purchase price and other fair value adjustments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9,611</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Equity in net loss on sale of interest in unconsolidated joint venture/real estate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69,751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64,498</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SUMMIT Operator tax expense (benefit)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585</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Amortization of deferred financing costs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1,687</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 expense, net of interest income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50,909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45,681</w:t>
            </w:r>
          </w:p>
        </w:tc>
      </w:tr>
      <w:tr>
        <w:trPr>
          <w:trHeight w:val="15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 expense on senior obligations of consolidated securitization vehicles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14,649</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13,972</w:t>
            </w:r>
          </w:p>
        </w:tc>
      </w:tr>
      <w:tr>
        <w:trPr>
          <w:trHeight w:val="14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Operating income</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76,453</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122,887</w:t>
            </w:r>
          </w:p>
        </w:tc>
      </w:tr>
      <w:tr>
        <w:trPr>
          <w:trHeight w:val="20"/>
        </w:trPr>
        <w:tc>
          <w:tcPr>
            <w:tcW w:w="2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9"/>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Equity in net loss (income) from unconsolidated joint ventures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20,780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Income from debt fund investments, net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Marketing, general and administrative expense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22,786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21,724</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Transaction related costs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295</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Loan loss and other investment reserves, net of recoveries</w:t>
            </w:r>
          </w:p>
        </w:tc>
        <w:tc>
          <w:tcPr>
            <w:tcW w:w="2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(25,039)</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SUMMIT Operator expenses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24,942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21,764</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Investment income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(2,346)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(16,114)</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 income from real estate loans held by consolidated securitization vehicles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(14,649)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(15,981)</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SUMMIT Operator revenue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(24,142)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(22,534)</w:t>
            </w:r>
          </w:p>
        </w:tc>
      </w:tr>
      <w:tr>
        <w:trPr>
          <w:trHeight w:val="15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Non-building revenue</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(17,879)</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(10,486)</w:t>
            </w:r>
          </w:p>
        </w:tc>
      </w:tr>
      <w:tr>
        <w:trPr>
          <w:trHeight w:val="14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Net operating income (NOI)</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83,751</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75,346</w:t>
            </w:r>
          </w:p>
        </w:tc>
      </w:tr>
      <w:tr>
        <w:trPr>
          <w:trHeight w:val="20"/>
        </w:trPr>
        <w:tc>
          <w:tcPr>
            <w:tcW w:w="2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9"/>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Equity in net (loss) income from unconsolidated joint ventures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(20,780)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1,170</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depreciable real estate reserves</w:t>
            </w:r>
          </w:p>
        </w:tc>
        <w:tc>
          <w:tcPr>
            <w:tcW w:w="2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1,780</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depreciation and amortization</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67,639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63,075</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amortization of deferred financing costs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4,456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3,191</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interest expense, net of interest income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70,132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62,965</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gain on early extinguishment of debt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4,796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investment income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(4,918)</w:t>
            </w:r>
          </w:p>
        </w:tc>
      </w:tr>
      <w:tr>
        <w:trPr>
          <w:trHeight w:val="15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non-building revenue</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(398)</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(1,291)</w:t>
            </w:r>
          </w:p>
        </w:tc>
      </w:tr>
      <w:tr>
        <w:trPr>
          <w:trHeight w:val="14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NOI including SLG share of unconsolidated JVs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209,172</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201,318</w:t>
            </w:r>
          </w:p>
        </w:tc>
      </w:tr>
      <w:tr>
        <w:trPr>
          <w:trHeight w:val="20"/>
        </w:trPr>
        <w:tc>
          <w:tcPr>
            <w:tcW w:w="2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7"/>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NOI from other properties/affiliates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(34,623)</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(34,606)</w:t>
            </w:r>
          </w:p>
        </w:tc>
      </w:tr>
      <w:tr>
        <w:trPr>
          <w:trHeight w:val="14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Same-Store NOI</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174,549</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166,712</w:t>
            </w:r>
          </w:p>
        </w:tc>
      </w:tr>
      <w:tr>
        <w:trPr>
          <w:trHeight w:val="20"/>
        </w:trPr>
        <w:tc>
          <w:tcPr>
            <w:tcW w:w="2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9"/>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Straight-line and free rent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1,293</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Amortization of acquired above and below-market leases, net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1,147</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912</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Operating lease straight-line adjustment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204</w:t>
            </w:r>
          </w:p>
        </w:tc>
      </w:tr>
      <w:tr>
        <w:trPr>
          <w:trHeight w:val="148"/>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straight-line and free rent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(9,502)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(10,269)</w:t>
            </w:r>
          </w:p>
        </w:tc>
      </w:tr>
      <w:tr>
        <w:trPr>
          <w:trHeight w:val="15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amortization of acquired above and below-market leases, net</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(6,460)</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(6,040)</w:t>
            </w:r>
          </w:p>
        </w:tc>
      </w:tr>
      <w:tr>
        <w:trPr>
          <w:trHeight w:val="14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Same-store cash NOI</w:t>
            </w: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156,498</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152,812</w:t>
            </w:r>
          </w:p>
        </w:tc>
      </w:tr>
      <w:tr>
        <w:trPr>
          <w:trHeight w:val="20"/>
        </w:trPr>
        <w:tc>
          <w:tcPr>
            <w:tcW w:w="2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9"/>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Lease termination income</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(4,393)</w:t>
            </w:r>
          </w:p>
        </w:tc>
      </w:tr>
      <w:tr>
        <w:trPr>
          <w:trHeight w:val="15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SLG share of unconsolidated JV lease termination income</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(4,626)</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r>
      <w:tr>
        <w:trPr>
          <w:trHeight w:val="146"/>
        </w:trPr>
        <w:tc>
          <w:tcPr>
            <w:tcW w:w="6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Same-store cash NOI excluding lease termination income</w:t>
            </w: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152,228</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148,419</w:t>
            </w:r>
          </w:p>
        </w:tc>
      </w:tr>
      <w:tr>
        <w:trPr>
          <w:trHeight w:val="20"/>
        </w:trPr>
        <w:tc>
          <w:tcPr>
            <w:tcW w:w="2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905"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SL GREEN REALTY CORP.</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NON-GAAP FINANCIAL MEASURES - DISCLOSURES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Funds from Operations (FFO)</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0"/>
          <w:szCs w:val="10"/>
          <w:color w:val="auto"/>
        </w:rPr>
        <w:t>FFO is a widely recognized non-GAAP financial measure of REIT performance. The Company computes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Generally Accepted Accounting Principles, or GAAP), excluding gains (or losses) from sales of properties, and real estate related impairment charges, plus real estate related depreciation and amortization and after adjustments for unconsolidated partnerships and joint ventures.</w:t>
      </w:r>
    </w:p>
    <w:p>
      <w:pPr>
        <w:spacing w:after="0" w:line="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0"/>
          <w:szCs w:val="10"/>
          <w:color w:val="auto"/>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the Company's ability to make cash distributions.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Funds Available for Distribution (FAD)</w:t>
      </w:r>
    </w:p>
    <w:p>
      <w:pPr>
        <w:spacing w:after="0" w:line="9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0"/>
          <w:szCs w:val="10"/>
          <w:color w:val="auto"/>
        </w:rPr>
        <w:t>FAD is a non-GAAP financial measure that is calculated as FFO plus non-real estate depreciation, allowance for straight line credit loss, adjustment for straight line operating lease rent, non-cash deferred compensation, and pro-rata adjustments for these items from the Company's unconsolidated JVs, less straight line rental income, free rent net of amortization, second generation tenant improvement and leasing costs, and recurring capital expenditures.</w:t>
      </w:r>
    </w:p>
    <w:p>
      <w:pPr>
        <w:spacing w:after="0" w:line="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0"/>
          <w:szCs w:val="10"/>
          <w:color w:val="auto"/>
        </w:rPr>
        <w:t>FAD is not intended to represent cash flow for the period and is not indicative of cash flow provided by operating activities as determined in accordance with GAAP. FAD is presented solely as a supplemental disclosure with respect to liquidity.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Earnings Before Interest, Taxes, Depreciation and Amortization for Real Estate (EBITDAre)</w:t>
      </w:r>
    </w:p>
    <w:p>
      <w:pPr>
        <w:spacing w:after="0" w:line="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0"/>
          <w:szCs w:val="10"/>
          <w:color w:val="auto"/>
        </w:rPr>
        <w:t>EBITDAre is a non-GAAP financial measure. The Company computes EBITDAre in accordance with standards established by Nareit, which may not be comparable to EBITDAre reported by other REITs that do not compute EBITDAre in accordance with the Nareit definition, or that interpret the Nareit definition differently than the Company does. The White Paper on EBITDAre approved by the Board of Governors of Nareit in September 2017 defines EBITDAre as net income (loss) (computed in accordance with GAAP), plus interest expense, plus income tax expense, plus depreciation and amortization, plus (minus) losses and gains on the disposition of depreciated property, plus impairment write-downs of depreciated property and investments in unconsolidated joint ventures, plus adjustments to reflect the entity's share of EBITDAre of unconsolidated joint ventures.</w:t>
      </w:r>
    </w:p>
    <w:p>
      <w:pPr>
        <w:spacing w:after="0" w:line="5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0"/>
          <w:szCs w:val="10"/>
          <w:color w:val="auto"/>
        </w:rPr>
        <w:t>The Company presents EBITDAre because the Company believes that EBITDAre, along with cash flow from operating activities, investing activities and financing activities, provides investors with an additional indicator of the Company’s ability to incur and service debt. EBITDAre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Net Operating Income (NOI) and Cash NOI</w:t>
      </w:r>
    </w:p>
    <w:p>
      <w:pPr>
        <w:spacing w:after="0" w:line="9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0"/>
          <w:szCs w:val="10"/>
          <w:color w:val="auto"/>
        </w:rPr>
        <w:t>NOI is a non-GAAP financial measure that is calculated as operating income before transaction related costs, gains/losses on early extinguishment of debt, marketing general and administrative expenses and non-real estate revenue. Cash NOI is also a non-GAAP financial measure that is calculated by subtracting free rent (net of amortization), straight-line rent, and the amortization of acquired above and below-market leases from NOI, while adding operating lease straight-line adjustment and the allowance for straight-line tenant credit loss.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0"/>
          <w:szCs w:val="10"/>
          <w:color w:val="auto"/>
        </w:rPr>
        <w:t>The Company presents NOI and Cash NOI because the Company believes that these measures, when taken together with the corresponding GAAP financial measures and reconciliations, provide investors with meaningful information regarding the operating performance of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the Company's properties, unaffected by the cost of leverage, straight-line adjustments, depreciation, amortization, and other net income components. The Company uses these metrics internally as performance measures. None of these measures is an alternative to net income (determined in accordance with GAAP) and same-store performance should not be considered an alternative to GAAP net income performance.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Coverage Ratios</w:t>
      </w:r>
    </w:p>
    <w:p>
      <w:pPr>
        <w:spacing w:after="0" w:line="8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0"/>
          <w:szCs w:val="10"/>
          <w:color w:val="auto"/>
        </w:rPr>
        <w:t>The Company presents fixed charge and debt service coverage ratios to provide a measure of the Company’s financial flexibility to service current debt amortization, interest expense and operating lease rent from current cash net operating income. These coverage ratios represent a common measure of the Company’s ability to service fixed cash payments; however, these ratios are not used as an alternative to cash flow from operating, financing and investing activities (determined in accordance with GAAP).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SLG-EARN</w:t>
      </w:r>
    </w:p>
    <w:p>
      <w:pPr>
        <w:sectPr>
          <w:pgSz w:w="11900" w:h="16838" w:orient="portrait"/>
          <w:cols w:equalWidth="0" w:num="1">
            <w:col w:w="11280"/>
          </w:cols>
          <w:pgMar w:left="300" w:top="601" w:right="319"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538480</wp:posOffset>
            </wp:positionV>
            <wp:extent cx="7214235" cy="510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214235" cy="5108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2"/>
          <w:szCs w:val="12"/>
          <w:color w:val="auto"/>
        </w:rPr>
        <w:t>SL Green Realty Corp. is a self-managed real estate investment trust, or REIT, with in-house capabilities in property management, acquisitions and dispositions, debt investing, financing, development, redevelopment, construction and leasing.</w:t>
      </w:r>
    </w:p>
    <w:p>
      <w:pPr>
        <w:jc w:val="both"/>
        <w:ind w:right="20"/>
        <w:spacing w:after="0" w:line="272" w:lineRule="auto"/>
        <w:rPr>
          <w:sz w:val="20"/>
          <w:szCs w:val="20"/>
          <w:color w:val="auto"/>
        </w:rPr>
      </w:pPr>
      <w:r>
        <w:rPr>
          <w:rFonts w:ascii="Arial" w:cs="Arial" w:eastAsia="Arial" w:hAnsi="Arial"/>
          <w:sz w:val="12"/>
          <w:szCs w:val="12"/>
          <w:color w:val="auto"/>
        </w:rPr>
        <w:t>As of March 31, 2026, the Company held interests in 55 buildings totaling 30.8 million square feet, which included ownership interests in 29.4 million square feet and 1.4 million square feet securing debt and preferred equity investments, excluding fund investments, and managed 3 buildings totaling 0.8 million square feet owned by third parties.</w:t>
      </w:r>
    </w:p>
    <w:p>
      <w:pPr>
        <w:spacing w:after="0" w:line="14" w:lineRule="exact"/>
        <w:rPr>
          <w:sz w:val="20"/>
          <w:szCs w:val="20"/>
          <w:color w:val="auto"/>
        </w:rPr>
      </w:pPr>
    </w:p>
    <w:p>
      <w:pPr>
        <w:ind w:left="480" w:right="20" w:hanging="245"/>
        <w:spacing w:after="0" w:line="290" w:lineRule="auto"/>
        <w:tabs>
          <w:tab w:leader="none" w:pos="474" w:val="left"/>
        </w:tabs>
        <w:numPr>
          <w:ilvl w:val="0"/>
          <w:numId w:val="10"/>
        </w:numPr>
        <w:rPr>
          <w:rFonts w:ascii="Arial" w:cs="Arial" w:eastAsia="Arial" w:hAnsi="Arial"/>
          <w:sz w:val="12"/>
          <w:szCs w:val="12"/>
          <w:color w:val="auto"/>
        </w:rPr>
      </w:pPr>
      <w:r>
        <w:rPr>
          <w:rFonts w:ascii="Arial" w:cs="Arial" w:eastAsia="Arial" w:hAnsi="Arial"/>
          <w:sz w:val="12"/>
          <w:szCs w:val="12"/>
          <w:color w:val="auto"/>
        </w:rPr>
        <w:t>SL Green’s common stock is listed on the New York Stock Exchange and trades under the symbol SLG.</w:t>
      </w:r>
    </w:p>
    <w:p>
      <w:pPr>
        <w:ind w:left="460" w:hanging="225"/>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SL Green's website is </w:t>
      </w:r>
      <w:r>
        <w:rPr>
          <w:rFonts w:ascii="Arial" w:cs="Arial" w:eastAsia="Arial" w:hAnsi="Arial"/>
          <w:sz w:val="12"/>
          <w:szCs w:val="12"/>
          <w:b w:val="1"/>
          <w:bCs w:val="1"/>
          <w:color w:val="auto"/>
        </w:rPr>
        <w:t>www.slgreen.com</w:t>
      </w:r>
      <w:r>
        <w:rPr>
          <w:rFonts w:ascii="Arial" w:cs="Arial" w:eastAsia="Arial" w:hAnsi="Arial"/>
          <w:sz w:val="12"/>
          <w:szCs w:val="12"/>
          <w:color w:val="auto"/>
        </w:rPr>
        <w:t>.</w:t>
      </w:r>
    </w:p>
    <w:p>
      <w:pPr>
        <w:spacing w:after="0" w:line="48" w:lineRule="exact"/>
        <w:rPr>
          <w:rFonts w:ascii="Arial" w:cs="Arial" w:eastAsia="Arial" w:hAnsi="Arial"/>
          <w:sz w:val="12"/>
          <w:szCs w:val="12"/>
          <w:color w:val="auto"/>
        </w:rPr>
      </w:pPr>
    </w:p>
    <w:p>
      <w:pPr>
        <w:jc w:val="both"/>
        <w:ind w:left="480" w:right="20" w:hanging="245"/>
        <w:spacing w:after="0" w:line="269" w:lineRule="auto"/>
        <w:tabs>
          <w:tab w:leader="none" w:pos="474"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This data is furnished to supplement audited and unaudited regulatory filings of the Company and should be read in conjunction with those filings. The financial data herein is unaudited and is provided to assist readers of quarterly and annual financial filings and should not be read in replacement of, or superior to, such financial filings. As such, data otherwise contained in future regulatory filings covering the same period may restate the data presented herein.</w:t>
      </w:r>
    </w:p>
    <w:p>
      <w:pPr>
        <w:spacing w:after="0" w:line="183" w:lineRule="exact"/>
        <w:rPr>
          <w:sz w:val="20"/>
          <w:szCs w:val="20"/>
          <w:color w:val="auto"/>
        </w:rPr>
      </w:pPr>
    </w:p>
    <w:p>
      <w:pPr>
        <w:ind w:right="20"/>
        <w:spacing w:after="0" w:line="320" w:lineRule="auto"/>
        <w:rPr>
          <w:sz w:val="20"/>
          <w:szCs w:val="20"/>
          <w:color w:val="auto"/>
        </w:rPr>
      </w:pPr>
      <w:r>
        <w:rPr>
          <w:rFonts w:ascii="Arial" w:cs="Arial" w:eastAsia="Arial" w:hAnsi="Arial"/>
          <w:sz w:val="12"/>
          <w:szCs w:val="12"/>
          <w:color w:val="auto"/>
        </w:rPr>
        <w:t>Questions pertaining to the information contained herein should be referred to Investor Relations at investor.relations@slgreen.com.</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-526415</wp:posOffset>
            </wp:positionV>
            <wp:extent cx="57765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-551180</wp:posOffset>
            </wp:positionV>
            <wp:extent cx="577659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-1019810</wp:posOffset>
            </wp:positionV>
            <wp:extent cx="577659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1630680</wp:posOffset>
            </wp:positionH>
            <wp:positionV relativeFrom="paragraph">
              <wp:posOffset>-919480</wp:posOffset>
            </wp:positionV>
            <wp:extent cx="1136650" cy="324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This supplemental reporting package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supplemental reporting package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occupancy,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 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30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Forward-looking statements contained in this supplemental reporting package are subject to a number of risks and uncertainties, many of which are beyond our control, that may cause our actual results, performance or achievements to be materially different from future results, performance or achievements expressed or implied by forward-looking statements made by us. Factors and risks to our business that could cause actual results to differ from those contained in the forward-looking statements include risks and uncertainties described in our filings with the Securities and Exchange Commission. Except to the extent required by law, we undertake no obligation to publicly update or revise any forward-looking statements, whether as a result of future events, new information or otherwise.</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The following discussion related to the consolidated financial statements of the Company should be read in conjunction with the financial statements for the quarter ended March 31, 2026 that will be included on Form 10-Q to be filed on or before May 11, 2026.</w:t>
      </w:r>
    </w:p>
    <w:p>
      <w:pPr>
        <w:spacing w:after="0" w:line="200" w:lineRule="exact"/>
        <w:rPr>
          <w:sz w:val="20"/>
          <w:szCs w:val="20"/>
          <w:color w:val="auto"/>
        </w:rPr>
      </w:pPr>
    </w:p>
    <w:p>
      <w:pPr>
        <w:sectPr>
          <w:pgSz w:w="11900" w:h="16838" w:orient="portrait"/>
          <w:cols w:equalWidth="0" w:num="2">
            <w:col w:w="5360" w:space="460"/>
            <w:col w:w="5360"/>
          </w:cols>
          <w:pgMar w:left="30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20"/>
        <w:spacing w:after="0"/>
        <w:tabs>
          <w:tab w:leader="none" w:pos="5580" w:val="left"/>
          <w:tab w:leader="none" w:pos="94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2</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1180"/>
          </w:cols>
          <w:pgMar w:left="300" w:top="1440" w:right="4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577659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346075</wp:posOffset>
            </wp:positionV>
            <wp:extent cx="577659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577659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-21590</wp:posOffset>
            </wp:positionV>
            <wp:extent cx="1136650" cy="324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Definitions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Highlights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Key Financial Data</w:t>
            </w:r>
          </w:p>
        </w:tc>
        <w:tc>
          <w:tcPr>
            <w:tcW w:w="140" w:type="dxa"/>
            <w:vAlign w:val="bottom"/>
            <w:gridSpan w:val="2"/>
          </w:tcPr>
          <w:p>
            <w:pPr>
              <w:jc w:val="right"/>
              <w:spacing w:after="0"/>
              <w:rPr>
                <w:sz w:val="20"/>
                <w:szCs w:val="20"/>
                <w:color w:val="auto"/>
              </w:rPr>
            </w:pPr>
            <w:r>
              <w:rPr>
                <w:rFonts w:ascii="Arial" w:cs="Arial" w:eastAsia="Arial" w:hAnsi="Arial"/>
                <w:sz w:val="13"/>
                <w:szCs w:val="13"/>
                <w:color w:val="0000FF"/>
              </w:rPr>
              <w:t>8</w:t>
            </w:r>
          </w:p>
        </w:tc>
        <w:tc>
          <w:tcPr>
            <w:tcW w:w="120" w:type="dxa"/>
            <w:vAlign w:val="bottom"/>
            <w:gridSpan w:val="3"/>
          </w:tcPr>
          <w:p>
            <w:pPr>
              <w:jc w:val="center"/>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2"/>
                <w:szCs w:val="22"/>
                <w:color w:val="auto"/>
              </w:rPr>
            </w:pPr>
          </w:p>
        </w:tc>
        <w:tc>
          <w:tcPr>
            <w:tcW w:w="2560" w:type="dxa"/>
            <w:vAlign w:val="bottom"/>
            <w:gridSpan w:val="3"/>
          </w:tcPr>
          <w:p>
            <w:pPr>
              <w:jc w:val="right"/>
              <w:ind w:right="2374"/>
              <w:spacing w:after="0"/>
              <w:rPr>
                <w:sz w:val="20"/>
                <w:szCs w:val="20"/>
                <w:color w:val="auto"/>
              </w:rPr>
            </w:pPr>
            <w:r>
              <w:rPr>
                <w:rFonts w:ascii="Arial" w:cs="Arial" w:eastAsia="Arial" w:hAnsi="Arial"/>
                <w:sz w:val="13"/>
                <w:szCs w:val="13"/>
                <w:color w:val="0000FF"/>
                <w:w w:val="82"/>
              </w:rPr>
              <w:t>10</w:t>
            </w: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Office Leasing Statistics</w:t>
            </w:r>
          </w:p>
        </w:tc>
        <w:tc>
          <w:tcPr>
            <w:tcW w:w="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gridSpan w:val="4"/>
          </w:tcPr>
          <w:p>
            <w:pPr>
              <w:jc w:val="center"/>
              <w:spacing w:after="0"/>
              <w:rPr>
                <w:sz w:val="20"/>
                <w:szCs w:val="20"/>
                <w:color w:val="auto"/>
              </w:rPr>
            </w:pPr>
            <w:r>
              <w:rPr>
                <w:rFonts w:ascii="Arial" w:cs="Arial" w:eastAsia="Arial" w:hAnsi="Arial"/>
                <w:sz w:val="13"/>
                <w:szCs w:val="13"/>
                <w:color w:val="0000FF"/>
                <w:w w:val="96"/>
              </w:rPr>
              <w:t>11</w:t>
            </w:r>
          </w:p>
        </w:tc>
        <w:tc>
          <w:tcPr>
            <w:tcW w:w="20" w:type="dxa"/>
            <w:vAlign w:val="bottom"/>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20" w:type="dxa"/>
            <w:vAlign w:val="bottom"/>
          </w:tcPr>
          <w:p>
            <w:pPr>
              <w:spacing w:after="0"/>
              <w:rPr>
                <w:sz w:val="22"/>
                <w:szCs w:val="22"/>
                <w:color w:val="auto"/>
              </w:rPr>
            </w:pPr>
          </w:p>
        </w:tc>
      </w:tr>
      <w:tr>
        <w:trPr>
          <w:trHeight w:val="20"/>
        </w:trPr>
        <w:tc>
          <w:tcPr>
            <w:tcW w:w="1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Comparative Balance Sheets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12</w:t>
            </w:r>
          </w:p>
        </w:tc>
        <w:tc>
          <w:tcPr>
            <w:tcW w:w="20" w:type="dxa"/>
            <w:vAlign w:val="bottom"/>
            <w:tcBorders>
              <w:bottom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Comparative Statements of Operations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14</w:t>
            </w:r>
          </w:p>
        </w:tc>
        <w:tc>
          <w:tcPr>
            <w:tcW w:w="20" w:type="dxa"/>
            <w:vAlign w:val="bottom"/>
            <w:tcBorders>
              <w:bottom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Comparative Computation of FFO and FAD</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15</w:t>
            </w:r>
          </w:p>
        </w:tc>
        <w:tc>
          <w:tcPr>
            <w:tcW w:w="20" w:type="dxa"/>
            <w:vAlign w:val="bottom"/>
            <w:tcBorders>
              <w:bottom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Consolidated Statement of Equity</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16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Joint Venture Statements</w:t>
            </w:r>
          </w:p>
        </w:tc>
        <w:tc>
          <w:tcPr>
            <w:tcW w:w="140" w:type="dxa"/>
            <w:vAlign w:val="bottom"/>
            <w:gridSpan w:val="2"/>
          </w:tcPr>
          <w:p>
            <w:pPr>
              <w:jc w:val="right"/>
              <w:spacing w:after="0"/>
              <w:rPr>
                <w:sz w:val="20"/>
                <w:szCs w:val="20"/>
                <w:color w:val="auto"/>
              </w:rPr>
            </w:pPr>
            <w:r>
              <w:rPr>
                <w:rFonts w:ascii="Arial" w:cs="Arial" w:eastAsia="Arial" w:hAnsi="Arial"/>
                <w:sz w:val="13"/>
                <w:szCs w:val="13"/>
                <w:color w:val="0000FF"/>
                <w:w w:val="82"/>
              </w:rPr>
              <w:t>17</w:t>
            </w:r>
          </w:p>
        </w:tc>
        <w:tc>
          <w:tcPr>
            <w:tcW w:w="120" w:type="dxa"/>
            <w:vAlign w:val="bottom"/>
            <w:gridSpan w:val="3"/>
          </w:tcPr>
          <w:p>
            <w:pPr>
              <w:jc w:val="center"/>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2"/>
                <w:szCs w:val="22"/>
                <w:color w:val="auto"/>
              </w:rPr>
            </w:pPr>
          </w:p>
        </w:tc>
        <w:tc>
          <w:tcPr>
            <w:tcW w:w="2560" w:type="dxa"/>
            <w:vAlign w:val="bottom"/>
            <w:gridSpan w:val="3"/>
          </w:tcPr>
          <w:p>
            <w:pPr>
              <w:jc w:val="right"/>
              <w:ind w:right="2374"/>
              <w:spacing w:after="0"/>
              <w:rPr>
                <w:sz w:val="20"/>
                <w:szCs w:val="20"/>
                <w:color w:val="auto"/>
              </w:rPr>
            </w:pPr>
            <w:r>
              <w:rPr>
                <w:rFonts w:ascii="Arial" w:cs="Arial" w:eastAsia="Arial" w:hAnsi="Arial"/>
                <w:sz w:val="13"/>
                <w:szCs w:val="13"/>
                <w:color w:val="0000FF"/>
                <w:w w:val="82"/>
              </w:rPr>
              <w:t>18</w:t>
            </w:r>
          </w:p>
        </w:tc>
      </w:tr>
      <w:tr>
        <w:trPr>
          <w:trHeight w:val="20"/>
        </w:trPr>
        <w:tc>
          <w:tcPr>
            <w:tcW w:w="1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Selected Financial Data</w:t>
            </w:r>
          </w:p>
        </w:tc>
        <w:tc>
          <w:tcPr>
            <w:tcW w:w="140" w:type="dxa"/>
            <w:vAlign w:val="bottom"/>
            <w:gridSpan w:val="2"/>
          </w:tcPr>
          <w:p>
            <w:pPr>
              <w:jc w:val="right"/>
              <w:spacing w:after="0"/>
              <w:rPr>
                <w:sz w:val="20"/>
                <w:szCs w:val="20"/>
                <w:color w:val="auto"/>
              </w:rPr>
            </w:pPr>
            <w:r>
              <w:rPr>
                <w:rFonts w:ascii="Arial" w:cs="Arial" w:eastAsia="Arial" w:hAnsi="Arial"/>
                <w:sz w:val="13"/>
                <w:szCs w:val="13"/>
                <w:color w:val="0000FF"/>
                <w:w w:val="82"/>
              </w:rPr>
              <w:t>19</w:t>
            </w:r>
          </w:p>
        </w:tc>
        <w:tc>
          <w:tcPr>
            <w:tcW w:w="120" w:type="dxa"/>
            <w:vAlign w:val="bottom"/>
            <w:gridSpan w:val="3"/>
          </w:tcPr>
          <w:p>
            <w:pPr>
              <w:jc w:val="center"/>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2"/>
                <w:szCs w:val="22"/>
                <w:color w:val="auto"/>
              </w:rPr>
            </w:pPr>
          </w:p>
        </w:tc>
        <w:tc>
          <w:tcPr>
            <w:tcW w:w="2560" w:type="dxa"/>
            <w:vAlign w:val="bottom"/>
            <w:gridSpan w:val="3"/>
          </w:tcPr>
          <w:p>
            <w:pPr>
              <w:jc w:val="right"/>
              <w:ind w:right="2374"/>
              <w:spacing w:after="0"/>
              <w:rPr>
                <w:sz w:val="20"/>
                <w:szCs w:val="20"/>
                <w:color w:val="auto"/>
              </w:rPr>
            </w:pPr>
            <w:r>
              <w:rPr>
                <w:rFonts w:ascii="Arial" w:cs="Arial" w:eastAsia="Arial" w:hAnsi="Arial"/>
                <w:sz w:val="13"/>
                <w:szCs w:val="13"/>
                <w:color w:val="0000FF"/>
                <w:w w:val="82"/>
              </w:rPr>
              <w:t>22</w:t>
            </w:r>
          </w:p>
        </w:tc>
      </w:tr>
      <w:tr>
        <w:trPr>
          <w:trHeight w:val="20"/>
        </w:trPr>
        <w:tc>
          <w:tcPr>
            <w:tcW w:w="1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Debt Summary Schedule</w:t>
            </w:r>
          </w:p>
        </w:tc>
        <w:tc>
          <w:tcPr>
            <w:tcW w:w="140" w:type="dxa"/>
            <w:vAlign w:val="bottom"/>
            <w:gridSpan w:val="2"/>
          </w:tcPr>
          <w:p>
            <w:pPr>
              <w:jc w:val="right"/>
              <w:spacing w:after="0"/>
              <w:rPr>
                <w:sz w:val="20"/>
                <w:szCs w:val="20"/>
                <w:color w:val="auto"/>
              </w:rPr>
            </w:pPr>
            <w:r>
              <w:rPr>
                <w:rFonts w:ascii="Arial" w:cs="Arial" w:eastAsia="Arial" w:hAnsi="Arial"/>
                <w:sz w:val="13"/>
                <w:szCs w:val="13"/>
                <w:color w:val="0000FF"/>
                <w:w w:val="82"/>
              </w:rPr>
              <w:t>23</w:t>
            </w:r>
          </w:p>
        </w:tc>
        <w:tc>
          <w:tcPr>
            <w:tcW w:w="120" w:type="dxa"/>
            <w:vAlign w:val="bottom"/>
            <w:gridSpan w:val="3"/>
          </w:tcPr>
          <w:p>
            <w:pPr>
              <w:jc w:val="center"/>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2"/>
                <w:szCs w:val="22"/>
                <w:color w:val="auto"/>
              </w:rPr>
            </w:pPr>
          </w:p>
        </w:tc>
        <w:tc>
          <w:tcPr>
            <w:tcW w:w="2560" w:type="dxa"/>
            <w:vAlign w:val="bottom"/>
            <w:gridSpan w:val="3"/>
          </w:tcPr>
          <w:p>
            <w:pPr>
              <w:jc w:val="right"/>
              <w:ind w:right="2374"/>
              <w:spacing w:after="0"/>
              <w:rPr>
                <w:sz w:val="20"/>
                <w:szCs w:val="20"/>
                <w:color w:val="auto"/>
              </w:rPr>
            </w:pPr>
            <w:r>
              <w:rPr>
                <w:rFonts w:ascii="Arial" w:cs="Arial" w:eastAsia="Arial" w:hAnsi="Arial"/>
                <w:sz w:val="13"/>
                <w:szCs w:val="13"/>
                <w:color w:val="0000FF"/>
                <w:w w:val="82"/>
              </w:rPr>
              <w:t>25</w:t>
            </w: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Derivative Summary Schedule</w:t>
            </w:r>
          </w:p>
        </w:tc>
        <w:tc>
          <w:tcPr>
            <w:tcW w:w="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26</w:t>
            </w:r>
          </w:p>
        </w:tc>
        <w:tc>
          <w:tcPr>
            <w:tcW w:w="20" w:type="dxa"/>
            <w:vAlign w:val="bottom"/>
            <w:tcBorders>
              <w:bottom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20" w:type="dxa"/>
            <w:vAlign w:val="bottom"/>
          </w:tcPr>
          <w:p>
            <w:pPr>
              <w:spacing w:after="0"/>
              <w:rPr>
                <w:sz w:val="22"/>
                <w:szCs w:val="22"/>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Lease Liability Schedule</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27</w:t>
            </w:r>
          </w:p>
        </w:tc>
        <w:tc>
          <w:tcPr>
            <w:tcW w:w="20" w:type="dxa"/>
            <w:vAlign w:val="bottom"/>
            <w:tcBorders>
              <w:bottom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Debt and Preferred Equity Investments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28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94"/>
        </w:trPr>
        <w:tc>
          <w:tcPr>
            <w:tcW w:w="1540" w:type="dxa"/>
            <w:vAlign w:val="bottom"/>
          </w:tcPr>
          <w:p>
            <w:pPr>
              <w:spacing w:after="0"/>
              <w:rPr>
                <w:sz w:val="24"/>
                <w:szCs w:val="24"/>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Selected Property Data</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9"/>
        </w:trPr>
        <w:tc>
          <w:tcPr>
            <w:tcW w:w="1540" w:type="dxa"/>
            <w:vAlign w:val="bottom"/>
          </w:tcPr>
          <w:p>
            <w:pPr>
              <w:spacing w:after="0"/>
              <w:rPr>
                <w:sz w:val="13"/>
                <w:szCs w:val="13"/>
                <w:color w:val="auto"/>
              </w:rPr>
            </w:pPr>
          </w:p>
        </w:tc>
        <w:tc>
          <w:tcPr>
            <w:tcW w:w="4660" w:type="dxa"/>
            <w:vAlign w:val="bottom"/>
          </w:tcPr>
          <w:p>
            <w:pPr>
              <w:ind w:left="640"/>
              <w:spacing w:after="0"/>
              <w:rPr>
                <w:sz w:val="20"/>
                <w:szCs w:val="20"/>
                <w:color w:val="auto"/>
              </w:rPr>
            </w:pPr>
            <w:r>
              <w:rPr>
                <w:rFonts w:ascii="Arial" w:cs="Arial" w:eastAsia="Arial" w:hAnsi="Arial"/>
                <w:sz w:val="13"/>
                <w:szCs w:val="13"/>
                <w:color w:val="auto"/>
              </w:rPr>
              <w:t>Property Portfolio</w:t>
            </w:r>
          </w:p>
        </w:tc>
        <w:tc>
          <w:tcPr>
            <w:tcW w:w="140" w:type="dxa"/>
            <w:vAlign w:val="bottom"/>
            <w:gridSpan w:val="2"/>
          </w:tcPr>
          <w:p>
            <w:pPr>
              <w:jc w:val="right"/>
              <w:spacing w:after="0"/>
              <w:rPr>
                <w:sz w:val="20"/>
                <w:szCs w:val="20"/>
                <w:color w:val="auto"/>
              </w:rPr>
            </w:pPr>
            <w:r>
              <w:rPr>
                <w:rFonts w:ascii="Arial" w:cs="Arial" w:eastAsia="Arial" w:hAnsi="Arial"/>
                <w:sz w:val="13"/>
                <w:szCs w:val="13"/>
                <w:color w:val="0000FF"/>
                <w:w w:val="82"/>
              </w:rPr>
              <w:t>29</w:t>
            </w:r>
          </w:p>
        </w:tc>
        <w:tc>
          <w:tcPr>
            <w:tcW w:w="2720" w:type="dxa"/>
            <w:vAlign w:val="bottom"/>
            <w:gridSpan w:val="7"/>
          </w:tcPr>
          <w:p>
            <w:pPr>
              <w:jc w:val="right"/>
              <w:ind w:right="2374"/>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color w:val="0000FF"/>
              </w:rPr>
              <w:t>33</w:t>
            </w:r>
          </w:p>
        </w:tc>
      </w:tr>
      <w:tr>
        <w:trPr>
          <w:trHeight w:val="177"/>
        </w:trPr>
        <w:tc>
          <w:tcPr>
            <w:tcW w:w="1540" w:type="dxa"/>
            <w:vAlign w:val="bottom"/>
          </w:tcPr>
          <w:p>
            <w:pPr>
              <w:spacing w:after="0"/>
              <w:rPr>
                <w:sz w:val="15"/>
                <w:szCs w:val="15"/>
                <w:color w:val="auto"/>
              </w:rPr>
            </w:pPr>
          </w:p>
        </w:tc>
        <w:tc>
          <w:tcPr>
            <w:tcW w:w="4660" w:type="dxa"/>
            <w:vAlign w:val="bottom"/>
          </w:tcPr>
          <w:p>
            <w:pPr>
              <w:ind w:left="640"/>
              <w:spacing w:after="0"/>
              <w:rPr>
                <w:sz w:val="20"/>
                <w:szCs w:val="20"/>
                <w:color w:val="auto"/>
              </w:rPr>
            </w:pPr>
            <w:r>
              <w:rPr>
                <w:rFonts w:ascii="Arial" w:cs="Arial" w:eastAsia="Arial" w:hAnsi="Arial"/>
                <w:sz w:val="13"/>
                <w:szCs w:val="13"/>
                <w:color w:val="auto"/>
              </w:rPr>
              <w:t>Largest Tenants</w:t>
            </w: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34</w:t>
            </w:r>
          </w:p>
        </w:tc>
        <w:tc>
          <w:tcPr>
            <w:tcW w:w="20" w:type="dxa"/>
            <w:vAlign w:val="bottom"/>
            <w:tcBorders>
              <w:bottom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42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4660" w:type="dxa"/>
            <w:vAlign w:val="bottom"/>
          </w:tcPr>
          <w:p>
            <w:pPr>
              <w:ind w:left="640"/>
              <w:spacing w:after="0"/>
              <w:rPr>
                <w:sz w:val="20"/>
                <w:szCs w:val="20"/>
                <w:color w:val="auto"/>
              </w:rPr>
            </w:pPr>
            <w:r>
              <w:rPr>
                <w:rFonts w:ascii="Arial" w:cs="Arial" w:eastAsia="Arial" w:hAnsi="Arial"/>
                <w:sz w:val="13"/>
                <w:szCs w:val="13"/>
                <w:color w:val="auto"/>
              </w:rPr>
              <w:t>Tenant Diversification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35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4660" w:type="dxa"/>
            <w:vAlign w:val="bottom"/>
          </w:tcPr>
          <w:p>
            <w:pPr>
              <w:ind w:left="640"/>
              <w:spacing w:after="0"/>
              <w:rPr>
                <w:sz w:val="20"/>
                <w:szCs w:val="20"/>
                <w:color w:val="auto"/>
              </w:rPr>
            </w:pPr>
            <w:r>
              <w:rPr>
                <w:rFonts w:ascii="Arial" w:cs="Arial" w:eastAsia="Arial" w:hAnsi="Arial"/>
                <w:sz w:val="13"/>
                <w:szCs w:val="13"/>
                <w:color w:val="auto"/>
              </w:rPr>
              <w:t>Leasing Activity</w:t>
            </w:r>
          </w:p>
        </w:tc>
        <w:tc>
          <w:tcPr>
            <w:tcW w:w="140" w:type="dxa"/>
            <w:vAlign w:val="bottom"/>
            <w:gridSpan w:val="2"/>
          </w:tcPr>
          <w:p>
            <w:pPr>
              <w:jc w:val="right"/>
              <w:spacing w:after="0"/>
              <w:rPr>
                <w:sz w:val="20"/>
                <w:szCs w:val="20"/>
                <w:color w:val="auto"/>
              </w:rPr>
            </w:pPr>
            <w:r>
              <w:rPr>
                <w:rFonts w:ascii="Arial" w:cs="Arial" w:eastAsia="Arial" w:hAnsi="Arial"/>
                <w:sz w:val="13"/>
                <w:szCs w:val="13"/>
                <w:color w:val="0000FF"/>
                <w:w w:val="82"/>
              </w:rPr>
              <w:t>36</w:t>
            </w:r>
          </w:p>
        </w:tc>
        <w:tc>
          <w:tcPr>
            <w:tcW w:w="2720" w:type="dxa"/>
            <w:vAlign w:val="bottom"/>
            <w:gridSpan w:val="7"/>
          </w:tcPr>
          <w:p>
            <w:pPr>
              <w:jc w:val="right"/>
              <w:ind w:right="2374"/>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color w:val="0000FF"/>
              </w:rPr>
              <w:t>37</w:t>
            </w:r>
          </w:p>
        </w:tc>
      </w:tr>
      <w:tr>
        <w:trPr>
          <w:trHeight w:val="20"/>
        </w:trPr>
        <w:tc>
          <w:tcPr>
            <w:tcW w:w="1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77"/>
        </w:trPr>
        <w:tc>
          <w:tcPr>
            <w:tcW w:w="1540" w:type="dxa"/>
            <w:vAlign w:val="bottom"/>
          </w:tcPr>
          <w:p>
            <w:pPr>
              <w:spacing w:after="0"/>
              <w:rPr>
                <w:sz w:val="15"/>
                <w:szCs w:val="15"/>
                <w:color w:val="auto"/>
              </w:rPr>
            </w:pPr>
          </w:p>
        </w:tc>
        <w:tc>
          <w:tcPr>
            <w:tcW w:w="4660" w:type="dxa"/>
            <w:vAlign w:val="bottom"/>
          </w:tcPr>
          <w:p>
            <w:pPr>
              <w:ind w:left="640"/>
              <w:spacing w:after="0"/>
              <w:rPr>
                <w:sz w:val="20"/>
                <w:szCs w:val="20"/>
                <w:color w:val="auto"/>
              </w:rPr>
            </w:pPr>
            <w:r>
              <w:rPr>
                <w:rFonts w:ascii="Arial" w:cs="Arial" w:eastAsia="Arial" w:hAnsi="Arial"/>
                <w:sz w:val="13"/>
                <w:szCs w:val="13"/>
                <w:color w:val="auto"/>
              </w:rPr>
              <w:t>Lease Expirations</w:t>
            </w:r>
          </w:p>
        </w:tc>
        <w:tc>
          <w:tcPr>
            <w:tcW w:w="140" w:type="dxa"/>
            <w:vAlign w:val="bottom"/>
            <w:gridSpan w:val="2"/>
          </w:tcPr>
          <w:p>
            <w:pPr>
              <w:jc w:val="right"/>
              <w:spacing w:after="0"/>
              <w:rPr>
                <w:sz w:val="20"/>
                <w:szCs w:val="20"/>
                <w:color w:val="auto"/>
              </w:rPr>
            </w:pPr>
            <w:r>
              <w:rPr>
                <w:rFonts w:ascii="Arial" w:cs="Arial" w:eastAsia="Arial" w:hAnsi="Arial"/>
                <w:sz w:val="13"/>
                <w:szCs w:val="13"/>
                <w:color w:val="0000FF"/>
                <w:w w:val="82"/>
              </w:rPr>
              <w:t>38</w:t>
            </w:r>
          </w:p>
        </w:tc>
        <w:tc>
          <w:tcPr>
            <w:tcW w:w="2720" w:type="dxa"/>
            <w:vAlign w:val="bottom"/>
            <w:gridSpan w:val="7"/>
          </w:tcPr>
          <w:p>
            <w:pPr>
              <w:jc w:val="right"/>
              <w:ind w:right="2374"/>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color w:val="0000FF"/>
              </w:rPr>
              <w:t>40</w:t>
            </w:r>
          </w:p>
        </w:tc>
      </w:tr>
      <w:tr>
        <w:trPr>
          <w:trHeight w:val="20"/>
        </w:trPr>
        <w:tc>
          <w:tcPr>
            <w:tcW w:w="1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Summary of Real Estate Acquisition/Disposition Activity</w:t>
            </w:r>
          </w:p>
        </w:tc>
        <w:tc>
          <w:tcPr>
            <w:tcW w:w="140" w:type="dxa"/>
            <w:vAlign w:val="bottom"/>
            <w:gridSpan w:val="2"/>
          </w:tcPr>
          <w:p>
            <w:pPr>
              <w:jc w:val="right"/>
              <w:spacing w:after="0"/>
              <w:rPr>
                <w:sz w:val="20"/>
                <w:szCs w:val="20"/>
                <w:color w:val="auto"/>
              </w:rPr>
            </w:pPr>
            <w:r>
              <w:rPr>
                <w:rFonts w:ascii="Arial" w:cs="Arial" w:eastAsia="Arial" w:hAnsi="Arial"/>
                <w:sz w:val="13"/>
                <w:szCs w:val="13"/>
                <w:color w:val="0000FF"/>
                <w:w w:val="82"/>
              </w:rPr>
              <w:t>41</w:t>
            </w:r>
          </w:p>
        </w:tc>
        <w:tc>
          <w:tcPr>
            <w:tcW w:w="120" w:type="dxa"/>
            <w:vAlign w:val="bottom"/>
            <w:gridSpan w:val="3"/>
          </w:tcPr>
          <w:p>
            <w:pPr>
              <w:jc w:val="center"/>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22"/>
                <w:szCs w:val="22"/>
                <w:color w:val="auto"/>
              </w:rPr>
            </w:pPr>
          </w:p>
        </w:tc>
        <w:tc>
          <w:tcPr>
            <w:tcW w:w="2560" w:type="dxa"/>
            <w:vAlign w:val="bottom"/>
            <w:gridSpan w:val="3"/>
          </w:tcPr>
          <w:p>
            <w:pPr>
              <w:jc w:val="right"/>
              <w:ind w:right="2374"/>
              <w:spacing w:after="0"/>
              <w:rPr>
                <w:sz w:val="20"/>
                <w:szCs w:val="20"/>
                <w:color w:val="auto"/>
              </w:rPr>
            </w:pPr>
            <w:r>
              <w:rPr>
                <w:rFonts w:ascii="Arial" w:cs="Arial" w:eastAsia="Arial" w:hAnsi="Arial"/>
                <w:sz w:val="13"/>
                <w:szCs w:val="13"/>
                <w:color w:val="0000FF"/>
                <w:w w:val="82"/>
              </w:rPr>
              <w:t>46</w:t>
            </w: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Non-GAAP Disclosures and Reconciliations</w:t>
            </w:r>
          </w:p>
        </w:tc>
        <w:tc>
          <w:tcPr>
            <w:tcW w:w="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47</w:t>
            </w:r>
          </w:p>
        </w:tc>
        <w:tc>
          <w:tcPr>
            <w:tcW w:w="20" w:type="dxa"/>
            <w:vAlign w:val="bottom"/>
            <w:tcBorders>
              <w:bottom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20" w:type="dxa"/>
            <w:vAlign w:val="bottom"/>
          </w:tcPr>
          <w:p>
            <w:pPr>
              <w:spacing w:after="0"/>
              <w:rPr>
                <w:sz w:val="22"/>
                <w:szCs w:val="22"/>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Analyst Coverage</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50</w:t>
            </w:r>
          </w:p>
        </w:tc>
        <w:tc>
          <w:tcPr>
            <w:tcW w:w="20" w:type="dxa"/>
            <w:vAlign w:val="bottom"/>
            <w:tcBorders>
              <w:bottom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55"/>
        </w:trPr>
        <w:tc>
          <w:tcPr>
            <w:tcW w:w="1540" w:type="dxa"/>
            <w:vAlign w:val="bottom"/>
          </w:tcPr>
          <w:p>
            <w:pPr>
              <w:spacing w:after="0"/>
              <w:rPr>
                <w:sz w:val="22"/>
                <w:szCs w:val="22"/>
                <w:color w:val="auto"/>
              </w:rPr>
            </w:pPr>
          </w:p>
        </w:tc>
        <w:tc>
          <w:tcPr>
            <w:tcW w:w="4660" w:type="dxa"/>
            <w:vAlign w:val="bottom"/>
          </w:tcPr>
          <w:p>
            <w:pPr>
              <w:ind w:left="480"/>
              <w:spacing w:after="0"/>
              <w:rPr>
                <w:sz w:val="20"/>
                <w:szCs w:val="20"/>
                <w:color w:val="auto"/>
              </w:rPr>
            </w:pPr>
            <w:r>
              <w:rPr>
                <w:rFonts w:ascii="Arial" w:cs="Arial" w:eastAsia="Arial" w:hAnsi="Arial"/>
                <w:sz w:val="13"/>
                <w:szCs w:val="13"/>
                <w:b w:val="1"/>
                <w:bCs w:val="1"/>
                <w:color w:val="auto"/>
              </w:rPr>
              <w:t>Executive Management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3"/>
                <w:szCs w:val="13"/>
                <w:color w:val="0000FF"/>
              </w:rPr>
              <w:t>51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470"/>
        </w:trPr>
        <w:tc>
          <w:tcPr>
            <w:tcW w:w="1540" w:type="dxa"/>
            <w:vAlign w:val="bottom"/>
          </w:tcPr>
          <w:p>
            <w:pPr>
              <w:spacing w:after="0"/>
              <w:rPr>
                <w:sz w:val="20"/>
                <w:szCs w:val="20"/>
                <w:color w:val="auto"/>
              </w:rPr>
            </w:pPr>
            <w:r>
              <w:rPr>
                <w:rFonts w:ascii="Arial" w:cs="Arial" w:eastAsia="Arial" w:hAnsi="Arial"/>
                <w:sz w:val="9"/>
                <w:szCs w:val="9"/>
                <w:color w:val="auto"/>
              </w:rPr>
              <w:t>Supplemental Information</w:t>
            </w:r>
          </w:p>
        </w:tc>
        <w:tc>
          <w:tcPr>
            <w:tcW w:w="4660" w:type="dxa"/>
            <w:vAlign w:val="bottom"/>
          </w:tcPr>
          <w:p>
            <w:pPr>
              <w:ind w:left="2940"/>
              <w:spacing w:after="0"/>
              <w:rPr>
                <w:sz w:val="20"/>
                <w:szCs w:val="20"/>
                <w:color w:val="auto"/>
              </w:rPr>
            </w:pPr>
            <w:r>
              <w:rPr>
                <w:rFonts w:ascii="Arial" w:cs="Arial" w:eastAsia="Arial" w:hAnsi="Arial"/>
                <w:sz w:val="9"/>
                <w:szCs w:val="9"/>
                <w:color w:val="auto"/>
              </w:rPr>
              <w:t>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9"/>
                <w:szCs w:val="9"/>
                <w:color w:val="auto"/>
              </w:rPr>
              <w:t>First Quarter 2026</w:t>
            </w:r>
          </w:p>
        </w:tc>
      </w:tr>
    </w:tbl>
    <w:p>
      <w:pPr>
        <w:sectPr>
          <w:pgSz w:w="11900" w:h="16838" w:orient="portrait"/>
          <w:cols w:equalWidth="0" w:num="1">
            <w:col w:w="9080"/>
          </w:cols>
          <w:pgMar w:left="1400" w:top="304" w:right="1419" w:bottom="1440" w:gutter="0" w:footer="0" w:header="0"/>
        </w:sectPr>
      </w:pPr>
    </w:p>
    <w:bookmarkStart w:id="18" w:name="page19"/>
    <w:bookmarkEnd w:id="18"/>
    <w:p>
      <w:pPr>
        <w:ind w:left="1100"/>
        <w:spacing w:after="0"/>
        <w:rPr>
          <w:sz w:val="20"/>
          <w:szCs w:val="20"/>
          <w:color w:val="auto"/>
        </w:rPr>
      </w:pPr>
      <w:r>
        <w:rPr>
          <w:rFonts w:ascii="Arial" w:cs="Arial" w:eastAsia="Arial" w:hAnsi="Arial"/>
          <w:sz w:val="17"/>
          <w:szCs w:val="17"/>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371475</wp:posOffset>
            </wp:positionV>
            <wp:extent cx="577659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346075</wp:posOffset>
            </wp:positionV>
            <wp:extent cx="577659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-121285</wp:posOffset>
            </wp:positionV>
            <wp:extent cx="577659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-21590</wp:posOffset>
            </wp:positionV>
            <wp:extent cx="1136650" cy="324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ectPr>
          <w:pgSz w:w="11900" w:h="16838" w:orient="portrait"/>
          <w:cols w:equalWidth="0" w:num="1">
            <w:col w:w="11180"/>
          </w:cols>
          <w:pgMar w:left="300" w:top="30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312" w:lineRule="auto"/>
        <w:rPr>
          <w:sz w:val="20"/>
          <w:szCs w:val="20"/>
          <w:color w:val="auto"/>
        </w:rPr>
      </w:pPr>
      <w:r>
        <w:rPr>
          <w:rFonts w:ascii="Arial" w:cs="Arial" w:eastAsia="Arial" w:hAnsi="Arial"/>
          <w:sz w:val="10"/>
          <w:szCs w:val="10"/>
          <w:b w:val="1"/>
          <w:bCs w:val="1"/>
          <w:color w:val="auto"/>
        </w:rPr>
        <w:t xml:space="preserve">Annualized cash rent </w:t>
      </w:r>
      <w:r>
        <w:rPr>
          <w:rFonts w:ascii="Arial" w:cs="Arial" w:eastAsia="Arial" w:hAnsi="Arial"/>
          <w:sz w:val="10"/>
          <w:szCs w:val="10"/>
          <w:color w:val="auto"/>
        </w:rPr>
        <w:t>- Monthly base rent and escalations per the lease, excluding concessions, deferrals, and</w:t>
      </w:r>
      <w:r>
        <w:rPr>
          <w:rFonts w:ascii="Arial" w:cs="Arial" w:eastAsia="Arial" w:hAnsi="Arial"/>
          <w:sz w:val="10"/>
          <w:szCs w:val="10"/>
          <w:b w:val="1"/>
          <w:bCs w:val="1"/>
          <w:color w:val="auto"/>
        </w:rPr>
        <w:t xml:space="preserve"> </w:t>
      </w:r>
      <w:r>
        <w:rPr>
          <w:rFonts w:ascii="Arial" w:cs="Arial" w:eastAsia="Arial" w:hAnsi="Arial"/>
          <w:sz w:val="10"/>
          <w:szCs w:val="10"/>
          <w:color w:val="auto"/>
        </w:rPr>
        <w:t>abatements as of the last day of the quarter, multiplied by 12.</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ASP </w:t>
      </w:r>
      <w:r>
        <w:rPr>
          <w:rFonts w:ascii="Arial" w:cs="Arial" w:eastAsia="Arial" w:hAnsi="Arial"/>
          <w:sz w:val="10"/>
          <w:szCs w:val="10"/>
          <w:color w:val="auto"/>
        </w:rPr>
        <w:t>- Alternative strategy portfolio.</w:t>
      </w:r>
    </w:p>
    <w:p>
      <w:pPr>
        <w:spacing w:after="0" w:line="72" w:lineRule="exact"/>
        <w:rPr>
          <w:sz w:val="20"/>
          <w:szCs w:val="20"/>
          <w:color w:val="auto"/>
        </w:rPr>
      </w:pPr>
    </w:p>
    <w:p>
      <w:pPr>
        <w:jc w:val="both"/>
        <w:ind w:right="20"/>
        <w:spacing w:after="0" w:line="273" w:lineRule="auto"/>
        <w:rPr>
          <w:sz w:val="20"/>
          <w:szCs w:val="20"/>
          <w:color w:val="auto"/>
        </w:rPr>
      </w:pPr>
      <w:r>
        <w:rPr>
          <w:rFonts w:ascii="Arial" w:cs="Arial" w:eastAsia="Arial" w:hAnsi="Arial"/>
          <w:sz w:val="10"/>
          <w:szCs w:val="10"/>
          <w:b w:val="1"/>
          <w:bCs w:val="1"/>
          <w:color w:val="auto"/>
        </w:rPr>
        <w:t xml:space="preserve">Capitalized Interest </w:t>
      </w:r>
      <w:r>
        <w:rPr>
          <w:rFonts w:ascii="Arial" w:cs="Arial" w:eastAsia="Arial" w:hAnsi="Arial"/>
          <w:sz w:val="10"/>
          <w:szCs w:val="10"/>
          <w:color w:val="auto"/>
        </w:rPr>
        <w:t>- The total of i) interest cost for project specific debt on properties that are under development</w:t>
      </w:r>
      <w:r>
        <w:rPr>
          <w:rFonts w:ascii="Arial" w:cs="Arial" w:eastAsia="Arial" w:hAnsi="Arial"/>
          <w:sz w:val="10"/>
          <w:szCs w:val="10"/>
          <w:b w:val="1"/>
          <w:bCs w:val="1"/>
          <w:color w:val="auto"/>
        </w:rPr>
        <w:t xml:space="preserve"> </w:t>
      </w:r>
      <w:r>
        <w:rPr>
          <w:rFonts w:ascii="Arial" w:cs="Arial" w:eastAsia="Arial" w:hAnsi="Arial"/>
          <w:sz w:val="10"/>
          <w:szCs w:val="10"/>
          <w:color w:val="auto"/>
        </w:rPr>
        <w:t>or redevelopment plus ii) an imputed interest cost for properties that are under development or redevelopment, which is calculated based on the Company’s equity investment in those properties multiplied by the Company’s consolidated weighted average borrowing rate. Capitalized Interest is a component of the carrying value of a development or redevelopment property.</w:t>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CMBS Investments </w:t>
      </w:r>
      <w:r>
        <w:rPr>
          <w:rFonts w:ascii="Arial" w:cs="Arial" w:eastAsia="Arial" w:hAnsi="Arial"/>
          <w:sz w:val="10"/>
          <w:szCs w:val="10"/>
          <w:color w:val="auto"/>
        </w:rPr>
        <w:t>- Investments in commercial mortgage-backed securities.</w:t>
      </w:r>
    </w:p>
    <w:p>
      <w:pPr>
        <w:spacing w:after="0" w:line="62" w:lineRule="exact"/>
        <w:rPr>
          <w:sz w:val="20"/>
          <w:szCs w:val="20"/>
          <w:color w:val="auto"/>
        </w:rPr>
      </w:pPr>
    </w:p>
    <w:p>
      <w:pPr>
        <w:jc w:val="both"/>
        <w:ind w:right="20"/>
        <w:spacing w:after="0" w:line="269" w:lineRule="auto"/>
        <w:rPr>
          <w:sz w:val="20"/>
          <w:szCs w:val="20"/>
          <w:color w:val="auto"/>
        </w:rPr>
      </w:pPr>
      <w:r>
        <w:rPr>
          <w:rFonts w:ascii="Arial" w:cs="Arial" w:eastAsia="Arial" w:hAnsi="Arial"/>
          <w:sz w:val="10"/>
          <w:szCs w:val="10"/>
          <w:b w:val="1"/>
          <w:bCs w:val="1"/>
          <w:color w:val="auto"/>
        </w:rPr>
        <w:t xml:space="preserve">Commenced Occupancy </w:t>
      </w:r>
      <w:r>
        <w:rPr>
          <w:rFonts w:ascii="Arial" w:cs="Arial" w:eastAsia="Arial" w:hAnsi="Arial"/>
          <w:sz w:val="10"/>
          <w:szCs w:val="10"/>
          <w:color w:val="auto"/>
        </w:rPr>
        <w:t>- Calculated based on the square footage for which lease terms have commenced per</w:t>
      </w:r>
      <w:r>
        <w:rPr>
          <w:rFonts w:ascii="Arial" w:cs="Arial" w:eastAsia="Arial" w:hAnsi="Arial"/>
          <w:sz w:val="10"/>
          <w:szCs w:val="10"/>
          <w:b w:val="1"/>
          <w:bCs w:val="1"/>
          <w:color w:val="auto"/>
        </w:rPr>
        <w:t xml:space="preserve"> </w:t>
      </w:r>
      <w:r>
        <w:rPr>
          <w:rFonts w:ascii="Arial" w:cs="Arial" w:eastAsia="Arial" w:hAnsi="Arial"/>
          <w:sz w:val="10"/>
          <w:szCs w:val="10"/>
          <w:color w:val="auto"/>
        </w:rPr>
        <w:t>the underlying lease. For GAAP purposes revenue may not yet be recognized for certain commenced leases as of the reporting date.</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0"/>
          <w:szCs w:val="10"/>
          <w:b w:val="1"/>
          <w:bCs w:val="1"/>
          <w:color w:val="auto"/>
        </w:rPr>
        <w:t xml:space="preserve">Consolidated securitization vehicle - </w:t>
      </w:r>
      <w:r>
        <w:rPr>
          <w:rFonts w:ascii="Arial" w:cs="Arial" w:eastAsia="Arial" w:hAnsi="Arial"/>
          <w:sz w:val="10"/>
          <w:szCs w:val="10"/>
          <w:color w:val="auto"/>
        </w:rPr>
        <w:t>CMBS securitization trusts for which the terms of our investment and</w:t>
      </w:r>
      <w:r>
        <w:rPr>
          <w:rFonts w:ascii="Arial" w:cs="Arial" w:eastAsia="Arial" w:hAnsi="Arial"/>
          <w:sz w:val="10"/>
          <w:szCs w:val="10"/>
          <w:b w:val="1"/>
          <w:bCs w:val="1"/>
          <w:color w:val="auto"/>
        </w:rPr>
        <w:t xml:space="preserve"> </w:t>
      </w:r>
      <w:r>
        <w:rPr>
          <w:rFonts w:ascii="Arial" w:cs="Arial" w:eastAsia="Arial" w:hAnsi="Arial"/>
          <w:sz w:val="10"/>
          <w:szCs w:val="10"/>
          <w:color w:val="auto"/>
        </w:rPr>
        <w:t>special servicing assignment give us the ability to direct the activities that could significantly impact the trust's economic performance</w:t>
      </w:r>
    </w:p>
    <w:p>
      <w:pPr>
        <w:spacing w:after="0" w:line="42" w:lineRule="exact"/>
        <w:rPr>
          <w:sz w:val="20"/>
          <w:szCs w:val="20"/>
          <w:color w:val="auto"/>
        </w:rPr>
      </w:pPr>
    </w:p>
    <w:p>
      <w:pPr>
        <w:jc w:val="both"/>
        <w:ind w:right="20"/>
        <w:spacing w:after="0" w:line="291" w:lineRule="auto"/>
        <w:rPr>
          <w:sz w:val="20"/>
          <w:szCs w:val="20"/>
          <w:color w:val="auto"/>
        </w:rPr>
      </w:pPr>
      <w:r>
        <w:rPr>
          <w:rFonts w:ascii="Arial" w:cs="Arial" w:eastAsia="Arial" w:hAnsi="Arial"/>
          <w:sz w:val="10"/>
          <w:szCs w:val="10"/>
          <w:b w:val="1"/>
          <w:bCs w:val="1"/>
          <w:color w:val="auto"/>
        </w:rPr>
        <w:t xml:space="preserve">Debt service coverage </w:t>
      </w:r>
      <w:r>
        <w:rPr>
          <w:rFonts w:ascii="Arial" w:cs="Arial" w:eastAsia="Arial" w:hAnsi="Arial"/>
          <w:sz w:val="10"/>
          <w:szCs w:val="10"/>
          <w:color w:val="auto"/>
        </w:rPr>
        <w:t>- Operating Income adding back income taxes, loan loss reserves and the Company's</w:t>
      </w:r>
      <w:r>
        <w:rPr>
          <w:rFonts w:ascii="Arial" w:cs="Arial" w:eastAsia="Arial" w:hAnsi="Arial"/>
          <w:sz w:val="10"/>
          <w:szCs w:val="10"/>
          <w:b w:val="1"/>
          <w:bCs w:val="1"/>
          <w:color w:val="auto"/>
        </w:rPr>
        <w:t xml:space="preserve"> </w:t>
      </w:r>
      <w:r>
        <w:rPr>
          <w:rFonts w:ascii="Arial" w:cs="Arial" w:eastAsia="Arial" w:hAnsi="Arial"/>
          <w:sz w:val="10"/>
          <w:szCs w:val="10"/>
          <w:color w:val="auto"/>
        </w:rPr>
        <w:t>share of joint venture depreciation and amortization, divided by total interest and principal payments.</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Earnings Before Interest, Taxes, Depreciation and Amortization for Real Estate (EBITDAre) - </w:t>
      </w:r>
      <w:r>
        <w:rPr>
          <w:rFonts w:ascii="Arial" w:cs="Arial" w:eastAsia="Arial" w:hAnsi="Arial"/>
          <w:sz w:val="10"/>
          <w:szCs w:val="10"/>
          <w:color w:val="auto"/>
        </w:rPr>
        <w:t>EBITDAre is a</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0"/>
          <w:szCs w:val="10"/>
          <w:color w:val="auto"/>
        </w:rPr>
        <w:t>non-GAAP financial measure. The Company computes EBITDAre in accordance with standards established by Nareit, which may not be comparable to EBITDAre reported by other REITs that do not compute EBITDAre in accordance with the Nareit definition, or that interpret the Nareit definition differently than the Company does. The White Paper on EBITDAre approved by the Board of Governors of Nareit in September 2017 defines EBITDAre as net income (loss) (computed in accordance with GAAP), plus interest expense, plus income tax expense, plus depreciation and amortization, plus (minus) losses and gains on the disposition of depreciated property, plus impairment write-downs of depreciated property and investments in unconsolidated joint ventures, plus adjustments to reflect the entity's share of EBITDAre of unconsolidated joint ventures.</w:t>
      </w:r>
    </w:p>
    <w:p>
      <w:pPr>
        <w:spacing w:after="0" w:line="40" w:lineRule="exact"/>
        <w:rPr>
          <w:sz w:val="20"/>
          <w:szCs w:val="20"/>
          <w:color w:val="auto"/>
        </w:rPr>
      </w:pPr>
    </w:p>
    <w:p>
      <w:pPr>
        <w:jc w:val="both"/>
        <w:ind w:right="20"/>
        <w:spacing w:after="0" w:line="291" w:lineRule="auto"/>
        <w:rPr>
          <w:sz w:val="20"/>
          <w:szCs w:val="20"/>
          <w:color w:val="auto"/>
        </w:rPr>
      </w:pPr>
      <w:r>
        <w:rPr>
          <w:rFonts w:ascii="Arial" w:cs="Arial" w:eastAsia="Arial" w:hAnsi="Arial"/>
          <w:sz w:val="10"/>
          <w:szCs w:val="10"/>
          <w:b w:val="1"/>
          <w:bCs w:val="1"/>
          <w:color w:val="auto"/>
        </w:rPr>
        <w:t xml:space="preserve">Economic Occupancy - </w:t>
      </w:r>
      <w:r>
        <w:rPr>
          <w:rFonts w:ascii="Arial" w:cs="Arial" w:eastAsia="Arial" w:hAnsi="Arial"/>
          <w:sz w:val="10"/>
          <w:szCs w:val="10"/>
          <w:color w:val="auto"/>
        </w:rPr>
        <w:t>Calculated based on the square footage on which revenue is being recognized for GAAP</w:t>
      </w:r>
      <w:r>
        <w:rPr>
          <w:rFonts w:ascii="Arial" w:cs="Arial" w:eastAsia="Arial" w:hAnsi="Arial"/>
          <w:sz w:val="10"/>
          <w:szCs w:val="10"/>
          <w:b w:val="1"/>
          <w:bCs w:val="1"/>
          <w:color w:val="auto"/>
        </w:rPr>
        <w:t xml:space="preserve"> </w:t>
      </w:r>
      <w:r>
        <w:rPr>
          <w:rFonts w:ascii="Arial" w:cs="Arial" w:eastAsia="Arial" w:hAnsi="Arial"/>
          <w:sz w:val="10"/>
          <w:szCs w:val="10"/>
          <w:color w:val="auto"/>
        </w:rPr>
        <w:t>purposes as of the reporting date, which may differ from the square footage on which cash rent is being collected.</w:t>
      </w:r>
    </w:p>
    <w:p>
      <w:pPr>
        <w:spacing w:after="0" w:line="144" w:lineRule="exact"/>
        <w:rPr>
          <w:sz w:val="20"/>
          <w:szCs w:val="20"/>
          <w:color w:val="auto"/>
        </w:rPr>
      </w:pPr>
    </w:p>
    <w:p>
      <w:pPr>
        <w:jc w:val="both"/>
        <w:ind w:right="20"/>
        <w:spacing w:after="0" w:line="291" w:lineRule="auto"/>
        <w:rPr>
          <w:sz w:val="20"/>
          <w:szCs w:val="20"/>
          <w:color w:val="auto"/>
        </w:rPr>
      </w:pPr>
      <w:r>
        <w:rPr>
          <w:rFonts w:ascii="Arial" w:cs="Arial" w:eastAsia="Arial" w:hAnsi="Arial"/>
          <w:sz w:val="10"/>
          <w:szCs w:val="10"/>
          <w:b w:val="1"/>
          <w:bCs w:val="1"/>
          <w:color w:val="auto"/>
        </w:rPr>
        <w:t xml:space="preserve">First generation TIs and LCs - </w:t>
      </w:r>
      <w:r>
        <w:rPr>
          <w:rFonts w:ascii="Arial" w:cs="Arial" w:eastAsia="Arial" w:hAnsi="Arial"/>
          <w:sz w:val="10"/>
          <w:szCs w:val="10"/>
          <w:color w:val="auto"/>
        </w:rPr>
        <w:t>Tenant improvements (TIs), leasing commissions (LCs), and other leasing costs</w:t>
      </w:r>
      <w:r>
        <w:rPr>
          <w:rFonts w:ascii="Arial" w:cs="Arial" w:eastAsia="Arial" w:hAnsi="Arial"/>
          <w:sz w:val="10"/>
          <w:szCs w:val="10"/>
          <w:b w:val="1"/>
          <w:bCs w:val="1"/>
          <w:color w:val="auto"/>
        </w:rPr>
        <w:t xml:space="preserve"> </w:t>
      </w:r>
      <w:r>
        <w:rPr>
          <w:rFonts w:ascii="Arial" w:cs="Arial" w:eastAsia="Arial" w:hAnsi="Arial"/>
          <w:sz w:val="10"/>
          <w:szCs w:val="10"/>
          <w:color w:val="auto"/>
        </w:rPr>
        <w:t>which are generally incurred during the first 4-5 years following acquisition of a property.</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Fixed charge - </w:t>
      </w:r>
      <w:r>
        <w:rPr>
          <w:rFonts w:ascii="Arial" w:cs="Arial" w:eastAsia="Arial" w:hAnsi="Arial"/>
          <w:sz w:val="10"/>
          <w:szCs w:val="10"/>
          <w:color w:val="auto"/>
        </w:rPr>
        <w:t>Total payments for interest, loan principal amortization, ground rent and preferred stock dividends.</w:t>
      </w:r>
    </w:p>
    <w:p>
      <w:pPr>
        <w:spacing w:after="0" w:line="72" w:lineRule="exact"/>
        <w:rPr>
          <w:sz w:val="20"/>
          <w:szCs w:val="20"/>
          <w:color w:val="auto"/>
        </w:rPr>
      </w:pPr>
    </w:p>
    <w:p>
      <w:pPr>
        <w:jc w:val="both"/>
        <w:ind w:right="20"/>
        <w:spacing w:after="0" w:line="289" w:lineRule="auto"/>
        <w:rPr>
          <w:sz w:val="20"/>
          <w:szCs w:val="20"/>
          <w:color w:val="auto"/>
        </w:rPr>
      </w:pPr>
      <w:r>
        <w:rPr>
          <w:rFonts w:ascii="Arial" w:cs="Arial" w:eastAsia="Arial" w:hAnsi="Arial"/>
          <w:sz w:val="10"/>
          <w:szCs w:val="10"/>
          <w:b w:val="1"/>
          <w:bCs w:val="1"/>
          <w:color w:val="auto"/>
        </w:rPr>
        <w:t xml:space="preserve">Fixed charge coverage </w:t>
      </w:r>
      <w:r>
        <w:rPr>
          <w:rFonts w:ascii="Arial" w:cs="Arial" w:eastAsia="Arial" w:hAnsi="Arial"/>
          <w:sz w:val="10"/>
          <w:szCs w:val="10"/>
          <w:color w:val="auto"/>
        </w:rPr>
        <w:t>- Operating Income adding back income taxes, loan loss reserves and the Company's</w:t>
      </w:r>
      <w:r>
        <w:rPr>
          <w:rFonts w:ascii="Arial" w:cs="Arial" w:eastAsia="Arial" w:hAnsi="Arial"/>
          <w:sz w:val="10"/>
          <w:szCs w:val="10"/>
          <w:b w:val="1"/>
          <w:bCs w:val="1"/>
          <w:color w:val="auto"/>
        </w:rPr>
        <w:t xml:space="preserve"> </w:t>
      </w:r>
      <w:r>
        <w:rPr>
          <w:rFonts w:ascii="Arial" w:cs="Arial" w:eastAsia="Arial" w:hAnsi="Arial"/>
          <w:sz w:val="10"/>
          <w:szCs w:val="10"/>
          <w:color w:val="auto"/>
        </w:rPr>
        <w:t>share of joint venture depreciation and amortization, divided by Fixed Charge. The calculation of fixed charge coverage for purposes of our credit facility covenants is governed by the terms of the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8" w:lineRule="auto"/>
        <w:rPr>
          <w:sz w:val="20"/>
          <w:szCs w:val="20"/>
          <w:color w:val="auto"/>
        </w:rPr>
      </w:pPr>
      <w:r>
        <w:rPr>
          <w:rFonts w:ascii="Arial" w:cs="Arial" w:eastAsia="Arial" w:hAnsi="Arial"/>
          <w:sz w:val="10"/>
          <w:szCs w:val="10"/>
          <w:b w:val="1"/>
          <w:bCs w:val="1"/>
          <w:color w:val="auto"/>
        </w:rPr>
        <w:t xml:space="preserve">Funds Available for Distribution (FAD) - </w:t>
      </w:r>
      <w:r>
        <w:rPr>
          <w:rFonts w:ascii="Arial" w:cs="Arial" w:eastAsia="Arial" w:hAnsi="Arial"/>
          <w:sz w:val="10"/>
          <w:szCs w:val="10"/>
          <w:color w:val="auto"/>
        </w:rPr>
        <w:t>FAD is a non-GAAP financial measure that is calculated as FFO plus</w:t>
      </w:r>
      <w:r>
        <w:rPr>
          <w:rFonts w:ascii="Arial" w:cs="Arial" w:eastAsia="Arial" w:hAnsi="Arial"/>
          <w:sz w:val="10"/>
          <w:szCs w:val="10"/>
          <w:b w:val="1"/>
          <w:bCs w:val="1"/>
          <w:color w:val="auto"/>
        </w:rPr>
        <w:t xml:space="preserve"> </w:t>
      </w:r>
      <w:r>
        <w:rPr>
          <w:rFonts w:ascii="Arial" w:cs="Arial" w:eastAsia="Arial" w:hAnsi="Arial"/>
          <w:sz w:val="10"/>
          <w:szCs w:val="10"/>
          <w:color w:val="auto"/>
        </w:rPr>
        <w:t>non-real estate depreciation, allowance for straight line credit loss, adjustment for straight line operating lease rent, non-cash deferred compensation, and pro-rata adjustments for these items from the Company's unconsolidated JVs, less straight line rental income, free rent net of amortization, second generation tenant improvement and leasing costs, and recurring capital expenditures.</w:t>
      </w:r>
    </w:p>
    <w:p>
      <w:pPr>
        <w:spacing w:after="0" w:line="32" w:lineRule="exact"/>
        <w:rPr>
          <w:sz w:val="20"/>
          <w:szCs w:val="20"/>
          <w:color w:val="auto"/>
        </w:rPr>
      </w:pPr>
    </w:p>
    <w:p>
      <w:pPr>
        <w:jc w:val="both"/>
        <w:spacing w:after="0" w:line="264" w:lineRule="auto"/>
        <w:rPr>
          <w:sz w:val="20"/>
          <w:szCs w:val="20"/>
          <w:color w:val="auto"/>
        </w:rPr>
      </w:pPr>
      <w:r>
        <w:rPr>
          <w:rFonts w:ascii="Arial" w:cs="Arial" w:eastAsia="Arial" w:hAnsi="Arial"/>
          <w:sz w:val="10"/>
          <w:szCs w:val="10"/>
          <w:b w:val="1"/>
          <w:bCs w:val="1"/>
          <w:color w:val="auto"/>
        </w:rPr>
        <w:t xml:space="preserve">Funds from Operations (FFO) - </w:t>
      </w:r>
      <w:r>
        <w:rPr>
          <w:rFonts w:ascii="Arial" w:cs="Arial" w:eastAsia="Arial" w:hAnsi="Arial"/>
          <w:sz w:val="10"/>
          <w:szCs w:val="10"/>
          <w:color w:val="auto"/>
        </w:rPr>
        <w:t>FFO is a widely recognized non-GAAP financial measure of REIT performance.</w:t>
      </w:r>
      <w:r>
        <w:rPr>
          <w:rFonts w:ascii="Arial" w:cs="Arial" w:eastAsia="Arial" w:hAnsi="Arial"/>
          <w:sz w:val="10"/>
          <w:szCs w:val="10"/>
          <w:b w:val="1"/>
          <w:bCs w:val="1"/>
          <w:color w:val="auto"/>
        </w:rPr>
        <w:t xml:space="preserve"> </w:t>
      </w:r>
      <w:r>
        <w:rPr>
          <w:rFonts w:ascii="Arial" w:cs="Arial" w:eastAsia="Arial" w:hAnsi="Arial"/>
          <w:sz w:val="10"/>
          <w:szCs w:val="10"/>
          <w:color w:val="auto"/>
        </w:rPr>
        <w:t>The Company computes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Generally Accepted Accounting Principles, or GAAP), excluding gains (or losses) from sales of properties, and real estate related impairment charges, plus real estate related depreciation and amortization and after adjustments for unconsolidated partnerships and joint ventures.</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Junior Mortgage Participations </w:t>
      </w:r>
      <w:r>
        <w:rPr>
          <w:rFonts w:ascii="Arial" w:cs="Arial" w:eastAsia="Arial" w:hAnsi="Arial"/>
          <w:sz w:val="10"/>
          <w:szCs w:val="10"/>
          <w:color w:val="auto"/>
        </w:rPr>
        <w:t>- Subordinate interests in first mortgages.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0"/>
          <w:szCs w:val="10"/>
          <w:b w:val="1"/>
          <w:bCs w:val="1"/>
          <w:color w:val="auto"/>
        </w:rPr>
        <w:t xml:space="preserve">Leased Occupancy - </w:t>
      </w:r>
      <w:r>
        <w:rPr>
          <w:rFonts w:ascii="Arial" w:cs="Arial" w:eastAsia="Arial" w:hAnsi="Arial"/>
          <w:sz w:val="10"/>
          <w:szCs w:val="10"/>
          <w:color w:val="auto"/>
        </w:rPr>
        <w:t>Calculated based on the square footage leased under executed leases as of the reporting</w:t>
      </w:r>
      <w:r>
        <w:rPr>
          <w:rFonts w:ascii="Arial" w:cs="Arial" w:eastAsia="Arial" w:hAnsi="Arial"/>
          <w:sz w:val="10"/>
          <w:szCs w:val="10"/>
          <w:b w:val="1"/>
          <w:bCs w:val="1"/>
          <w:color w:val="auto"/>
        </w:rPr>
        <w:t xml:space="preserve"> </w:t>
      </w:r>
      <w:r>
        <w:rPr>
          <w:rFonts w:ascii="Arial" w:cs="Arial" w:eastAsia="Arial" w:hAnsi="Arial"/>
          <w:sz w:val="10"/>
          <w:szCs w:val="10"/>
          <w:color w:val="auto"/>
        </w:rPr>
        <w:t>date, regardless of whether the leases have commenced or the tenants have taken possession.</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Mezzanine Debt </w:t>
      </w:r>
      <w:r>
        <w:rPr>
          <w:rFonts w:ascii="Arial" w:cs="Arial" w:eastAsia="Arial" w:hAnsi="Arial"/>
          <w:sz w:val="10"/>
          <w:szCs w:val="10"/>
          <w:color w:val="auto"/>
        </w:rPr>
        <w:t>- Loans secured by ownership interests in real estate.</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0"/>
          <w:szCs w:val="10"/>
          <w:b w:val="1"/>
          <w:bCs w:val="1"/>
          <w:color w:val="auto"/>
        </w:rPr>
        <w:t xml:space="preserve">Net Operating Income (NOI) and Cash NOI - </w:t>
      </w:r>
      <w:r>
        <w:rPr>
          <w:rFonts w:ascii="Arial" w:cs="Arial" w:eastAsia="Arial" w:hAnsi="Arial"/>
          <w:sz w:val="10"/>
          <w:szCs w:val="10"/>
          <w:color w:val="auto"/>
        </w:rPr>
        <w:t>NOI is a non-GAAP financial measure that is calculated as</w:t>
      </w:r>
      <w:r>
        <w:rPr>
          <w:rFonts w:ascii="Arial" w:cs="Arial" w:eastAsia="Arial" w:hAnsi="Arial"/>
          <w:sz w:val="10"/>
          <w:szCs w:val="10"/>
          <w:b w:val="1"/>
          <w:bCs w:val="1"/>
          <w:color w:val="auto"/>
        </w:rPr>
        <w:t xml:space="preserve"> </w:t>
      </w:r>
      <w:r>
        <w:rPr>
          <w:rFonts w:ascii="Arial" w:cs="Arial" w:eastAsia="Arial" w:hAnsi="Arial"/>
          <w:sz w:val="10"/>
          <w:szCs w:val="10"/>
          <w:color w:val="auto"/>
        </w:rPr>
        <w:t>operating income before transaction related costs, gains/losses on early extinguishment of debt, marketing general and administrative expenses and non-real estate revenue. Cash NOI is also a non-GAAP financial measure that is calculated by subtracting free rent (net of amortization), straight-line rent, and the amortization of acquired above and below-market leases from NOI, while adding operating lease straight-line adjustment and the allowance for straight-line tenant credit loss.</w:t>
      </w:r>
    </w:p>
    <w:p>
      <w:pPr>
        <w:spacing w:after="0" w:line="47" w:lineRule="exact"/>
        <w:rPr>
          <w:sz w:val="20"/>
          <w:szCs w:val="20"/>
          <w:color w:val="auto"/>
        </w:rPr>
      </w:pPr>
    </w:p>
    <w:p>
      <w:pPr>
        <w:jc w:val="both"/>
        <w:ind w:right="20"/>
        <w:spacing w:after="0" w:line="312" w:lineRule="auto"/>
        <w:rPr>
          <w:sz w:val="20"/>
          <w:szCs w:val="20"/>
          <w:color w:val="auto"/>
        </w:rPr>
      </w:pPr>
      <w:r>
        <w:rPr>
          <w:rFonts w:ascii="Arial" w:cs="Arial" w:eastAsia="Arial" w:hAnsi="Arial"/>
          <w:sz w:val="10"/>
          <w:szCs w:val="10"/>
          <w:b w:val="1"/>
          <w:bCs w:val="1"/>
          <w:color w:val="auto"/>
        </w:rPr>
        <w:t xml:space="preserve">Preferred Equity Investments </w:t>
      </w:r>
      <w:r>
        <w:rPr>
          <w:rFonts w:ascii="Arial" w:cs="Arial" w:eastAsia="Arial" w:hAnsi="Arial"/>
          <w:sz w:val="10"/>
          <w:szCs w:val="10"/>
          <w:color w:val="auto"/>
        </w:rPr>
        <w:t>- Equity investments that are senior to common equity and are entitled to</w:t>
      </w:r>
      <w:r>
        <w:rPr>
          <w:rFonts w:ascii="Arial" w:cs="Arial" w:eastAsia="Arial" w:hAnsi="Arial"/>
          <w:sz w:val="10"/>
          <w:szCs w:val="10"/>
          <w:b w:val="1"/>
          <w:bCs w:val="1"/>
          <w:color w:val="auto"/>
        </w:rPr>
        <w:t xml:space="preserve"> </w:t>
      </w:r>
      <w:r>
        <w:rPr>
          <w:rFonts w:ascii="Arial" w:cs="Arial" w:eastAsia="Arial" w:hAnsi="Arial"/>
          <w:sz w:val="10"/>
          <w:szCs w:val="10"/>
          <w:color w:val="auto"/>
        </w:rPr>
        <w:t>preferential returns.</w:t>
      </w:r>
    </w:p>
    <w:p>
      <w:pPr>
        <w:spacing w:after="0" w:line="16" w:lineRule="exact"/>
        <w:rPr>
          <w:sz w:val="20"/>
          <w:szCs w:val="20"/>
          <w:color w:val="auto"/>
        </w:rPr>
      </w:pPr>
    </w:p>
    <w:p>
      <w:pPr>
        <w:jc w:val="both"/>
        <w:spacing w:after="0" w:line="289" w:lineRule="auto"/>
        <w:rPr>
          <w:sz w:val="20"/>
          <w:szCs w:val="20"/>
          <w:color w:val="auto"/>
        </w:rPr>
      </w:pPr>
      <w:r>
        <w:rPr>
          <w:rFonts w:ascii="Arial" w:cs="Arial" w:eastAsia="Arial" w:hAnsi="Arial"/>
          <w:sz w:val="10"/>
          <w:szCs w:val="10"/>
          <w:b w:val="1"/>
          <w:bCs w:val="1"/>
          <w:color w:val="auto"/>
        </w:rPr>
        <w:t xml:space="preserve">Recurring capital expenditures </w:t>
      </w:r>
      <w:r>
        <w:rPr>
          <w:rFonts w:ascii="Arial" w:cs="Arial" w:eastAsia="Arial" w:hAnsi="Arial"/>
          <w:sz w:val="10"/>
          <w:szCs w:val="10"/>
          <w:color w:val="auto"/>
        </w:rPr>
        <w:t>- Building improvements and leasing costs required to maintain current revenues.</w:t>
      </w:r>
      <w:r>
        <w:rPr>
          <w:rFonts w:ascii="Arial" w:cs="Arial" w:eastAsia="Arial" w:hAnsi="Arial"/>
          <w:sz w:val="10"/>
          <w:szCs w:val="10"/>
          <w:b w:val="1"/>
          <w:bCs w:val="1"/>
          <w:color w:val="auto"/>
        </w:rPr>
        <w:t xml:space="preserve"> </w:t>
      </w:r>
      <w:r>
        <w:rPr>
          <w:rFonts w:ascii="Arial" w:cs="Arial" w:eastAsia="Arial" w:hAnsi="Arial"/>
          <w:sz w:val="10"/>
          <w:szCs w:val="10"/>
          <w:color w:val="auto"/>
        </w:rPr>
        <w:t>Recurring capital expenditures do not include building improvements that are incurred to bring a property up to “operating standards.”</w:t>
      </w:r>
    </w:p>
    <w:p>
      <w:pPr>
        <w:spacing w:after="0" w:line="27" w:lineRule="exact"/>
        <w:rPr>
          <w:sz w:val="20"/>
          <w:szCs w:val="20"/>
          <w:color w:val="auto"/>
        </w:rPr>
      </w:pPr>
    </w:p>
    <w:p>
      <w:pPr>
        <w:jc w:val="both"/>
        <w:spacing w:after="0" w:line="312" w:lineRule="auto"/>
        <w:rPr>
          <w:sz w:val="20"/>
          <w:szCs w:val="20"/>
          <w:color w:val="auto"/>
        </w:rPr>
      </w:pPr>
      <w:r>
        <w:rPr>
          <w:rFonts w:ascii="Arial" w:cs="Arial" w:eastAsia="Arial" w:hAnsi="Arial"/>
          <w:sz w:val="10"/>
          <w:szCs w:val="10"/>
          <w:b w:val="1"/>
          <w:bCs w:val="1"/>
          <w:color w:val="auto"/>
        </w:rPr>
        <w:t xml:space="preserve">Redevelopment costs </w:t>
      </w:r>
      <w:r>
        <w:rPr>
          <w:rFonts w:ascii="Arial" w:cs="Arial" w:eastAsia="Arial" w:hAnsi="Arial"/>
          <w:sz w:val="10"/>
          <w:szCs w:val="10"/>
          <w:color w:val="auto"/>
        </w:rPr>
        <w:t>- Non-recurring capital expenditures incurred to improve properties to the Company’s</w:t>
      </w:r>
      <w:r>
        <w:rPr>
          <w:rFonts w:ascii="Arial" w:cs="Arial" w:eastAsia="Arial" w:hAnsi="Arial"/>
          <w:sz w:val="10"/>
          <w:szCs w:val="10"/>
          <w:b w:val="1"/>
          <w:bCs w:val="1"/>
          <w:color w:val="auto"/>
        </w:rPr>
        <w:t xml:space="preserve"> </w:t>
      </w:r>
      <w:r>
        <w:rPr>
          <w:rFonts w:ascii="Arial" w:cs="Arial" w:eastAsia="Arial" w:hAnsi="Arial"/>
          <w:sz w:val="10"/>
          <w:szCs w:val="10"/>
          <w:color w:val="auto"/>
        </w:rPr>
        <w:t>operating standards.</w:t>
      </w:r>
    </w:p>
    <w:p>
      <w:pPr>
        <w:spacing w:after="0" w:line="16" w:lineRule="exact"/>
        <w:rPr>
          <w:sz w:val="20"/>
          <w:szCs w:val="20"/>
          <w:color w:val="auto"/>
        </w:rPr>
      </w:pPr>
    </w:p>
    <w:p>
      <w:pPr>
        <w:jc w:val="both"/>
        <w:ind w:right="20"/>
        <w:spacing w:after="0" w:line="312" w:lineRule="auto"/>
        <w:rPr>
          <w:sz w:val="20"/>
          <w:szCs w:val="20"/>
          <w:color w:val="auto"/>
        </w:rPr>
      </w:pPr>
      <w:r>
        <w:rPr>
          <w:rFonts w:ascii="Arial" w:cs="Arial" w:eastAsia="Arial" w:hAnsi="Arial"/>
          <w:sz w:val="10"/>
          <w:szCs w:val="10"/>
          <w:b w:val="1"/>
          <w:bCs w:val="1"/>
          <w:color w:val="auto"/>
        </w:rPr>
        <w:t xml:space="preserve">Rentable Square Footage - </w:t>
      </w:r>
      <w:r>
        <w:rPr>
          <w:rFonts w:ascii="Arial" w:cs="Arial" w:eastAsia="Arial" w:hAnsi="Arial"/>
          <w:sz w:val="10"/>
          <w:szCs w:val="10"/>
          <w:color w:val="auto"/>
        </w:rPr>
        <w:t>The total space designated as rentable under the in-place lease agreements and</w:t>
      </w:r>
      <w:r>
        <w:rPr>
          <w:rFonts w:ascii="Arial" w:cs="Arial" w:eastAsia="Arial" w:hAnsi="Arial"/>
          <w:sz w:val="10"/>
          <w:szCs w:val="10"/>
          <w:b w:val="1"/>
          <w:bCs w:val="1"/>
          <w:color w:val="auto"/>
        </w:rPr>
        <w:t xml:space="preserve"> </w:t>
      </w:r>
      <w:r>
        <w:rPr>
          <w:rFonts w:ascii="Arial" w:cs="Arial" w:eastAsia="Arial" w:hAnsi="Arial"/>
          <w:sz w:val="10"/>
          <w:szCs w:val="10"/>
          <w:color w:val="auto"/>
        </w:rPr>
        <w:t>vacant rentable space available to be leased.</w:t>
      </w:r>
    </w:p>
    <w:p>
      <w:pPr>
        <w:spacing w:after="0" w:line="26" w:lineRule="exact"/>
        <w:rPr>
          <w:sz w:val="20"/>
          <w:szCs w:val="20"/>
          <w:color w:val="auto"/>
        </w:rPr>
      </w:pPr>
    </w:p>
    <w:p>
      <w:pPr>
        <w:jc w:val="both"/>
        <w:spacing w:after="0" w:line="273" w:lineRule="auto"/>
        <w:rPr>
          <w:sz w:val="20"/>
          <w:szCs w:val="20"/>
          <w:color w:val="auto"/>
        </w:rPr>
      </w:pPr>
      <w:r>
        <w:rPr>
          <w:rFonts w:ascii="Arial" w:cs="Arial" w:eastAsia="Arial" w:hAnsi="Arial"/>
          <w:sz w:val="10"/>
          <w:szCs w:val="10"/>
          <w:b w:val="1"/>
          <w:bCs w:val="1"/>
          <w:color w:val="auto"/>
        </w:rPr>
        <w:t xml:space="preserve">Right of Use Assets / Lease Liabilities </w:t>
      </w:r>
      <w:r>
        <w:rPr>
          <w:rFonts w:ascii="Arial" w:cs="Arial" w:eastAsia="Arial" w:hAnsi="Arial"/>
          <w:sz w:val="10"/>
          <w:szCs w:val="10"/>
          <w:color w:val="auto"/>
        </w:rPr>
        <w:t>- Represents the right to control the use of leased property and the</w:t>
      </w:r>
      <w:r>
        <w:rPr>
          <w:rFonts w:ascii="Arial" w:cs="Arial" w:eastAsia="Arial" w:hAnsi="Arial"/>
          <w:sz w:val="10"/>
          <w:szCs w:val="10"/>
          <w:b w:val="1"/>
          <w:bCs w:val="1"/>
          <w:color w:val="auto"/>
        </w:rPr>
        <w:t xml:space="preserve"> </w:t>
      </w:r>
      <w:r>
        <w:rPr>
          <w:rFonts w:ascii="Arial" w:cs="Arial" w:eastAsia="Arial" w:hAnsi="Arial"/>
          <w:sz w:val="10"/>
          <w:szCs w:val="10"/>
          <w:color w:val="auto"/>
        </w:rPr>
        <w:t>corresponding obligation, both measured at inception as the present value of the lease payments. The asset and related liability are classified as either operating or financing based on the length and cost of the lease and whether the lease contains a purchase option or a transfer of ownership. Operating leases are expensed through operating lease rent while financing leases are expensed through amortization and interest expense.</w:t>
      </w:r>
    </w:p>
    <w:p>
      <w:pPr>
        <w:spacing w:after="0" w:line="200" w:lineRule="exact"/>
        <w:rPr>
          <w:sz w:val="20"/>
          <w:szCs w:val="20"/>
          <w:color w:val="auto"/>
        </w:rPr>
      </w:pPr>
    </w:p>
    <w:p>
      <w:pPr>
        <w:sectPr>
          <w:pgSz w:w="11900" w:h="16838" w:orient="portrait"/>
          <w:cols w:equalWidth="0" w:num="2">
            <w:col w:w="5360" w:space="460"/>
            <w:col w:w="5360"/>
          </w:cols>
          <w:pgMar w:left="300" w:top="304" w:right="419" w:bottom="1440" w:gutter="0" w:footer="0" w:header="0"/>
          <w:type w:val="continuous"/>
        </w:sectPr>
      </w:pPr>
    </w:p>
    <w:p>
      <w:pPr>
        <w:spacing w:after="0" w:line="124" w:lineRule="exact"/>
        <w:rPr>
          <w:sz w:val="20"/>
          <w:szCs w:val="20"/>
          <w:color w:val="auto"/>
        </w:rPr>
      </w:pPr>
    </w:p>
    <w:p>
      <w:pPr>
        <w:ind w:left="1120"/>
        <w:spacing w:after="0"/>
        <w:tabs>
          <w:tab w:leader="none" w:pos="5580" w:val="left"/>
          <w:tab w:leader="none" w:pos="94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4</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1180"/>
          </w:cols>
          <w:pgMar w:left="300" w:top="304" w:right="419" w:bottom="1440" w:gutter="0" w:footer="0" w:header="0"/>
          <w:type w:val="continuous"/>
        </w:sectPr>
      </w:pPr>
    </w:p>
    <w:bookmarkStart w:id="19" w:name="page20"/>
    <w:bookmarkEnd w:id="19"/>
    <w:p>
      <w:pPr>
        <w:ind w:left="1100"/>
        <w:spacing w:after="0"/>
        <w:rPr>
          <w:sz w:val="20"/>
          <w:szCs w:val="20"/>
          <w:color w:val="auto"/>
        </w:rPr>
      </w:pPr>
      <w:r>
        <w:rPr>
          <w:rFonts w:ascii="Arial" w:cs="Arial" w:eastAsia="Arial" w:hAnsi="Arial"/>
          <w:sz w:val="17"/>
          <w:szCs w:val="17"/>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371475</wp:posOffset>
            </wp:positionV>
            <wp:extent cx="577659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346075</wp:posOffset>
            </wp:positionV>
            <wp:extent cx="577659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-121285</wp:posOffset>
            </wp:positionV>
            <wp:extent cx="577659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-21590</wp:posOffset>
            </wp:positionV>
            <wp:extent cx="1136650" cy="324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4840"/>
        <w:spacing w:after="0" w:line="282" w:lineRule="auto"/>
        <w:rPr>
          <w:sz w:val="20"/>
          <w:szCs w:val="20"/>
          <w:color w:val="auto"/>
        </w:rPr>
      </w:pPr>
      <w:r>
        <w:rPr>
          <w:rFonts w:ascii="Arial" w:cs="Arial" w:eastAsia="Arial" w:hAnsi="Arial"/>
          <w:sz w:val="10"/>
          <w:szCs w:val="10"/>
          <w:b w:val="1"/>
          <w:bCs w:val="1"/>
          <w:color w:val="auto"/>
        </w:rPr>
        <w:t xml:space="preserve">Same-Store Properties (Same-Store) </w:t>
      </w:r>
      <w:r>
        <w:rPr>
          <w:rFonts w:ascii="Arial" w:cs="Arial" w:eastAsia="Arial" w:hAnsi="Arial"/>
          <w:sz w:val="10"/>
          <w:szCs w:val="10"/>
          <w:color w:val="auto"/>
        </w:rPr>
        <w:t>- Properties in service and operating during both the current and prior year</w:t>
      </w:r>
      <w:r>
        <w:rPr>
          <w:rFonts w:ascii="Arial" w:cs="Arial" w:eastAsia="Arial" w:hAnsi="Arial"/>
          <w:sz w:val="10"/>
          <w:szCs w:val="10"/>
          <w:b w:val="1"/>
          <w:bCs w:val="1"/>
          <w:color w:val="auto"/>
        </w:rPr>
        <w:t xml:space="preserve"> </w:t>
      </w:r>
      <w:r>
        <w:rPr>
          <w:rFonts w:ascii="Arial" w:cs="Arial" w:eastAsia="Arial" w:hAnsi="Arial"/>
          <w:sz w:val="10"/>
          <w:szCs w:val="10"/>
          <w:color w:val="auto"/>
        </w:rPr>
        <w:t>reporting periods that are located in Manhattan. Same-Store excludes development and redevelopment properties that are not stabilized for both the current and prior year and excludes properties sold. Changes to Same-Store properties in 2026 are as follows:</w:t>
      </w:r>
    </w:p>
    <w:p>
      <w:pPr>
        <w:sectPr>
          <w:pgSz w:w="11900" w:h="16838" w:orient="portrait"/>
          <w:cols w:equalWidth="0" w:num="1">
            <w:col w:w="10180"/>
          </w:cols>
          <w:pgMar w:left="300" w:top="304" w:right="1419" w:bottom="1440" w:gutter="0" w:footer="0" w:header="0"/>
        </w:sectPr>
      </w:pPr>
    </w:p>
    <w:p>
      <w:pPr>
        <w:spacing w:after="0" w:line="56" w:lineRule="exact"/>
        <w:rPr>
          <w:sz w:val="20"/>
          <w:szCs w:val="20"/>
          <w:color w:val="auto"/>
        </w:rPr>
      </w:pPr>
    </w:p>
    <w:p>
      <w:pPr>
        <w:ind w:left="400"/>
        <w:spacing w:after="0"/>
        <w:rPr>
          <w:sz w:val="20"/>
          <w:szCs w:val="20"/>
          <w:color w:val="auto"/>
        </w:rPr>
      </w:pPr>
      <w:r>
        <w:rPr>
          <w:rFonts w:ascii="Arial" w:cs="Arial" w:eastAsia="Arial" w:hAnsi="Arial"/>
          <w:sz w:val="7"/>
          <w:szCs w:val="7"/>
          <w:b w:val="1"/>
          <w:bCs w:val="1"/>
          <w:color w:val="auto"/>
        </w:rPr>
        <w:t>Added to Same-Store in 2026:</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7"/>
          <w:szCs w:val="7"/>
          <w:b w:val="1"/>
          <w:bCs w:val="1"/>
          <w:color w:val="auto"/>
        </w:rPr>
        <w:t>Removed from Same-Store in 2026:</w:t>
      </w:r>
    </w:p>
    <w:p>
      <w:pPr>
        <w:spacing w:after="0" w:line="40" w:lineRule="exact"/>
        <w:rPr>
          <w:sz w:val="20"/>
          <w:szCs w:val="20"/>
          <w:color w:val="auto"/>
        </w:rPr>
      </w:pPr>
    </w:p>
    <w:p>
      <w:pPr>
        <w:sectPr>
          <w:pgSz w:w="11900" w:h="16838" w:orient="portrait"/>
          <w:cols w:equalWidth="0" w:num="2">
            <w:col w:w="1960" w:space="720"/>
            <w:col w:w="7500"/>
          </w:cols>
          <w:pgMar w:left="300" w:top="304" w:right="1419" w:bottom="1440" w:gutter="0" w:footer="0" w:header="0"/>
          <w:type w:val="continuous"/>
        </w:sectPr>
      </w:pPr>
    </w:p>
    <w:p>
      <w:pPr>
        <w:ind w:left="400"/>
        <w:spacing w:after="0"/>
        <w:rPr>
          <w:sz w:val="20"/>
          <w:szCs w:val="20"/>
          <w:color w:val="auto"/>
        </w:rPr>
      </w:pPr>
      <w:r>
        <w:rPr>
          <w:rFonts w:ascii="Arial" w:cs="Arial" w:eastAsia="Arial" w:hAnsi="Arial"/>
          <w:sz w:val="7"/>
          <w:szCs w:val="7"/>
          <w:color w:val="auto"/>
        </w:rPr>
        <w:t>500 Park Avenue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None</w:t>
      </w:r>
    </w:p>
    <w:p>
      <w:pPr>
        <w:spacing w:after="0" w:line="26" w:lineRule="exact"/>
        <w:rPr>
          <w:sz w:val="20"/>
          <w:szCs w:val="20"/>
          <w:color w:val="auto"/>
        </w:rPr>
      </w:pPr>
    </w:p>
    <w:p>
      <w:pPr>
        <w:sectPr>
          <w:pgSz w:w="11900" w:h="16838" w:orient="portrait"/>
          <w:cols w:equalWidth="0" w:num="2">
            <w:col w:w="1960" w:space="720"/>
            <w:col w:w="7500"/>
          </w:cols>
          <w:pgMar w:left="300" w:top="304" w:right="1419" w:bottom="1440" w:gutter="0" w:footer="0" w:header="0"/>
          <w:type w:val="continuous"/>
        </w:sectPr>
      </w:pPr>
    </w:p>
    <w:p>
      <w:pPr>
        <w:ind w:left="400"/>
        <w:spacing w:after="0"/>
        <w:rPr>
          <w:sz w:val="20"/>
          <w:szCs w:val="20"/>
          <w:color w:val="auto"/>
        </w:rPr>
      </w:pPr>
      <w:r>
        <w:rPr>
          <w:rFonts w:ascii="Arial" w:cs="Arial" w:eastAsia="Arial" w:hAnsi="Arial"/>
          <w:sz w:val="7"/>
          <w:szCs w:val="7"/>
          <w:color w:val="auto"/>
        </w:rPr>
        <w:t>One Madison Avenue</w:t>
      </w:r>
    </w:p>
    <w:p>
      <w:pPr>
        <w:sectPr>
          <w:pgSz w:w="11900" w:h="16838" w:orient="portrait"/>
          <w:cols w:equalWidth="0" w:num="1">
            <w:col w:w="10180"/>
          </w:cols>
          <w:pgMar w:left="300" w:top="304" w:right="141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jc w:val="both"/>
        <w:ind w:right="4840"/>
        <w:spacing w:after="0" w:line="312" w:lineRule="auto"/>
        <w:rPr>
          <w:sz w:val="20"/>
          <w:szCs w:val="20"/>
          <w:color w:val="auto"/>
        </w:rPr>
      </w:pPr>
      <w:r>
        <w:rPr>
          <w:rFonts w:ascii="Arial" w:cs="Arial" w:eastAsia="Arial" w:hAnsi="Arial"/>
          <w:sz w:val="10"/>
          <w:szCs w:val="10"/>
          <w:b w:val="1"/>
          <w:bCs w:val="1"/>
          <w:color w:val="auto"/>
        </w:rPr>
        <w:t xml:space="preserve">Second generation TIs and LCs </w:t>
      </w:r>
      <w:r>
        <w:rPr>
          <w:rFonts w:ascii="Arial" w:cs="Arial" w:eastAsia="Arial" w:hAnsi="Arial"/>
          <w:sz w:val="10"/>
          <w:szCs w:val="10"/>
          <w:color w:val="auto"/>
        </w:rPr>
        <w:t>- Tenant improvements, leasing commissions, and other leasing costs that do not</w:t>
      </w:r>
      <w:r>
        <w:rPr>
          <w:rFonts w:ascii="Arial" w:cs="Arial" w:eastAsia="Arial" w:hAnsi="Arial"/>
          <w:sz w:val="10"/>
          <w:szCs w:val="10"/>
          <w:b w:val="1"/>
          <w:bCs w:val="1"/>
          <w:color w:val="auto"/>
        </w:rPr>
        <w:t xml:space="preserve"> </w:t>
      </w:r>
      <w:r>
        <w:rPr>
          <w:rFonts w:ascii="Arial" w:cs="Arial" w:eastAsia="Arial" w:hAnsi="Arial"/>
          <w:sz w:val="10"/>
          <w:szCs w:val="10"/>
          <w:color w:val="auto"/>
        </w:rPr>
        <w:t>meet the definition of first generation TIs and LCs.</w:t>
      </w:r>
    </w:p>
    <w:p>
      <w:pPr>
        <w:spacing w:after="0" w:line="26" w:lineRule="exact"/>
        <w:rPr>
          <w:sz w:val="20"/>
          <w:szCs w:val="20"/>
          <w:color w:val="auto"/>
        </w:rPr>
      </w:pPr>
    </w:p>
    <w:p>
      <w:pPr>
        <w:jc w:val="both"/>
        <w:ind w:right="4840"/>
        <w:spacing w:after="0" w:line="279" w:lineRule="auto"/>
        <w:rPr>
          <w:sz w:val="20"/>
          <w:szCs w:val="20"/>
          <w:color w:val="auto"/>
        </w:rPr>
      </w:pPr>
      <w:r>
        <w:rPr>
          <w:rFonts w:ascii="Arial" w:cs="Arial" w:eastAsia="Arial" w:hAnsi="Arial"/>
          <w:sz w:val="10"/>
          <w:szCs w:val="10"/>
          <w:b w:val="1"/>
          <w:bCs w:val="1"/>
          <w:color w:val="auto"/>
        </w:rPr>
        <w:t xml:space="preserve">SLG Interest </w:t>
      </w:r>
      <w:r>
        <w:rPr>
          <w:rFonts w:ascii="Arial" w:cs="Arial" w:eastAsia="Arial" w:hAnsi="Arial"/>
          <w:sz w:val="10"/>
          <w:szCs w:val="10"/>
          <w:color w:val="auto"/>
        </w:rPr>
        <w:t>- 'SLG Share' or 'Share of JV' is computed by multiplying the referenced line item by the Company's</w:t>
      </w:r>
      <w:r>
        <w:rPr>
          <w:rFonts w:ascii="Arial" w:cs="Arial" w:eastAsia="Arial" w:hAnsi="Arial"/>
          <w:sz w:val="10"/>
          <w:szCs w:val="10"/>
          <w:b w:val="1"/>
          <w:bCs w:val="1"/>
          <w:color w:val="auto"/>
        </w:rPr>
        <w:t xml:space="preserve"> </w:t>
      </w:r>
      <w:r>
        <w:rPr>
          <w:rFonts w:ascii="Arial" w:cs="Arial" w:eastAsia="Arial" w:hAnsi="Arial"/>
          <w:sz w:val="10"/>
          <w:szCs w:val="10"/>
          <w:color w:val="auto"/>
        </w:rPr>
        <w:t>percentage ownership or economic interest in the respective joint ventures and may not accurately depict the legal and/or economic implications of holding a non-controlling interest in the respective joint ventures.</w:t>
      </w:r>
    </w:p>
    <w:p>
      <w:pPr>
        <w:spacing w:after="0" w:line="42" w:lineRule="exact"/>
        <w:rPr>
          <w:sz w:val="20"/>
          <w:szCs w:val="20"/>
          <w:color w:val="auto"/>
        </w:rPr>
      </w:pPr>
    </w:p>
    <w:p>
      <w:pPr>
        <w:jc w:val="both"/>
        <w:ind w:right="4840"/>
        <w:spacing w:after="0" w:line="312" w:lineRule="auto"/>
        <w:rPr>
          <w:sz w:val="20"/>
          <w:szCs w:val="20"/>
          <w:color w:val="auto"/>
        </w:rPr>
      </w:pPr>
      <w:r>
        <w:rPr>
          <w:rFonts w:ascii="Arial" w:cs="Arial" w:eastAsia="Arial" w:hAnsi="Arial"/>
          <w:sz w:val="10"/>
          <w:szCs w:val="10"/>
          <w:b w:val="1"/>
          <w:bCs w:val="1"/>
          <w:color w:val="auto"/>
        </w:rPr>
        <w:t xml:space="preserve">Total square feet owned </w:t>
      </w:r>
      <w:r>
        <w:rPr>
          <w:rFonts w:ascii="Arial" w:cs="Arial" w:eastAsia="Arial" w:hAnsi="Arial"/>
          <w:sz w:val="10"/>
          <w:szCs w:val="10"/>
          <w:color w:val="auto"/>
        </w:rPr>
        <w:t>- The total square footage of properties either wholly owned by the Company or in which</w:t>
      </w:r>
      <w:r>
        <w:rPr>
          <w:rFonts w:ascii="Arial" w:cs="Arial" w:eastAsia="Arial" w:hAnsi="Arial"/>
          <w:sz w:val="10"/>
          <w:szCs w:val="10"/>
          <w:b w:val="1"/>
          <w:bCs w:val="1"/>
          <w:color w:val="auto"/>
        </w:rPr>
        <w:t xml:space="preserve"> </w:t>
      </w:r>
      <w:r>
        <w:rPr>
          <w:rFonts w:ascii="Arial" w:cs="Arial" w:eastAsia="Arial" w:hAnsi="Arial"/>
          <w:sz w:val="10"/>
          <w:szCs w:val="10"/>
          <w:color w:val="auto"/>
        </w:rPr>
        <w:t>the Company has a joint venture interest.</w:t>
      </w:r>
    </w:p>
    <w:p>
      <w:pPr>
        <w:spacing w:after="0" w:line="305" w:lineRule="exact"/>
        <w:rPr>
          <w:sz w:val="20"/>
          <w:szCs w:val="20"/>
          <w:color w:val="auto"/>
        </w:rPr>
      </w:pPr>
    </w:p>
    <w:p>
      <w:pPr>
        <w:jc w:val="right"/>
        <w:spacing w:after="0"/>
        <w:tabs>
          <w:tab w:leader="none" w:pos="4560" w:val="left"/>
          <w:tab w:leader="none" w:pos="74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5</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0180"/>
          </w:cols>
          <w:pgMar w:left="300" w:top="304" w:right="1419" w:bottom="1440" w:gutter="0" w:footer="0" w:header="0"/>
          <w:type w:val="continuous"/>
        </w:sectPr>
      </w:pPr>
    </w:p>
    <w:bookmarkStart w:id="20" w:name="page21"/>
    <w:bookmarkEnd w:id="20"/>
    <w:p>
      <w:pPr>
        <w:ind w:left="1120"/>
        <w:spacing w:after="0"/>
        <w:rPr>
          <w:sz w:val="20"/>
          <w:szCs w:val="20"/>
          <w:color w:val="auto"/>
        </w:rPr>
      </w:pPr>
      <w:r>
        <w:rPr>
          <w:rFonts w:ascii="Arial" w:cs="Arial" w:eastAsia="Arial" w:hAnsi="Arial"/>
          <w:sz w:val="16"/>
          <w:szCs w:val="16"/>
          <w:b w:val="1"/>
          <w:bCs w:val="1"/>
          <w:color w:val="auto"/>
        </w:rPr>
        <w:t>FIRST QUARTER 2026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-114300</wp:posOffset>
            </wp:positionV>
            <wp:extent cx="577088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-14605</wp:posOffset>
            </wp:positionV>
            <wp:extent cx="1136650" cy="324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175260</wp:posOffset>
            </wp:positionV>
            <wp:extent cx="577088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150495</wp:posOffset>
            </wp:positionV>
            <wp:extent cx="577088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ectPr>
          <w:pgSz w:w="11900" w:h="16838" w:orient="portrait"/>
          <w:cols w:equalWidth="0" w:num="1">
            <w:col w:w="11180"/>
          </w:cols>
          <w:pgMar w:left="300" w:top="304" w:right="41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NEW YORK, April 15, 2026 - SL Green Realty Corp. (the "Company") (NYSE: SLG) today reported a net loss attributable to common stockholders for the quarter ended March 31, 2026 of $84.4 million, or $1.20 per share, as compared to a net loss of $21.1 million, or $0.30 per share, for the same period in 2025.</w:t>
      </w:r>
    </w:p>
    <w:p>
      <w:pPr>
        <w:spacing w:after="0" w:line="8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The Company reported FFO for the quarter ended March 31, 2026 of $64.6 million or $0.84 per share, net of the write-off of $4.8 million, or $0.06 per share, of unamortized deferred financing costs and inclusive of $2.0 million, or $0.03 per share, of positive non-cash fair value adjustments on mark-to-market derivatives. The Company reported FFO of $106.5 million, or $1.40 per share, for the same period in 2025, which included $25.0 million, or $0.33 per share, of income related to the resolution of a commercial mortgage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Significant leasing activity in the first quarter includes:</w:t>
      </w:r>
    </w:p>
    <w:p>
      <w:pPr>
        <w:spacing w:after="0" w:line="137" w:lineRule="exact"/>
        <w:rPr>
          <w:sz w:val="20"/>
          <w:szCs w:val="20"/>
          <w:color w:val="auto"/>
        </w:rPr>
      </w:pPr>
    </w:p>
    <w:p>
      <w:pPr>
        <w:ind w:left="480" w:hanging="240"/>
        <w:spacing w:after="0"/>
        <w:tabs>
          <w:tab w:leader="none" w:pos="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New lease with Clay Labs, Inc. for 163,095 square feet at 11 Madison Avenue;</w:t>
      </w:r>
    </w:p>
    <w:p>
      <w:pPr>
        <w:spacing w:after="0" w:line="127" w:lineRule="exact"/>
        <w:rPr>
          <w:rFonts w:ascii="Arial" w:cs="Arial" w:eastAsia="Arial" w:hAnsi="Arial"/>
          <w:sz w:val="12"/>
          <w:szCs w:val="12"/>
          <w:color w:val="auto"/>
        </w:rPr>
      </w:pPr>
    </w:p>
    <w:p>
      <w:pPr>
        <w:ind w:left="480" w:hanging="240"/>
        <w:spacing w:after="0" w:line="271" w:lineRule="auto"/>
        <w:tabs>
          <w:tab w:leader="none" w:pos="474"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New lease with a large global investment firm for 150,036 square feet at 245 Park Avenue;</w:t>
      </w:r>
    </w:p>
    <w:p>
      <w:pPr>
        <w:spacing w:after="0" w:line="257" w:lineRule="exact"/>
        <w:rPr>
          <w:rFonts w:ascii="Arial" w:cs="Arial" w:eastAsia="Arial" w:hAnsi="Arial"/>
          <w:sz w:val="12"/>
          <w:szCs w:val="12"/>
          <w:color w:val="auto"/>
        </w:rPr>
      </w:pPr>
    </w:p>
    <w:p>
      <w:pPr>
        <w:ind w:left="480" w:hanging="240"/>
        <w:spacing w:after="0" w:line="303" w:lineRule="auto"/>
        <w:tabs>
          <w:tab w:leader="none" w:pos="474"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New expansion lease with Harvey AI Corporation for 92,663 square feet at One Madison Avenue;</w:t>
      </w:r>
    </w:p>
    <w:p>
      <w:pPr>
        <w:spacing w:after="0" w:line="64" w:lineRule="exact"/>
        <w:rPr>
          <w:rFonts w:ascii="Arial" w:cs="Arial" w:eastAsia="Arial" w:hAnsi="Arial"/>
          <w:sz w:val="12"/>
          <w:szCs w:val="12"/>
          <w:color w:val="auto"/>
        </w:rPr>
      </w:pPr>
    </w:p>
    <w:p>
      <w:pPr>
        <w:ind w:left="480" w:hanging="240"/>
        <w:spacing w:after="0"/>
        <w:tabs>
          <w:tab w:leader="none" w:pos="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New expansion lease with TD Securities for 51,081 square feet at 125 Park Avenue;</w:t>
      </w:r>
    </w:p>
    <w:p>
      <w:pPr>
        <w:spacing w:after="0" w:line="136" w:lineRule="exact"/>
        <w:rPr>
          <w:sz w:val="20"/>
          <w:szCs w:val="20"/>
          <w:color w:val="auto"/>
        </w:rPr>
      </w:pPr>
    </w:p>
    <w:p>
      <w:pPr>
        <w:sectPr>
          <w:pgSz w:w="11900" w:h="16838" w:orient="portrait"/>
          <w:cols w:equalWidth="0" w:num="2">
            <w:col w:w="5360" w:space="460"/>
            <w:col w:w="5360"/>
          </w:cols>
          <w:pgMar w:left="300" w:top="304" w:right="41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5700" w:type="dxa"/>
            <w:vAlign w:val="bottom"/>
            <w:gridSpan w:val="2"/>
            <w:vMerge w:val="restart"/>
          </w:tcPr>
          <w:p>
            <w:pPr>
              <w:spacing w:after="0"/>
              <w:rPr>
                <w:sz w:val="20"/>
                <w:szCs w:val="20"/>
                <w:color w:val="auto"/>
              </w:rPr>
            </w:pPr>
            <w:r>
              <w:rPr>
                <w:rFonts w:ascii="Arial" w:cs="Arial" w:eastAsia="Arial" w:hAnsi="Arial"/>
                <w:sz w:val="12"/>
                <w:szCs w:val="12"/>
                <w:color w:val="auto"/>
              </w:rPr>
              <w:t>All per share amounts are presented on a diluted basis.</w:t>
            </w:r>
          </w:p>
        </w:tc>
        <w:tc>
          <w:tcPr>
            <w:tcW w:w="5480" w:type="dxa"/>
            <w:vAlign w:val="bottom"/>
          </w:tcPr>
          <w:p>
            <w:pPr>
              <w:ind w:left="360"/>
              <w:spacing w:after="0"/>
              <w:rPr>
                <w:sz w:val="20"/>
                <w:szCs w:val="20"/>
                <w:color w:val="auto"/>
              </w:rPr>
            </w:pPr>
            <w:r>
              <w:rPr>
                <w:rFonts w:ascii="Arial" w:cs="Arial" w:eastAsia="Arial" w:hAnsi="Arial"/>
                <w:sz w:val="12"/>
                <w:szCs w:val="12"/>
                <w:color w:val="auto"/>
              </w:rPr>
              <w:t>•   New lease with Robinson &amp; Cole for 48,451 square feet at 100 Park Avenue;</w:t>
            </w:r>
          </w:p>
        </w:tc>
        <w:tc>
          <w:tcPr>
            <w:tcW w:w="0" w:type="dxa"/>
            <w:vAlign w:val="bottom"/>
          </w:tcPr>
          <w:p>
            <w:pPr>
              <w:spacing w:after="0"/>
              <w:rPr>
                <w:sz w:val="1"/>
                <w:szCs w:val="1"/>
                <w:color w:val="auto"/>
              </w:rPr>
            </w:pPr>
          </w:p>
        </w:tc>
      </w:tr>
      <w:tr>
        <w:trPr>
          <w:trHeight w:val="89"/>
        </w:trPr>
        <w:tc>
          <w:tcPr>
            <w:tcW w:w="5700" w:type="dxa"/>
            <w:vAlign w:val="bottom"/>
            <w:gridSpan w:val="2"/>
            <w:vMerge w:val="continue"/>
          </w:tcPr>
          <w:p>
            <w:pPr>
              <w:spacing w:after="0"/>
              <w:rPr>
                <w:sz w:val="7"/>
                <w:szCs w:val="7"/>
                <w:color w:val="auto"/>
              </w:rPr>
            </w:pPr>
          </w:p>
        </w:tc>
        <w:tc>
          <w:tcPr>
            <w:tcW w:w="5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tcPr>
          <w:p>
            <w:pPr>
              <w:spacing w:after="0"/>
              <w:rPr>
                <w:sz w:val="20"/>
                <w:szCs w:val="20"/>
                <w:color w:val="auto"/>
              </w:rPr>
            </w:pPr>
            <w:r>
              <w:rPr>
                <w:rFonts w:ascii="Arial" w:cs="Arial" w:eastAsia="Arial" w:hAnsi="Arial"/>
                <w:sz w:val="12"/>
                <w:szCs w:val="12"/>
                <w:b w:val="1"/>
                <w:bCs w:val="1"/>
                <w:color w:val="auto"/>
              </w:rPr>
              <w:t>Operating and Leasing Activity</w:t>
            </w:r>
          </w:p>
        </w:tc>
        <w:tc>
          <w:tcPr>
            <w:tcW w:w="3860" w:type="dxa"/>
            <w:vAlign w:val="bottom"/>
            <w:vMerge w:val="restart"/>
          </w:tcPr>
          <w:p>
            <w:pPr>
              <w:spacing w:after="0"/>
              <w:rPr>
                <w:sz w:val="13"/>
                <w:szCs w:val="13"/>
                <w:color w:val="auto"/>
              </w:rPr>
            </w:pPr>
          </w:p>
        </w:tc>
        <w:tc>
          <w:tcPr>
            <w:tcW w:w="5480" w:type="dxa"/>
            <w:vAlign w:val="bottom"/>
          </w:tcPr>
          <w:p>
            <w:pPr>
              <w:ind w:left="360"/>
              <w:spacing w:after="0"/>
              <w:rPr>
                <w:sz w:val="20"/>
                <w:szCs w:val="20"/>
                <w:color w:val="auto"/>
              </w:rPr>
            </w:pPr>
            <w:r>
              <w:rPr>
                <w:rFonts w:ascii="Arial" w:cs="Arial" w:eastAsia="Arial" w:hAnsi="Arial"/>
                <w:sz w:val="12"/>
                <w:szCs w:val="12"/>
                <w:color w:val="auto"/>
              </w:rPr>
              <w:t>•   New lease with One Main General Services Corp for 38,037 square feet at 1185 Avenue</w:t>
            </w:r>
          </w:p>
        </w:tc>
        <w:tc>
          <w:tcPr>
            <w:tcW w:w="0" w:type="dxa"/>
            <w:vAlign w:val="bottom"/>
          </w:tcPr>
          <w:p>
            <w:pPr>
              <w:spacing w:after="0"/>
              <w:rPr>
                <w:sz w:val="1"/>
                <w:szCs w:val="1"/>
                <w:color w:val="auto"/>
              </w:rPr>
            </w:pPr>
          </w:p>
        </w:tc>
      </w:tr>
      <w:tr>
        <w:trPr>
          <w:trHeight w:val="81"/>
        </w:trPr>
        <w:tc>
          <w:tcPr>
            <w:tcW w:w="1840" w:type="dxa"/>
            <w:vAlign w:val="bottom"/>
            <w:tcBorders>
              <w:bottom w:val="single" w:sz="8" w:color="auto"/>
            </w:tcBorders>
            <w:vMerge w:val="continue"/>
          </w:tcPr>
          <w:p>
            <w:pPr>
              <w:spacing w:after="0"/>
              <w:rPr>
                <w:sz w:val="6"/>
                <w:szCs w:val="6"/>
                <w:color w:val="auto"/>
              </w:rPr>
            </w:pPr>
          </w:p>
        </w:tc>
        <w:tc>
          <w:tcPr>
            <w:tcW w:w="3860" w:type="dxa"/>
            <w:vAlign w:val="bottom"/>
            <w:vMerge w:val="continue"/>
          </w:tcPr>
          <w:p>
            <w:pPr>
              <w:spacing w:after="0"/>
              <w:rPr>
                <w:sz w:val="6"/>
                <w:szCs w:val="6"/>
                <w:color w:val="auto"/>
              </w:rPr>
            </w:pPr>
          </w:p>
        </w:tc>
        <w:tc>
          <w:tcPr>
            <w:tcW w:w="5480" w:type="dxa"/>
            <w:vAlign w:val="bottom"/>
            <w:vMerge w:val="restart"/>
          </w:tcPr>
          <w:p>
            <w:pPr>
              <w:ind w:left="600"/>
              <w:spacing w:after="0"/>
              <w:rPr>
                <w:sz w:val="20"/>
                <w:szCs w:val="20"/>
                <w:color w:val="auto"/>
              </w:rPr>
            </w:pPr>
            <w:r>
              <w:rPr>
                <w:rFonts w:ascii="Arial" w:cs="Arial" w:eastAsia="Arial" w:hAnsi="Arial"/>
                <w:sz w:val="12"/>
                <w:szCs w:val="12"/>
                <w:color w:val="auto"/>
              </w:rPr>
              <w:t>of the Americas;</w:t>
            </w:r>
          </w:p>
        </w:tc>
        <w:tc>
          <w:tcPr>
            <w:tcW w:w="0" w:type="dxa"/>
            <w:vAlign w:val="bottom"/>
          </w:tcPr>
          <w:p>
            <w:pPr>
              <w:spacing w:after="0"/>
              <w:rPr>
                <w:sz w:val="1"/>
                <w:szCs w:val="1"/>
                <w:color w:val="auto"/>
              </w:rPr>
            </w:pPr>
          </w:p>
        </w:tc>
      </w:tr>
      <w:tr>
        <w:trPr>
          <w:trHeight w:val="69"/>
        </w:trPr>
        <w:tc>
          <w:tcPr>
            <w:tcW w:w="5700" w:type="dxa"/>
            <w:vAlign w:val="bottom"/>
            <w:gridSpan w:val="2"/>
            <w:vMerge w:val="restart"/>
          </w:tcPr>
          <w:p>
            <w:pPr>
              <w:spacing w:after="0"/>
              <w:rPr>
                <w:sz w:val="20"/>
                <w:szCs w:val="20"/>
                <w:color w:val="auto"/>
              </w:rPr>
            </w:pPr>
            <w:r>
              <w:rPr>
                <w:rFonts w:ascii="Arial" w:cs="Arial" w:eastAsia="Arial" w:hAnsi="Arial"/>
                <w:sz w:val="12"/>
                <w:szCs w:val="12"/>
                <w:color w:val="auto"/>
              </w:rPr>
              <w:t>Manhattan same-store cash NOI, including the Company's share of same-store cash NOI from</w:t>
            </w:r>
          </w:p>
        </w:tc>
        <w:tc>
          <w:tcPr>
            <w:tcW w:w="5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5700" w:type="dxa"/>
            <w:vAlign w:val="bottom"/>
            <w:gridSpan w:val="2"/>
            <w:vMerge w:val="continue"/>
          </w:tcPr>
          <w:p>
            <w:pPr>
              <w:spacing w:after="0"/>
              <w:rPr>
                <w:sz w:val="17"/>
                <w:szCs w:val="17"/>
                <w:color w:val="auto"/>
              </w:rPr>
            </w:pPr>
          </w:p>
        </w:tc>
        <w:tc>
          <w:tcPr>
            <w:tcW w:w="5480" w:type="dxa"/>
            <w:vAlign w:val="bottom"/>
            <w:vMerge w:val="restart"/>
          </w:tcPr>
          <w:p>
            <w:pPr>
              <w:ind w:left="360"/>
              <w:spacing w:after="0"/>
              <w:rPr>
                <w:sz w:val="20"/>
                <w:szCs w:val="20"/>
                <w:color w:val="auto"/>
              </w:rPr>
            </w:pPr>
            <w:r>
              <w:rPr>
                <w:rFonts w:ascii="Arial" w:cs="Arial" w:eastAsia="Arial" w:hAnsi="Arial"/>
                <w:sz w:val="12"/>
                <w:szCs w:val="12"/>
                <w:color w:val="auto"/>
              </w:rPr>
              <w:t>•   New expansion lease with McDermott, Will &amp; Schulte for 29,734 square feet at One</w:t>
            </w:r>
          </w:p>
        </w:tc>
        <w:tc>
          <w:tcPr>
            <w:tcW w:w="0" w:type="dxa"/>
            <w:vAlign w:val="bottom"/>
          </w:tcPr>
          <w:p>
            <w:pPr>
              <w:spacing w:after="0"/>
              <w:rPr>
                <w:sz w:val="1"/>
                <w:szCs w:val="1"/>
                <w:color w:val="auto"/>
              </w:rPr>
            </w:pPr>
          </w:p>
        </w:tc>
      </w:tr>
      <w:tr>
        <w:trPr>
          <w:trHeight w:val="49"/>
        </w:trPr>
        <w:tc>
          <w:tcPr>
            <w:tcW w:w="5700" w:type="dxa"/>
            <w:vAlign w:val="bottom"/>
            <w:gridSpan w:val="2"/>
            <w:vMerge w:val="restart"/>
          </w:tcPr>
          <w:p>
            <w:pPr>
              <w:spacing w:after="0"/>
              <w:rPr>
                <w:sz w:val="20"/>
                <w:szCs w:val="20"/>
                <w:color w:val="auto"/>
              </w:rPr>
            </w:pPr>
            <w:r>
              <w:rPr>
                <w:rFonts w:ascii="Arial" w:cs="Arial" w:eastAsia="Arial" w:hAnsi="Arial"/>
                <w:sz w:val="12"/>
                <w:szCs w:val="12"/>
                <w:color w:val="auto"/>
              </w:rPr>
              <w:t>unconsolidated joint ventures, increased by 2.6% for the first quarter of 2026, excluding lease</w:t>
            </w:r>
          </w:p>
        </w:tc>
        <w:tc>
          <w:tcPr>
            <w:tcW w:w="5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5700" w:type="dxa"/>
            <w:vAlign w:val="bottom"/>
            <w:gridSpan w:val="2"/>
            <w:vMerge w:val="continue"/>
          </w:tcPr>
          <w:p>
            <w:pPr>
              <w:spacing w:after="0"/>
              <w:rPr>
                <w:sz w:val="8"/>
                <w:szCs w:val="8"/>
                <w:color w:val="auto"/>
              </w:rPr>
            </w:pPr>
          </w:p>
        </w:tc>
        <w:tc>
          <w:tcPr>
            <w:tcW w:w="5480" w:type="dxa"/>
            <w:vAlign w:val="bottom"/>
            <w:vMerge w:val="restart"/>
          </w:tcPr>
          <w:p>
            <w:pPr>
              <w:ind w:left="600"/>
              <w:spacing w:after="0"/>
              <w:rPr>
                <w:sz w:val="20"/>
                <w:szCs w:val="20"/>
                <w:color w:val="auto"/>
              </w:rPr>
            </w:pPr>
            <w:r>
              <w:rPr>
                <w:rFonts w:ascii="Arial" w:cs="Arial" w:eastAsia="Arial" w:hAnsi="Arial"/>
                <w:sz w:val="12"/>
                <w:szCs w:val="12"/>
                <w:color w:val="auto"/>
              </w:rPr>
              <w:t>Vanderbilt Avenue.</w:t>
            </w:r>
          </w:p>
        </w:tc>
        <w:tc>
          <w:tcPr>
            <w:tcW w:w="0" w:type="dxa"/>
            <w:vAlign w:val="bottom"/>
          </w:tcPr>
          <w:p>
            <w:pPr>
              <w:spacing w:after="0"/>
              <w:rPr>
                <w:sz w:val="1"/>
                <w:szCs w:val="1"/>
                <w:color w:val="auto"/>
              </w:rPr>
            </w:pPr>
          </w:p>
        </w:tc>
      </w:tr>
      <w:tr>
        <w:trPr>
          <w:trHeight w:val="66"/>
        </w:trPr>
        <w:tc>
          <w:tcPr>
            <w:tcW w:w="5700" w:type="dxa"/>
            <w:vAlign w:val="bottom"/>
            <w:gridSpan w:val="2"/>
            <w:vMerge w:val="restart"/>
          </w:tcPr>
          <w:p>
            <w:pPr>
              <w:spacing w:after="0"/>
              <w:rPr>
                <w:sz w:val="20"/>
                <w:szCs w:val="20"/>
                <w:color w:val="auto"/>
              </w:rPr>
            </w:pPr>
            <w:r>
              <w:rPr>
                <w:rFonts w:ascii="Arial" w:cs="Arial" w:eastAsia="Arial" w:hAnsi="Arial"/>
                <w:sz w:val="12"/>
                <w:szCs w:val="12"/>
                <w:color w:val="auto"/>
              </w:rPr>
              <w:t>termination income, as compared to the same period in 2025.</w:t>
            </w:r>
          </w:p>
        </w:tc>
        <w:tc>
          <w:tcPr>
            <w:tcW w:w="5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5700" w:type="dxa"/>
            <w:vAlign w:val="bottom"/>
            <w:gridSpan w:val="2"/>
            <w:vMerge w:val="continue"/>
          </w:tcPr>
          <w:p>
            <w:pPr>
              <w:spacing w:after="0"/>
              <w:rPr>
                <w:sz w:val="8"/>
                <w:szCs w:val="8"/>
                <w:color w:val="auto"/>
              </w:rPr>
            </w:pPr>
          </w:p>
        </w:tc>
        <w:tc>
          <w:tcPr>
            <w:tcW w:w="5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180"/>
          </w:cols>
          <w:pgMar w:left="300" w:top="304" w:right="419" w:bottom="1440" w:gutter="0" w:footer="0" w:header="0"/>
          <w:type w:val="continuous"/>
        </w:sectPr>
      </w:pP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During the first quarter of 2026, the Company signed 51 office leases in its Manhattan office portfolio totaling 929,264 square feet. The average rent on the Manhattan office leases signed in the first quarter of 2026 was $105.12 per rentable square foot, the highest average starting rent for leases signed in any one quarter in the Company’s history, with an average lease term of 9.8 years and average tenant concessions of 10.9 months of free rent with a tenant improvement allowance of $107.76 per rentable square foot. Thirty-four leases comprising 666,790 square feet, representing office leases on space that had been occupied within the prior twelve months, are considered replacement leases on which mark-to-market is calculated. Those replacement leases had average starting rents of $114.75 per rentable square foot, representing a 16.1% increase over the previous fully escalated rents on the same office spaces.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Occupancy in the Company's Manhattan same-store office portfolio increased to 94.4% as of March 31, 2026, inclusive of leases signed but not yet commenced, as compared to 93.0% at the end of the previous quarter. The Company expects to increase Manhattan same-store office occupancy, inclusive of leases signed but not yet commenced, to 95.0% by December 31,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auto"/>
        </w:rPr>
        <w:t>Investment Activity</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March, the Company entered into a contract to sell the residential and retail components of 7 Dey Street for total consideration of $222.6 million. The transaction is expected to close in the second quarter of 2026, subject to customary closing conditions. The Company will retain ownership of the 26,000 square foot office condominium.</w:t>
      </w:r>
    </w:p>
    <w:p>
      <w:pPr>
        <w:spacing w:after="0" w:line="92"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In February, together with our joint venture partner, the Company closed on the sale of 690 Madison Avenue for $54.5 million. The transaction generated cash proceeds to the Company of $48.5 million.</w:t>
      </w:r>
    </w:p>
    <w:p>
      <w:pPr>
        <w:spacing w:after="0" w:line="1193" w:lineRule="exact"/>
        <w:rPr>
          <w:sz w:val="20"/>
          <w:szCs w:val="20"/>
          <w:color w:val="auto"/>
        </w:rPr>
      </w:pPr>
    </w:p>
    <w:p>
      <w:pPr>
        <w:sectPr>
          <w:pgSz w:w="11900" w:h="16838" w:orient="portrait"/>
          <w:cols w:equalWidth="0" w:num="2">
            <w:col w:w="5340" w:space="480"/>
            <w:col w:w="5360"/>
          </w:cols>
          <w:pgMar w:left="300" w:top="304" w:right="419" w:bottom="1440" w:gutter="0" w:footer="0" w:header="0"/>
          <w:type w:val="continuous"/>
        </w:sectPr>
      </w:pPr>
    </w:p>
    <w:p>
      <w:pPr>
        <w:spacing w:after="0" w:line="182" w:lineRule="exact"/>
        <w:rPr>
          <w:sz w:val="20"/>
          <w:szCs w:val="20"/>
          <w:color w:val="auto"/>
        </w:rPr>
      </w:pPr>
    </w:p>
    <w:p>
      <w:pPr>
        <w:ind w:left="1120"/>
        <w:spacing w:after="0"/>
        <w:tabs>
          <w:tab w:leader="none" w:pos="5580" w:val="left"/>
          <w:tab w:leader="none" w:pos="94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6</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1180"/>
          </w:cols>
          <w:pgMar w:left="300" w:top="304" w:right="419" w:bottom="1440" w:gutter="0" w:footer="0" w:header="0"/>
          <w:type w:val="continuous"/>
        </w:sectPr>
      </w:pPr>
    </w:p>
    <w:bookmarkStart w:id="21" w:name="page22"/>
    <w:bookmarkEnd w:id="21"/>
    <w:p>
      <w:pPr>
        <w:ind w:left="1120"/>
        <w:spacing w:after="0"/>
        <w:rPr>
          <w:sz w:val="20"/>
          <w:szCs w:val="20"/>
          <w:color w:val="auto"/>
        </w:rPr>
      </w:pPr>
      <w:r>
        <w:rPr>
          <w:rFonts w:ascii="Arial" w:cs="Arial" w:eastAsia="Arial" w:hAnsi="Arial"/>
          <w:sz w:val="17"/>
          <w:szCs w:val="17"/>
          <w:b w:val="1"/>
          <w:bCs w:val="1"/>
          <w:color w:val="auto"/>
        </w:rPr>
        <w:t>FIRST QUARTER 2026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-121285</wp:posOffset>
            </wp:positionV>
            <wp:extent cx="577088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-21590</wp:posOffset>
            </wp:positionV>
            <wp:extent cx="1136650" cy="324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9"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175260</wp:posOffset>
            </wp:positionV>
            <wp:extent cx="577088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150495</wp:posOffset>
            </wp:positionV>
            <wp:extent cx="577088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Financing Activity</w:t>
            </w: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360" w:type="dxa"/>
            <w:vAlign w:val="bottom"/>
            <w:gridSpan w:val="3"/>
          </w:tcPr>
          <w:p>
            <w:pPr>
              <w:ind w:left="480"/>
              <w:spacing w:after="0"/>
              <w:rPr>
                <w:sz w:val="20"/>
                <w:szCs w:val="20"/>
                <w:color w:val="auto"/>
              </w:rPr>
            </w:pPr>
            <w:r>
              <w:rPr>
                <w:rFonts w:ascii="Arial" w:cs="Arial" w:eastAsia="Arial" w:hAnsi="Arial"/>
                <w:sz w:val="12"/>
                <w:szCs w:val="12"/>
                <w:color w:val="auto"/>
              </w:rPr>
              <w:t>January 15, 2026 through and including April 14, 2026, which was paid in cash on April</w:t>
            </w:r>
          </w:p>
        </w:tc>
        <w:tc>
          <w:tcPr>
            <w:tcW w:w="0" w:type="dxa"/>
            <w:vAlign w:val="bottom"/>
          </w:tcPr>
          <w:p>
            <w:pPr>
              <w:spacing w:after="0"/>
              <w:rPr>
                <w:sz w:val="1"/>
                <w:szCs w:val="1"/>
                <w:color w:val="auto"/>
              </w:rPr>
            </w:pPr>
          </w:p>
        </w:tc>
      </w:tr>
      <w:tr>
        <w:trPr>
          <w:trHeight w:val="168"/>
        </w:trPr>
        <w:tc>
          <w:tcPr>
            <w:tcW w:w="5480" w:type="dxa"/>
            <w:vAlign w:val="bottom"/>
            <w:gridSpan w:val="3"/>
            <w:vMerge w:val="restart"/>
          </w:tcPr>
          <w:p>
            <w:pPr>
              <w:spacing w:after="0"/>
              <w:rPr>
                <w:sz w:val="20"/>
                <w:szCs w:val="20"/>
                <w:color w:val="auto"/>
              </w:rPr>
            </w:pPr>
            <w:r>
              <w:rPr>
                <w:rFonts w:ascii="Arial" w:cs="Arial" w:eastAsia="Arial" w:hAnsi="Arial"/>
                <w:sz w:val="12"/>
                <w:szCs w:val="12"/>
                <w:color w:val="auto"/>
              </w:rPr>
              <w:t>In March, together with our joint venture partners, the Company completed a $1.65 billion, five-</w:t>
            </w:r>
          </w:p>
        </w:tc>
        <w:tc>
          <w:tcPr>
            <w:tcW w:w="340" w:type="dxa"/>
            <w:vAlign w:val="bottom"/>
          </w:tcPr>
          <w:p>
            <w:pPr>
              <w:spacing w:after="0"/>
              <w:rPr>
                <w:sz w:val="14"/>
                <w:szCs w:val="14"/>
                <w:color w:val="auto"/>
              </w:rPr>
            </w:pPr>
          </w:p>
        </w:tc>
        <w:tc>
          <w:tcPr>
            <w:tcW w:w="5360" w:type="dxa"/>
            <w:vAlign w:val="bottom"/>
            <w:gridSpan w:val="3"/>
          </w:tcPr>
          <w:p>
            <w:pPr>
              <w:ind w:left="480"/>
              <w:spacing w:after="0"/>
              <w:rPr>
                <w:sz w:val="20"/>
                <w:szCs w:val="20"/>
                <w:color w:val="auto"/>
              </w:rPr>
            </w:pPr>
            <w:r>
              <w:rPr>
                <w:rFonts w:ascii="Arial" w:cs="Arial" w:eastAsia="Arial" w:hAnsi="Arial"/>
                <w:sz w:val="12"/>
                <w:szCs w:val="12"/>
                <w:color w:val="auto"/>
              </w:rPr>
              <w:t>15, 2026, and is the equivalent of an annualized dividend of $1.625 per share.</w:t>
            </w:r>
          </w:p>
        </w:tc>
        <w:tc>
          <w:tcPr>
            <w:tcW w:w="0" w:type="dxa"/>
            <w:vAlign w:val="bottom"/>
          </w:tcPr>
          <w:p>
            <w:pPr>
              <w:spacing w:after="0"/>
              <w:rPr>
                <w:sz w:val="1"/>
                <w:szCs w:val="1"/>
                <w:color w:val="auto"/>
              </w:rPr>
            </w:pPr>
          </w:p>
        </w:tc>
      </w:tr>
      <w:tr>
        <w:trPr>
          <w:trHeight w:val="81"/>
        </w:trPr>
        <w:tc>
          <w:tcPr>
            <w:tcW w:w="5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5480" w:type="dxa"/>
            <w:vAlign w:val="bottom"/>
            <w:gridSpan w:val="3"/>
          </w:tcPr>
          <w:p>
            <w:pPr>
              <w:spacing w:after="0"/>
              <w:rPr>
                <w:sz w:val="20"/>
                <w:szCs w:val="20"/>
                <w:color w:val="auto"/>
              </w:rPr>
            </w:pPr>
            <w:r>
              <w:rPr>
                <w:rFonts w:ascii="Arial" w:cs="Arial" w:eastAsia="Arial" w:hAnsi="Arial"/>
                <w:sz w:val="12"/>
                <w:szCs w:val="12"/>
                <w:color w:val="auto"/>
              </w:rPr>
              <w:t>year, fixed-rate refinancing of One Madison Avenue. The single asset, single borrower (SASB)</w:t>
            </w:r>
          </w:p>
        </w:tc>
        <w:tc>
          <w:tcPr>
            <w:tcW w:w="340" w:type="dxa"/>
            <w:vAlign w:val="bottom"/>
          </w:tcPr>
          <w:p>
            <w:pPr>
              <w:spacing w:after="0"/>
              <w:rPr>
                <w:sz w:val="13"/>
                <w:szCs w:val="13"/>
                <w:color w:val="auto"/>
              </w:rPr>
            </w:pPr>
          </w:p>
        </w:tc>
        <w:tc>
          <w:tcPr>
            <w:tcW w:w="2640" w:type="dxa"/>
            <w:vAlign w:val="bottom"/>
            <w:gridSpan w:val="2"/>
          </w:tcPr>
          <w:p>
            <w:pPr>
              <w:spacing w:after="0"/>
              <w:rPr>
                <w:sz w:val="20"/>
                <w:szCs w:val="20"/>
                <w:color w:val="auto"/>
              </w:rPr>
            </w:pPr>
            <w:r>
              <w:rPr>
                <w:rFonts w:ascii="Arial" w:cs="Arial" w:eastAsia="Arial" w:hAnsi="Arial"/>
                <w:sz w:val="12"/>
                <w:szCs w:val="12"/>
                <w:b w:val="1"/>
                <w:bCs w:val="1"/>
                <w:color w:val="auto"/>
              </w:rPr>
              <w:t>Conference Call and Audio Webcast</w:t>
            </w: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480" w:type="dxa"/>
            <w:vAlign w:val="bottom"/>
            <w:gridSpan w:val="3"/>
          </w:tcPr>
          <w:p>
            <w:pPr>
              <w:spacing w:after="0" w:line="111" w:lineRule="exact"/>
              <w:rPr>
                <w:sz w:val="20"/>
                <w:szCs w:val="20"/>
                <w:color w:val="auto"/>
              </w:rPr>
            </w:pPr>
            <w:r>
              <w:rPr>
                <w:rFonts w:ascii="Arial" w:cs="Arial" w:eastAsia="Arial" w:hAnsi="Arial"/>
                <w:sz w:val="12"/>
                <w:szCs w:val="12"/>
                <w:color w:val="auto"/>
              </w:rPr>
              <w:t>CMBS execution was priced at a spread of 181 basis points above the US treasury index,</w:t>
            </w:r>
          </w:p>
        </w:tc>
        <w:tc>
          <w:tcPr>
            <w:tcW w:w="340" w:type="dxa"/>
            <w:vAlign w:val="bottom"/>
          </w:tcPr>
          <w:p>
            <w:pPr>
              <w:spacing w:after="0"/>
              <w:rPr>
                <w:sz w:val="9"/>
                <w:szCs w:val="9"/>
                <w:color w:val="auto"/>
              </w:rPr>
            </w:pPr>
          </w:p>
        </w:tc>
        <w:tc>
          <w:tcPr>
            <w:tcW w:w="214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480" w:type="dxa"/>
            <w:vAlign w:val="bottom"/>
            <w:gridSpan w:val="3"/>
          </w:tcPr>
          <w:p>
            <w:pPr>
              <w:spacing w:after="0"/>
              <w:rPr>
                <w:sz w:val="20"/>
                <w:szCs w:val="20"/>
                <w:color w:val="auto"/>
              </w:rPr>
            </w:pPr>
            <w:r>
              <w:rPr>
                <w:rFonts w:ascii="Arial" w:cs="Arial" w:eastAsia="Arial" w:hAnsi="Arial"/>
                <w:sz w:val="12"/>
                <w:szCs w:val="12"/>
                <w:color w:val="auto"/>
              </w:rPr>
              <w:t>resulting in an interest rate of 5.81%. The new financing replaced the property’s previous</w:t>
            </w:r>
          </w:p>
        </w:tc>
        <w:tc>
          <w:tcPr>
            <w:tcW w:w="340" w:type="dxa"/>
            <w:vAlign w:val="bottom"/>
          </w:tcPr>
          <w:p>
            <w:pPr>
              <w:spacing w:after="0"/>
              <w:rPr>
                <w:sz w:val="12"/>
                <w:szCs w:val="12"/>
                <w:color w:val="auto"/>
              </w:rPr>
            </w:pPr>
          </w:p>
        </w:tc>
        <w:tc>
          <w:tcPr>
            <w:tcW w:w="5360" w:type="dxa"/>
            <w:vAlign w:val="bottom"/>
            <w:gridSpan w:val="3"/>
          </w:tcPr>
          <w:p>
            <w:pPr>
              <w:spacing w:after="0"/>
              <w:rPr>
                <w:sz w:val="20"/>
                <w:szCs w:val="20"/>
                <w:color w:val="auto"/>
              </w:rPr>
            </w:pPr>
            <w:r>
              <w:rPr>
                <w:rFonts w:ascii="Arial" w:cs="Arial" w:eastAsia="Arial" w:hAnsi="Arial"/>
                <w:sz w:val="12"/>
                <w:szCs w:val="12"/>
                <w:color w:val="auto"/>
              </w:rPr>
              <w:t>The Company's executive management team, led by Marc Holliday, Chairman and Chief</w:t>
            </w:r>
          </w:p>
        </w:tc>
        <w:tc>
          <w:tcPr>
            <w:tcW w:w="0" w:type="dxa"/>
            <w:vAlign w:val="bottom"/>
          </w:tcPr>
          <w:p>
            <w:pPr>
              <w:spacing w:after="0"/>
              <w:rPr>
                <w:sz w:val="1"/>
                <w:szCs w:val="1"/>
                <w:color w:val="auto"/>
              </w:rPr>
            </w:pPr>
          </w:p>
        </w:tc>
      </w:tr>
      <w:tr>
        <w:trPr>
          <w:trHeight w:val="148"/>
        </w:trPr>
        <w:tc>
          <w:tcPr>
            <w:tcW w:w="5480" w:type="dxa"/>
            <w:vAlign w:val="bottom"/>
            <w:gridSpan w:val="3"/>
          </w:tcPr>
          <w:p>
            <w:pPr>
              <w:spacing w:after="0"/>
              <w:rPr>
                <w:sz w:val="20"/>
                <w:szCs w:val="20"/>
                <w:color w:val="auto"/>
              </w:rPr>
            </w:pPr>
            <w:r>
              <w:rPr>
                <w:rFonts w:ascii="Arial" w:cs="Arial" w:eastAsia="Arial" w:hAnsi="Arial"/>
                <w:sz w:val="12"/>
                <w:szCs w:val="12"/>
                <w:color w:val="auto"/>
              </w:rPr>
              <w:t>$1.25 billion construction facility, which had an outstanding balance of $1.171 billion.</w:t>
            </w:r>
          </w:p>
        </w:tc>
        <w:tc>
          <w:tcPr>
            <w:tcW w:w="340" w:type="dxa"/>
            <w:vAlign w:val="bottom"/>
          </w:tcPr>
          <w:p>
            <w:pPr>
              <w:spacing w:after="0"/>
              <w:rPr>
                <w:sz w:val="12"/>
                <w:szCs w:val="12"/>
                <w:color w:val="auto"/>
              </w:rPr>
            </w:pPr>
          </w:p>
        </w:tc>
        <w:tc>
          <w:tcPr>
            <w:tcW w:w="5360" w:type="dxa"/>
            <w:vAlign w:val="bottom"/>
            <w:gridSpan w:val="3"/>
          </w:tcPr>
          <w:p>
            <w:pPr>
              <w:spacing w:after="0"/>
              <w:rPr>
                <w:sz w:val="20"/>
                <w:szCs w:val="20"/>
                <w:color w:val="auto"/>
              </w:rPr>
            </w:pPr>
            <w:r>
              <w:rPr>
                <w:rFonts w:ascii="Arial" w:cs="Arial" w:eastAsia="Arial" w:hAnsi="Arial"/>
                <w:sz w:val="12"/>
                <w:szCs w:val="12"/>
                <w:color w:val="auto"/>
              </w:rPr>
              <w:t>Executive Officer, will host a conference call and audio webcast on Thursday, April 16, 2026, at</w:t>
            </w:r>
          </w:p>
        </w:tc>
        <w:tc>
          <w:tcPr>
            <w:tcW w:w="0" w:type="dxa"/>
            <w:vAlign w:val="bottom"/>
          </w:tcPr>
          <w:p>
            <w:pPr>
              <w:spacing w:after="0"/>
              <w:rPr>
                <w:sz w:val="1"/>
                <w:szCs w:val="1"/>
                <w:color w:val="auto"/>
              </w:rPr>
            </w:pPr>
          </w:p>
        </w:tc>
      </w:tr>
      <w:tr>
        <w:trPr>
          <w:trHeight w:val="165"/>
        </w:trPr>
        <w:tc>
          <w:tcPr>
            <w:tcW w:w="5480" w:type="dxa"/>
            <w:vAlign w:val="bottom"/>
            <w:gridSpan w:val="3"/>
            <w:vMerge w:val="restart"/>
          </w:tcPr>
          <w:p>
            <w:pPr>
              <w:spacing w:after="0"/>
              <w:rPr>
                <w:sz w:val="20"/>
                <w:szCs w:val="20"/>
                <w:color w:val="auto"/>
              </w:rPr>
            </w:pPr>
            <w:r>
              <w:rPr>
                <w:rFonts w:ascii="Arial" w:cs="Arial" w:eastAsia="Arial" w:hAnsi="Arial"/>
                <w:sz w:val="12"/>
                <w:szCs w:val="12"/>
                <w:color w:val="auto"/>
              </w:rPr>
              <w:t>In March, the Company refinanced, extended and reduced the overall cost of $2.0 billion of the</w:t>
            </w:r>
          </w:p>
        </w:tc>
        <w:tc>
          <w:tcPr>
            <w:tcW w:w="34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2:00 p.m. ET to discuss the financial results.</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5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5480" w:type="dxa"/>
            <w:vAlign w:val="bottom"/>
            <w:gridSpan w:val="3"/>
          </w:tcPr>
          <w:p>
            <w:pPr>
              <w:spacing w:after="0"/>
              <w:rPr>
                <w:sz w:val="20"/>
                <w:szCs w:val="20"/>
                <w:color w:val="auto"/>
              </w:rPr>
            </w:pPr>
            <w:r>
              <w:rPr>
                <w:rFonts w:ascii="Arial" w:cs="Arial" w:eastAsia="Arial" w:hAnsi="Arial"/>
                <w:sz w:val="12"/>
                <w:szCs w:val="12"/>
                <w:color w:val="auto"/>
              </w:rPr>
              <w:t>Company's $2.4 billion corporate credit facility.</w:t>
            </w:r>
          </w:p>
        </w:tc>
        <w:tc>
          <w:tcPr>
            <w:tcW w:w="340" w:type="dxa"/>
            <w:vAlign w:val="bottom"/>
          </w:tcPr>
          <w:p>
            <w:pPr>
              <w:spacing w:after="0"/>
              <w:rPr>
                <w:sz w:val="14"/>
                <w:szCs w:val="14"/>
                <w:color w:val="auto"/>
              </w:rPr>
            </w:pPr>
          </w:p>
        </w:tc>
        <w:tc>
          <w:tcPr>
            <w:tcW w:w="5360" w:type="dxa"/>
            <w:vAlign w:val="bottom"/>
            <w:gridSpan w:val="3"/>
          </w:tcPr>
          <w:p>
            <w:pPr>
              <w:spacing w:after="0"/>
              <w:rPr>
                <w:sz w:val="20"/>
                <w:szCs w:val="20"/>
                <w:color w:val="auto"/>
              </w:rPr>
            </w:pPr>
            <w:r>
              <w:rPr>
                <w:rFonts w:ascii="Arial" w:cs="Arial" w:eastAsia="Arial" w:hAnsi="Arial"/>
                <w:sz w:val="12"/>
                <w:szCs w:val="12"/>
                <w:color w:val="auto"/>
              </w:rPr>
              <w:t>Supplemental data will be available prior to the quarterly conference call in the Investors section</w:t>
            </w:r>
          </w:p>
        </w:tc>
        <w:tc>
          <w:tcPr>
            <w:tcW w:w="0" w:type="dxa"/>
            <w:vAlign w:val="bottom"/>
          </w:tcPr>
          <w:p>
            <w:pPr>
              <w:spacing w:after="0"/>
              <w:rPr>
                <w:sz w:val="1"/>
                <w:szCs w:val="1"/>
                <w:color w:val="auto"/>
              </w:rPr>
            </w:pPr>
          </w:p>
        </w:tc>
      </w:tr>
      <w:tr>
        <w:trPr>
          <w:trHeight w:val="165"/>
        </w:trPr>
        <w:tc>
          <w:tcPr>
            <w:tcW w:w="5480" w:type="dxa"/>
            <w:vAlign w:val="bottom"/>
            <w:gridSpan w:val="3"/>
            <w:vMerge w:val="restart"/>
          </w:tcPr>
          <w:p>
            <w:pPr>
              <w:ind w:left="240"/>
              <w:spacing w:after="0"/>
              <w:rPr>
                <w:sz w:val="20"/>
                <w:szCs w:val="20"/>
                <w:color w:val="auto"/>
              </w:rPr>
            </w:pPr>
            <w:r>
              <w:rPr>
                <w:rFonts w:ascii="Arial" w:cs="Arial" w:eastAsia="Arial" w:hAnsi="Arial"/>
                <w:sz w:val="12"/>
                <w:szCs w:val="12"/>
                <w:color w:val="auto"/>
              </w:rPr>
              <w:t>•   The existing revolving line of credit component of the facility was maintained at</w:t>
            </w:r>
          </w:p>
        </w:tc>
        <w:tc>
          <w:tcPr>
            <w:tcW w:w="340" w:type="dxa"/>
            <w:vAlign w:val="bottom"/>
          </w:tcPr>
          <w:p>
            <w:pPr>
              <w:spacing w:after="0"/>
              <w:rPr>
                <w:sz w:val="14"/>
                <w:szCs w:val="14"/>
                <w:color w:val="auto"/>
              </w:rPr>
            </w:pPr>
          </w:p>
        </w:tc>
        <w:tc>
          <w:tcPr>
            <w:tcW w:w="5360" w:type="dxa"/>
            <w:vAlign w:val="bottom"/>
            <w:gridSpan w:val="3"/>
          </w:tcPr>
          <w:p>
            <w:pPr>
              <w:spacing w:after="0"/>
              <w:rPr>
                <w:sz w:val="20"/>
                <w:szCs w:val="20"/>
                <w:color w:val="auto"/>
              </w:rPr>
            </w:pPr>
            <w:r>
              <w:rPr>
                <w:rFonts w:ascii="Arial" w:cs="Arial" w:eastAsia="Arial" w:hAnsi="Arial"/>
                <w:sz w:val="12"/>
                <w:szCs w:val="12"/>
                <w:color w:val="auto"/>
              </w:rPr>
              <w:t>of the SL Green Realty Corp. website at www.slgreen.com under “Financial Reports.”</w:t>
            </w:r>
          </w:p>
        </w:tc>
        <w:tc>
          <w:tcPr>
            <w:tcW w:w="0" w:type="dxa"/>
            <w:vAlign w:val="bottom"/>
          </w:tcPr>
          <w:p>
            <w:pPr>
              <w:spacing w:after="0"/>
              <w:rPr>
                <w:sz w:val="1"/>
                <w:szCs w:val="1"/>
                <w:color w:val="auto"/>
              </w:rPr>
            </w:pPr>
          </w:p>
        </w:tc>
      </w:tr>
      <w:tr>
        <w:trPr>
          <w:trHeight w:val="71"/>
        </w:trPr>
        <w:tc>
          <w:tcPr>
            <w:tcW w:w="548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5480" w:type="dxa"/>
            <w:vAlign w:val="bottom"/>
            <w:gridSpan w:val="3"/>
          </w:tcPr>
          <w:p>
            <w:pPr>
              <w:ind w:left="480"/>
              <w:spacing w:after="0"/>
              <w:rPr>
                <w:sz w:val="20"/>
                <w:szCs w:val="20"/>
                <w:color w:val="auto"/>
              </w:rPr>
            </w:pPr>
            <w:r>
              <w:rPr>
                <w:rFonts w:ascii="Arial" w:cs="Arial" w:eastAsia="Arial" w:hAnsi="Arial"/>
                <w:sz w:val="12"/>
                <w:szCs w:val="12"/>
                <w:color w:val="auto"/>
              </w:rPr>
              <w:t>$1.25 billion, the maturity was extended to June 2031, inclusive of as-of-right extension</w:t>
            </w:r>
          </w:p>
        </w:tc>
        <w:tc>
          <w:tcPr>
            <w:tcW w:w="340" w:type="dxa"/>
            <w:vAlign w:val="bottom"/>
          </w:tcPr>
          <w:p>
            <w:pPr>
              <w:spacing w:after="0"/>
              <w:rPr>
                <w:sz w:val="13"/>
                <w:szCs w:val="13"/>
                <w:color w:val="auto"/>
              </w:rPr>
            </w:pPr>
          </w:p>
        </w:tc>
        <w:tc>
          <w:tcPr>
            <w:tcW w:w="5360" w:type="dxa"/>
            <w:vAlign w:val="bottom"/>
            <w:gridSpan w:val="3"/>
          </w:tcPr>
          <w:p>
            <w:pPr>
              <w:spacing w:after="0"/>
              <w:rPr>
                <w:sz w:val="20"/>
                <w:szCs w:val="20"/>
                <w:color w:val="auto"/>
              </w:rPr>
            </w:pPr>
            <w:r>
              <w:rPr>
                <w:rFonts w:ascii="Arial" w:cs="Arial" w:eastAsia="Arial" w:hAnsi="Arial"/>
                <w:sz w:val="12"/>
                <w:szCs w:val="12"/>
                <w:color w:val="auto"/>
              </w:rPr>
              <w:t>The live conference call will be webcast in listen-only mode and a replay will be available in the</w:t>
            </w:r>
          </w:p>
        </w:tc>
        <w:tc>
          <w:tcPr>
            <w:tcW w:w="0" w:type="dxa"/>
            <w:vAlign w:val="bottom"/>
          </w:tcPr>
          <w:p>
            <w:pPr>
              <w:spacing w:after="0"/>
              <w:rPr>
                <w:sz w:val="1"/>
                <w:szCs w:val="1"/>
                <w:color w:val="auto"/>
              </w:rPr>
            </w:pPr>
          </w:p>
        </w:tc>
      </w:tr>
      <w:tr>
        <w:trPr>
          <w:trHeight w:val="148"/>
        </w:trPr>
        <w:tc>
          <w:tcPr>
            <w:tcW w:w="5480" w:type="dxa"/>
            <w:vAlign w:val="bottom"/>
            <w:gridSpan w:val="3"/>
          </w:tcPr>
          <w:p>
            <w:pPr>
              <w:ind w:left="480"/>
              <w:spacing w:after="0"/>
              <w:rPr>
                <w:sz w:val="20"/>
                <w:szCs w:val="20"/>
                <w:color w:val="auto"/>
              </w:rPr>
            </w:pPr>
            <w:r>
              <w:rPr>
                <w:rFonts w:ascii="Arial" w:cs="Arial" w:eastAsia="Arial" w:hAnsi="Arial"/>
                <w:sz w:val="12"/>
                <w:szCs w:val="12"/>
                <w:color w:val="auto"/>
              </w:rPr>
              <w:t>options, and the borrowing cost was reduced by 25 basis points to 125 basis over SOFR</w:t>
            </w:r>
          </w:p>
        </w:tc>
        <w:tc>
          <w:tcPr>
            <w:tcW w:w="340" w:type="dxa"/>
            <w:vAlign w:val="bottom"/>
          </w:tcPr>
          <w:p>
            <w:pPr>
              <w:spacing w:after="0"/>
              <w:rPr>
                <w:sz w:val="12"/>
                <w:szCs w:val="12"/>
                <w:color w:val="auto"/>
              </w:rPr>
            </w:pPr>
          </w:p>
        </w:tc>
        <w:tc>
          <w:tcPr>
            <w:tcW w:w="5360" w:type="dxa"/>
            <w:vAlign w:val="bottom"/>
            <w:gridSpan w:val="3"/>
          </w:tcPr>
          <w:p>
            <w:pPr>
              <w:spacing w:after="0"/>
              <w:rPr>
                <w:sz w:val="20"/>
                <w:szCs w:val="20"/>
                <w:color w:val="auto"/>
              </w:rPr>
            </w:pPr>
            <w:r>
              <w:rPr>
                <w:rFonts w:ascii="Arial" w:cs="Arial" w:eastAsia="Arial" w:hAnsi="Arial"/>
                <w:sz w:val="12"/>
                <w:szCs w:val="12"/>
                <w:color w:val="auto"/>
              </w:rPr>
              <w:t>Investors  section  of  the  SL  Green  Realty  Corp.  website  at  www.slgreen.com  under</w:t>
            </w:r>
          </w:p>
        </w:tc>
        <w:tc>
          <w:tcPr>
            <w:tcW w:w="0" w:type="dxa"/>
            <w:vAlign w:val="bottom"/>
          </w:tcPr>
          <w:p>
            <w:pPr>
              <w:spacing w:after="0"/>
              <w:rPr>
                <w:sz w:val="1"/>
                <w:szCs w:val="1"/>
                <w:color w:val="auto"/>
              </w:rPr>
            </w:pPr>
          </w:p>
        </w:tc>
      </w:tr>
      <w:tr>
        <w:trPr>
          <w:trHeight w:val="188"/>
        </w:trPr>
        <w:tc>
          <w:tcPr>
            <w:tcW w:w="5480" w:type="dxa"/>
            <w:vAlign w:val="bottom"/>
            <w:gridSpan w:val="3"/>
          </w:tcPr>
          <w:p>
            <w:pPr>
              <w:ind w:left="480"/>
              <w:spacing w:after="0"/>
              <w:rPr>
                <w:sz w:val="20"/>
                <w:szCs w:val="20"/>
                <w:color w:val="auto"/>
              </w:rPr>
            </w:pPr>
            <w:r>
              <w:rPr>
                <w:rFonts w:ascii="Arial" w:cs="Arial" w:eastAsia="Arial" w:hAnsi="Arial"/>
                <w:sz w:val="12"/>
                <w:szCs w:val="12"/>
                <w:color w:val="auto"/>
              </w:rPr>
              <w:t>based on the Company's current credit rating.</w:t>
            </w:r>
          </w:p>
        </w:tc>
        <w:tc>
          <w:tcPr>
            <w:tcW w:w="340" w:type="dxa"/>
            <w:vAlign w:val="bottom"/>
          </w:tcPr>
          <w:p>
            <w:pPr>
              <w:spacing w:after="0"/>
              <w:rPr>
                <w:sz w:val="16"/>
                <w:szCs w:val="16"/>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“Presentations &amp; Webcasts.”</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480" w:type="dxa"/>
            <w:vAlign w:val="bottom"/>
            <w:gridSpan w:val="3"/>
          </w:tcPr>
          <w:p>
            <w:pPr>
              <w:ind w:left="240"/>
              <w:spacing w:after="0"/>
              <w:rPr>
                <w:sz w:val="20"/>
                <w:szCs w:val="20"/>
                <w:color w:val="auto"/>
              </w:rPr>
            </w:pPr>
            <w:r>
              <w:rPr>
                <w:rFonts w:ascii="Arial" w:cs="Arial" w:eastAsia="Arial" w:hAnsi="Arial"/>
                <w:sz w:val="12"/>
                <w:szCs w:val="12"/>
                <w:color w:val="auto"/>
              </w:rPr>
              <w:t>•   The existing $1.05 billion term loan component of the facility was bifurcated, resulting in</w:t>
            </w:r>
          </w:p>
        </w:tc>
        <w:tc>
          <w:tcPr>
            <w:tcW w:w="34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Research  analysts  who  wish  to  participate</w:t>
            </w:r>
          </w:p>
        </w:tc>
        <w:tc>
          <w:tcPr>
            <w:tcW w:w="2720" w:type="dxa"/>
            <w:vAlign w:val="bottom"/>
          </w:tcPr>
          <w:p>
            <w:pPr>
              <w:ind w:left="40"/>
              <w:spacing w:after="0"/>
              <w:rPr>
                <w:sz w:val="20"/>
                <w:szCs w:val="20"/>
                <w:color w:val="auto"/>
              </w:rPr>
            </w:pPr>
            <w:r>
              <w:rPr>
                <w:rFonts w:ascii="Arial" w:cs="Arial" w:eastAsia="Arial" w:hAnsi="Arial"/>
                <w:sz w:val="12"/>
                <w:szCs w:val="12"/>
                <w:color w:val="auto"/>
              </w:rPr>
              <w:t>in  the  conference  call  must  first  register  at</w:t>
            </w:r>
          </w:p>
        </w:tc>
        <w:tc>
          <w:tcPr>
            <w:tcW w:w="0" w:type="dxa"/>
            <w:vAlign w:val="bottom"/>
          </w:tcPr>
          <w:p>
            <w:pPr>
              <w:spacing w:after="0"/>
              <w:rPr>
                <w:sz w:val="1"/>
                <w:szCs w:val="1"/>
                <w:color w:val="auto"/>
              </w:rPr>
            </w:pPr>
          </w:p>
        </w:tc>
      </w:tr>
      <w:tr>
        <w:trPr>
          <w:trHeight w:val="121"/>
        </w:trPr>
        <w:tc>
          <w:tcPr>
            <w:tcW w:w="5480" w:type="dxa"/>
            <w:vAlign w:val="bottom"/>
            <w:gridSpan w:val="3"/>
          </w:tcPr>
          <w:p>
            <w:pPr>
              <w:ind w:left="480"/>
              <w:spacing w:after="0" w:line="121" w:lineRule="exact"/>
              <w:rPr>
                <w:sz w:val="20"/>
                <w:szCs w:val="20"/>
                <w:color w:val="auto"/>
              </w:rPr>
            </w:pPr>
            <w:r>
              <w:rPr>
                <w:rFonts w:ascii="Arial" w:cs="Arial" w:eastAsia="Arial" w:hAnsi="Arial"/>
                <w:sz w:val="12"/>
                <w:szCs w:val="12"/>
                <w:color w:val="auto"/>
              </w:rPr>
              <w:t>a new $750 million term loan with a maturity date of June 2031 and a borrowing cost</w:t>
            </w:r>
          </w:p>
        </w:tc>
        <w:tc>
          <w:tcPr>
            <w:tcW w:w="340" w:type="dxa"/>
            <w:vAlign w:val="bottom"/>
          </w:tcPr>
          <w:p>
            <w:pPr>
              <w:spacing w:after="0"/>
              <w:rPr>
                <w:sz w:val="10"/>
                <w:szCs w:val="10"/>
                <w:color w:val="auto"/>
              </w:rPr>
            </w:pPr>
          </w:p>
        </w:tc>
        <w:tc>
          <w:tcPr>
            <w:tcW w:w="5360" w:type="dxa"/>
            <w:vAlign w:val="bottom"/>
            <w:gridSpan w:val="3"/>
            <w:vMerge w:val="restart"/>
          </w:tcPr>
          <w:p>
            <w:pPr>
              <w:spacing w:after="0"/>
              <w:rPr>
                <w:sz w:val="20"/>
                <w:szCs w:val="20"/>
                <w:color w:val="auto"/>
              </w:rPr>
            </w:pPr>
            <w:r>
              <w:rPr>
                <w:rFonts w:ascii="Arial" w:cs="Arial" w:eastAsia="Arial" w:hAnsi="Arial"/>
                <w:sz w:val="12"/>
                <w:szCs w:val="12"/>
                <w:color w:val="auto"/>
              </w:rPr>
              <w:t>https://register-conf.media-server.com/register/BIfae87cfbadc74c2fbc45e803ee1d1e2f.</w:t>
            </w:r>
          </w:p>
        </w:tc>
        <w:tc>
          <w:tcPr>
            <w:tcW w:w="0" w:type="dxa"/>
            <w:vAlign w:val="bottom"/>
          </w:tcPr>
          <w:p>
            <w:pPr>
              <w:spacing w:after="0"/>
              <w:rPr>
                <w:sz w:val="1"/>
                <w:szCs w:val="1"/>
                <w:color w:val="auto"/>
              </w:rPr>
            </w:pPr>
          </w:p>
        </w:tc>
      </w:tr>
      <w:tr>
        <w:trPr>
          <w:trHeight w:val="76"/>
        </w:trPr>
        <w:tc>
          <w:tcPr>
            <w:tcW w:w="5480" w:type="dxa"/>
            <w:vAlign w:val="bottom"/>
            <w:gridSpan w:val="3"/>
            <w:vMerge w:val="restart"/>
          </w:tcPr>
          <w:p>
            <w:pPr>
              <w:ind w:left="480"/>
              <w:spacing w:after="0"/>
              <w:rPr>
                <w:sz w:val="20"/>
                <w:szCs w:val="20"/>
                <w:color w:val="auto"/>
              </w:rPr>
            </w:pPr>
            <w:r>
              <w:rPr>
                <w:rFonts w:ascii="Arial" w:cs="Arial" w:eastAsia="Arial" w:hAnsi="Arial"/>
                <w:sz w:val="12"/>
                <w:szCs w:val="12"/>
                <w:color w:val="auto"/>
              </w:rPr>
              <w:t>that was reduced by 25 basis points to 145 basis points over SOFR, based on the</w:t>
            </w:r>
          </w:p>
        </w:tc>
        <w:tc>
          <w:tcPr>
            <w:tcW w:w="340" w:type="dxa"/>
            <w:vAlign w:val="bottom"/>
          </w:tcPr>
          <w:p>
            <w:pPr>
              <w:spacing w:after="0"/>
              <w:rPr>
                <w:sz w:val="6"/>
                <w:szCs w:val="6"/>
                <w:color w:val="auto"/>
              </w:rPr>
            </w:pPr>
          </w:p>
        </w:tc>
        <w:tc>
          <w:tcPr>
            <w:tcW w:w="5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54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480" w:type="dxa"/>
            <w:vAlign w:val="bottom"/>
            <w:gridSpan w:val="3"/>
          </w:tcPr>
          <w:p>
            <w:pPr>
              <w:ind w:left="480"/>
              <w:spacing w:after="0"/>
              <w:rPr>
                <w:sz w:val="20"/>
                <w:szCs w:val="20"/>
                <w:color w:val="auto"/>
              </w:rPr>
            </w:pPr>
            <w:r>
              <w:rPr>
                <w:rFonts w:ascii="Arial" w:cs="Arial" w:eastAsia="Arial" w:hAnsi="Arial"/>
                <w:sz w:val="12"/>
                <w:szCs w:val="12"/>
                <w:color w:val="auto"/>
              </w:rPr>
              <w:t>Company’s current credit rating. The remaining $300 million of the term loan with a</w:t>
            </w:r>
          </w:p>
        </w:tc>
        <w:tc>
          <w:tcPr>
            <w:tcW w:w="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480" w:type="dxa"/>
            <w:vAlign w:val="bottom"/>
            <w:gridSpan w:val="3"/>
          </w:tcPr>
          <w:p>
            <w:pPr>
              <w:ind w:left="480"/>
              <w:spacing w:after="0"/>
              <w:rPr>
                <w:sz w:val="20"/>
                <w:szCs w:val="20"/>
                <w:color w:val="auto"/>
              </w:rPr>
            </w:pPr>
            <w:r>
              <w:rPr>
                <w:rFonts w:ascii="Arial" w:cs="Arial" w:eastAsia="Arial" w:hAnsi="Arial"/>
                <w:sz w:val="12"/>
                <w:szCs w:val="12"/>
                <w:color w:val="auto"/>
              </w:rPr>
              <w:t>maturity date of May 2027 will continue to be outstanding on its current terms.</w:t>
            </w: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480" w:type="dxa"/>
            <w:vAlign w:val="bottom"/>
            <w:gridSpan w:val="3"/>
          </w:tcPr>
          <w:p>
            <w:pPr>
              <w:ind w:left="240"/>
              <w:spacing w:after="0"/>
              <w:rPr>
                <w:sz w:val="20"/>
                <w:szCs w:val="20"/>
                <w:color w:val="auto"/>
              </w:rPr>
            </w:pPr>
            <w:r>
              <w:rPr>
                <w:rFonts w:ascii="Arial" w:cs="Arial" w:eastAsia="Arial" w:hAnsi="Arial"/>
                <w:sz w:val="12"/>
                <w:szCs w:val="12"/>
                <w:color w:val="auto"/>
              </w:rPr>
              <w:t>•   The existing $100 million term loan component of the facility with a maturity date of</w:t>
            </w:r>
          </w:p>
        </w:tc>
        <w:tc>
          <w:tcPr>
            <w:tcW w:w="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5480" w:type="dxa"/>
            <w:vAlign w:val="bottom"/>
            <w:gridSpan w:val="3"/>
          </w:tcPr>
          <w:p>
            <w:pPr>
              <w:ind w:left="480"/>
              <w:spacing w:after="0"/>
              <w:rPr>
                <w:sz w:val="20"/>
                <w:szCs w:val="20"/>
                <w:color w:val="auto"/>
              </w:rPr>
            </w:pPr>
            <w:r>
              <w:rPr>
                <w:rFonts w:ascii="Arial" w:cs="Arial" w:eastAsia="Arial" w:hAnsi="Arial"/>
                <w:sz w:val="12"/>
                <w:szCs w:val="12"/>
                <w:color w:val="auto"/>
              </w:rPr>
              <w:t>November 2026 will also remain outstanding on its current terms.</w:t>
            </w: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Dividends</w:t>
            </w:r>
          </w:p>
        </w:tc>
        <w:tc>
          <w:tcPr>
            <w:tcW w:w="488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80" w:type="dxa"/>
            <w:vAlign w:val="bottom"/>
            <w:gridSpan w:val="3"/>
          </w:tcPr>
          <w:p>
            <w:pPr>
              <w:spacing w:after="0"/>
              <w:rPr>
                <w:sz w:val="20"/>
                <w:szCs w:val="20"/>
                <w:color w:val="auto"/>
              </w:rPr>
            </w:pPr>
            <w:r>
              <w:rPr>
                <w:rFonts w:ascii="Arial" w:cs="Arial" w:eastAsia="Arial" w:hAnsi="Arial"/>
                <w:sz w:val="12"/>
                <w:szCs w:val="12"/>
                <w:color w:val="auto"/>
              </w:rPr>
              <w:t>On March 23, 2026, the Company announced that its board of directors established an annual</w:t>
            </w:r>
          </w:p>
        </w:tc>
        <w:tc>
          <w:tcPr>
            <w:tcW w:w="3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5480" w:type="dxa"/>
            <w:vAlign w:val="bottom"/>
            <w:gridSpan w:val="3"/>
          </w:tcPr>
          <w:p>
            <w:pPr>
              <w:spacing w:after="0"/>
              <w:rPr>
                <w:sz w:val="20"/>
                <w:szCs w:val="20"/>
                <w:color w:val="auto"/>
              </w:rPr>
            </w:pPr>
            <w:r>
              <w:rPr>
                <w:rFonts w:ascii="Arial" w:cs="Arial" w:eastAsia="Arial" w:hAnsi="Arial"/>
                <w:sz w:val="12"/>
                <w:szCs w:val="12"/>
                <w:color w:val="auto"/>
              </w:rPr>
              <w:t>ordinary dividend on its common stock for 2026 of $2.47 per share. The new dividend level will</w:t>
            </w:r>
          </w:p>
        </w:tc>
        <w:tc>
          <w:tcPr>
            <w:tcW w:w="3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80" w:type="dxa"/>
            <w:vAlign w:val="bottom"/>
            <w:gridSpan w:val="3"/>
          </w:tcPr>
          <w:p>
            <w:pPr>
              <w:spacing w:after="0"/>
              <w:rPr>
                <w:sz w:val="20"/>
                <w:szCs w:val="20"/>
                <w:color w:val="auto"/>
              </w:rPr>
            </w:pPr>
            <w:r>
              <w:rPr>
                <w:rFonts w:ascii="Arial" w:cs="Arial" w:eastAsia="Arial" w:hAnsi="Arial"/>
                <w:sz w:val="12"/>
                <w:szCs w:val="12"/>
                <w:color w:val="auto"/>
              </w:rPr>
              <w:t>allow the Company to retain incremental liquidity for investment opportunities, which may include</w:t>
            </w:r>
          </w:p>
        </w:tc>
        <w:tc>
          <w:tcPr>
            <w:tcW w:w="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480" w:type="dxa"/>
            <w:vAlign w:val="bottom"/>
            <w:gridSpan w:val="3"/>
          </w:tcPr>
          <w:p>
            <w:pPr>
              <w:spacing w:after="0"/>
              <w:rPr>
                <w:sz w:val="20"/>
                <w:szCs w:val="20"/>
                <w:color w:val="auto"/>
              </w:rPr>
            </w:pPr>
            <w:r>
              <w:rPr>
                <w:rFonts w:ascii="Arial" w:cs="Arial" w:eastAsia="Arial" w:hAnsi="Arial"/>
                <w:sz w:val="12"/>
                <w:szCs w:val="12"/>
                <w:color w:val="auto"/>
              </w:rPr>
              <w:t>discounted debt extinguishments, share repurchases or ongoing development projects.</w:t>
            </w: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480" w:type="dxa"/>
            <w:vAlign w:val="bottom"/>
            <w:gridSpan w:val="3"/>
          </w:tcPr>
          <w:p>
            <w:pPr>
              <w:spacing w:after="0"/>
              <w:rPr>
                <w:sz w:val="20"/>
                <w:szCs w:val="20"/>
                <w:color w:val="auto"/>
              </w:rPr>
            </w:pPr>
            <w:r>
              <w:rPr>
                <w:rFonts w:ascii="Arial" w:cs="Arial" w:eastAsia="Arial" w:hAnsi="Arial"/>
                <w:sz w:val="12"/>
                <w:szCs w:val="12"/>
                <w:color w:val="auto"/>
              </w:rPr>
              <w:t>In the first quarter of 2026, the Company declared:</w:t>
            </w:r>
          </w:p>
        </w:tc>
        <w:tc>
          <w:tcPr>
            <w:tcW w:w="3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80" w:type="dxa"/>
            <w:vAlign w:val="bottom"/>
            <w:gridSpan w:val="3"/>
          </w:tcPr>
          <w:p>
            <w:pPr>
              <w:ind w:left="24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A quarterly ordinary dividend on its outstanding common stock of $0.6175 per share,</w:t>
            </w:r>
          </w:p>
        </w:tc>
        <w:tc>
          <w:tcPr>
            <w:tcW w:w="3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5480" w:type="dxa"/>
            <w:vAlign w:val="bottom"/>
            <w:gridSpan w:val="3"/>
          </w:tcPr>
          <w:p>
            <w:pPr>
              <w:ind w:left="480"/>
              <w:spacing w:after="0"/>
              <w:rPr>
                <w:sz w:val="20"/>
                <w:szCs w:val="20"/>
                <w:color w:val="auto"/>
              </w:rPr>
            </w:pPr>
            <w:r>
              <w:rPr>
                <w:rFonts w:ascii="Arial" w:cs="Arial" w:eastAsia="Arial" w:hAnsi="Arial"/>
                <w:sz w:val="12"/>
                <w:szCs w:val="12"/>
                <w:color w:val="auto"/>
              </w:rPr>
              <w:t>which was paid in cash on April 15, 2026;</w:t>
            </w: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5480" w:type="dxa"/>
            <w:vAlign w:val="bottom"/>
            <w:gridSpan w:val="3"/>
          </w:tcPr>
          <w:p>
            <w:pPr>
              <w:ind w:left="24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A  quarterly  dividend  on  its  outstanding  6.50%  Series  I  Cumulative  Redeemable</w:t>
            </w:r>
          </w:p>
        </w:tc>
        <w:tc>
          <w:tcPr>
            <w:tcW w:w="3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5480" w:type="dxa"/>
            <w:vAlign w:val="bottom"/>
            <w:gridSpan w:val="3"/>
          </w:tcPr>
          <w:p>
            <w:pPr>
              <w:ind w:left="480"/>
              <w:spacing w:after="0"/>
              <w:rPr>
                <w:sz w:val="20"/>
                <w:szCs w:val="20"/>
                <w:color w:val="auto"/>
              </w:rPr>
            </w:pPr>
            <w:r>
              <w:rPr>
                <w:rFonts w:ascii="Arial" w:cs="Arial" w:eastAsia="Arial" w:hAnsi="Arial"/>
                <w:sz w:val="12"/>
                <w:szCs w:val="12"/>
                <w:color w:val="auto"/>
              </w:rPr>
              <w:t>Preferred Stock of $0.40625 per share for the period</w:t>
            </w: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9"/>
        </w:trPr>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0" w:type="dxa"/>
            <w:vAlign w:val="bottom"/>
          </w:tcPr>
          <w:p>
            <w:pPr>
              <w:ind w:left="40"/>
              <w:spacing w:after="0"/>
              <w:rPr>
                <w:sz w:val="20"/>
                <w:szCs w:val="20"/>
                <w:color w:val="auto"/>
              </w:rPr>
            </w:pPr>
            <w:r>
              <w:rPr>
                <w:rFonts w:ascii="Arial" w:cs="Arial" w:eastAsia="Arial" w:hAnsi="Arial"/>
                <w:sz w:val="9"/>
                <w:szCs w:val="9"/>
                <w:color w:val="auto"/>
              </w:rPr>
              <w:t>Supplemental Information</w:t>
            </w:r>
          </w:p>
        </w:tc>
        <w:tc>
          <w:tcPr>
            <w:tcW w:w="340" w:type="dxa"/>
            <w:vAlign w:val="bottom"/>
          </w:tcPr>
          <w:p>
            <w:pPr>
              <w:jc w:val="right"/>
              <w:ind w:right="114"/>
              <w:spacing w:after="0"/>
              <w:rPr>
                <w:sz w:val="20"/>
                <w:szCs w:val="20"/>
                <w:color w:val="auto"/>
              </w:rPr>
            </w:pPr>
            <w:r>
              <w:rPr>
                <w:rFonts w:ascii="Arial" w:cs="Arial" w:eastAsia="Arial" w:hAnsi="Arial"/>
                <w:sz w:val="9"/>
                <w:szCs w:val="9"/>
                <w:color w:val="auto"/>
              </w:rPr>
              <w:t>7</w:t>
            </w:r>
          </w:p>
        </w:tc>
        <w:tc>
          <w:tcPr>
            <w:tcW w:w="2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ind w:left="960"/>
              <w:spacing w:after="0"/>
              <w:rPr>
                <w:sz w:val="20"/>
                <w:szCs w:val="20"/>
                <w:color w:val="auto"/>
              </w:rPr>
            </w:pPr>
            <w:r>
              <w:rPr>
                <w:rFonts w:ascii="Arial" w:cs="Arial" w:eastAsia="Arial" w:hAnsi="Arial"/>
                <w:sz w:val="9"/>
                <w:szCs w:val="9"/>
                <w:color w:val="auto"/>
              </w:rPr>
              <w:t>First Quarter 2026</w:t>
            </w:r>
          </w:p>
        </w:tc>
        <w:tc>
          <w:tcPr>
            <w:tcW w:w="0" w:type="dxa"/>
            <w:vAlign w:val="bottom"/>
          </w:tcPr>
          <w:p>
            <w:pPr>
              <w:spacing w:after="0"/>
              <w:rPr>
                <w:sz w:val="1"/>
                <w:szCs w:val="1"/>
                <w:color w:val="auto"/>
              </w:rPr>
            </w:pPr>
          </w:p>
        </w:tc>
      </w:tr>
    </w:tbl>
    <w:p>
      <w:pPr>
        <w:sectPr>
          <w:pgSz w:w="11900" w:h="16838" w:orient="portrait"/>
          <w:cols w:equalWidth="0" w:num="1">
            <w:col w:w="11180"/>
          </w:cols>
          <w:pgMar w:left="300" w:top="304" w:right="41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-121285</wp:posOffset>
            </wp:positionV>
            <wp:extent cx="577088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-21590</wp:posOffset>
            </wp:positionV>
            <wp:extent cx="1136650" cy="324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577088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80645</wp:posOffset>
            </wp:positionV>
            <wp:extent cx="577088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As of or for the three months ended</w:t>
            </w: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b w:val="1"/>
                <w:bCs w:val="1"/>
                <w:color w:val="auto"/>
              </w:rPr>
              <w:t>12/31/2025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9/30/2025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91"/>
              <w:spacing w:after="0"/>
              <w:rPr>
                <w:sz w:val="20"/>
                <w:szCs w:val="20"/>
                <w:color w:val="auto"/>
              </w:rPr>
            </w:pPr>
            <w:r>
              <w:rPr>
                <w:rFonts w:ascii="Arial" w:cs="Arial" w:eastAsia="Arial" w:hAnsi="Arial"/>
                <w:sz w:val="10"/>
                <w:szCs w:val="10"/>
                <w:b w:val="1"/>
                <w:bCs w:val="1"/>
                <w:color w:val="auto"/>
              </w:rPr>
              <w:t>6/30/2025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3/31/2025</w:t>
            </w:r>
          </w:p>
        </w:tc>
        <w:tc>
          <w:tcPr>
            <w:tcW w:w="0" w:type="dxa"/>
            <w:vAlign w:val="bottom"/>
          </w:tcPr>
          <w:p>
            <w:pPr>
              <w:spacing w:after="0"/>
              <w:rPr>
                <w:sz w:val="1"/>
                <w:szCs w:val="1"/>
                <w:color w:val="auto"/>
              </w:rPr>
            </w:pPr>
          </w:p>
        </w:tc>
      </w:tr>
      <w:tr>
        <w:trPr>
          <w:trHeight w:val="229"/>
        </w:trPr>
        <w:tc>
          <w:tcPr>
            <w:tcW w:w="3700" w:type="dxa"/>
            <w:vAlign w:val="bottom"/>
            <w:gridSpan w:val="5"/>
          </w:tcPr>
          <w:p>
            <w:pPr>
              <w:spacing w:after="0"/>
              <w:rPr>
                <w:sz w:val="20"/>
                <w:szCs w:val="20"/>
                <w:color w:val="auto"/>
              </w:rPr>
            </w:pPr>
            <w:r>
              <w:rPr>
                <w:rFonts w:ascii="Arial" w:cs="Arial" w:eastAsia="Arial" w:hAnsi="Arial"/>
                <w:sz w:val="10"/>
                <w:szCs w:val="10"/>
                <w:b w:val="1"/>
                <w:bCs w:val="1"/>
                <w:color w:val="auto"/>
              </w:rPr>
              <w:t>Earnings Per Share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Net (loss) income available to common stockholders (EPS) - diluted</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(1.20)</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(1.49)</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0.34</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(0.16)</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(0.30)</w:t>
            </w:r>
          </w:p>
        </w:tc>
        <w:tc>
          <w:tcPr>
            <w:tcW w:w="0" w:type="dxa"/>
            <w:vAlign w:val="bottom"/>
          </w:tcPr>
          <w:p>
            <w:pPr>
              <w:spacing w:after="0"/>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Funds from operations (FFO) available to common stockholders - diluted</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0.84</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1.13</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1.58</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1.63</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96"/>
        </w:trPr>
        <w:tc>
          <w:tcPr>
            <w:tcW w:w="3700" w:type="dxa"/>
            <w:vAlign w:val="bottom"/>
            <w:gridSpan w:val="5"/>
          </w:tcPr>
          <w:p>
            <w:pPr>
              <w:spacing w:after="0"/>
              <w:rPr>
                <w:sz w:val="20"/>
                <w:szCs w:val="20"/>
                <w:color w:val="auto"/>
              </w:rPr>
            </w:pPr>
            <w:r>
              <w:rPr>
                <w:rFonts w:ascii="Arial" w:cs="Arial" w:eastAsia="Arial" w:hAnsi="Arial"/>
                <w:sz w:val="10"/>
                <w:szCs w:val="10"/>
                <w:b w:val="1"/>
                <w:bCs w:val="1"/>
                <w:color w:val="auto"/>
              </w:rPr>
              <w:t>Common Share Price &amp; Dividends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Closing price at the end of the period</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36.94</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45.87</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59.81</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61.90</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57.70</w:t>
            </w:r>
          </w:p>
        </w:tc>
        <w:tc>
          <w:tcPr>
            <w:tcW w:w="0" w:type="dxa"/>
            <w:vAlign w:val="bottom"/>
          </w:tcPr>
          <w:p>
            <w:pPr>
              <w:spacing w:after="0"/>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Closing high price during period</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49.39</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60.52</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65.67</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65.94</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68.38</w:t>
            </w:r>
          </w:p>
        </w:tc>
        <w:tc>
          <w:tcPr>
            <w:tcW w:w="0" w:type="dxa"/>
            <w:vAlign w:val="bottom"/>
          </w:tcPr>
          <w:p>
            <w:pPr>
              <w:spacing w:after="0"/>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Closing low price during period</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35.33</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41.53</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52.04</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47.90</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55.58</w:t>
            </w:r>
          </w:p>
        </w:tc>
        <w:tc>
          <w:tcPr>
            <w:tcW w:w="0" w:type="dxa"/>
            <w:vAlign w:val="bottom"/>
          </w:tcPr>
          <w:p>
            <w:pPr>
              <w:spacing w:after="0"/>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Annual dividend per common share</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2.47</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3.09</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3.09</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3.09</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3.09</w:t>
            </w:r>
          </w:p>
        </w:tc>
        <w:tc>
          <w:tcPr>
            <w:tcW w:w="0" w:type="dxa"/>
            <w:vAlign w:val="bottom"/>
          </w:tcPr>
          <w:p>
            <w:pPr>
              <w:spacing w:after="0"/>
              <w:rPr>
                <w:sz w:val="1"/>
                <w:szCs w:val="1"/>
                <w:color w:val="auto"/>
              </w:rPr>
            </w:pPr>
          </w:p>
        </w:tc>
      </w:tr>
      <w:tr>
        <w:trPr>
          <w:trHeight w:val="186"/>
        </w:trPr>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7"/>
              </w:rPr>
              <w:t>Common Shares &amp; Units</w:t>
            </w:r>
          </w:p>
        </w:tc>
        <w:tc>
          <w:tcPr>
            <w:tcW w:w="25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Common shares outstanding</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71,124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71,159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71,028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71,025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71,016</w:t>
            </w:r>
          </w:p>
        </w:tc>
        <w:tc>
          <w:tcPr>
            <w:tcW w:w="0" w:type="dxa"/>
            <w:vAlign w:val="bottom"/>
          </w:tcPr>
          <w:p>
            <w:pPr>
              <w:spacing w:after="0"/>
              <w:rPr>
                <w:sz w:val="1"/>
                <w:szCs w:val="1"/>
                <w:color w:val="auto"/>
              </w:rPr>
            </w:pPr>
          </w:p>
        </w:tc>
      </w:tr>
      <w:tr>
        <w:trPr>
          <w:trHeight w:val="142"/>
        </w:trPr>
        <w:tc>
          <w:tcPr>
            <w:tcW w:w="3700" w:type="dxa"/>
            <w:vAlign w:val="bottom"/>
            <w:gridSpan w:val="5"/>
          </w:tcPr>
          <w:p>
            <w:pPr>
              <w:spacing w:after="0"/>
              <w:rPr>
                <w:sz w:val="20"/>
                <w:szCs w:val="20"/>
                <w:color w:val="auto"/>
              </w:rPr>
            </w:pPr>
            <w:r>
              <w:rPr>
                <w:rFonts w:ascii="Arial" w:cs="Arial" w:eastAsia="Arial" w:hAnsi="Arial"/>
                <w:sz w:val="10"/>
                <w:szCs w:val="10"/>
                <w:color w:val="auto"/>
              </w:rPr>
              <w:t>Units outstanding</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5,878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4,878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4,850</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4,853</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5,010</w:t>
            </w:r>
          </w:p>
        </w:tc>
        <w:tc>
          <w:tcPr>
            <w:tcW w:w="0" w:type="dxa"/>
            <w:vAlign w:val="bottom"/>
          </w:tcPr>
          <w:p>
            <w:pPr>
              <w:spacing w:after="0"/>
              <w:rPr>
                <w:sz w:val="1"/>
                <w:szCs w:val="1"/>
                <w:color w:val="auto"/>
              </w:rPr>
            </w:pPr>
          </w:p>
        </w:tc>
      </w:tr>
      <w:tr>
        <w:trPr>
          <w:trHeight w:val="132"/>
        </w:trPr>
        <w:tc>
          <w:tcPr>
            <w:tcW w:w="3700" w:type="dxa"/>
            <w:vAlign w:val="bottom"/>
            <w:gridSpan w:val="5"/>
          </w:tcPr>
          <w:p>
            <w:pPr>
              <w:spacing w:after="0"/>
              <w:rPr>
                <w:sz w:val="20"/>
                <w:szCs w:val="20"/>
                <w:color w:val="auto"/>
              </w:rPr>
            </w:pPr>
            <w:r>
              <w:rPr>
                <w:rFonts w:ascii="Arial" w:cs="Arial" w:eastAsia="Arial" w:hAnsi="Arial"/>
                <w:sz w:val="10"/>
                <w:szCs w:val="10"/>
                <w:color w:val="auto"/>
              </w:rPr>
              <w:t>Total common shares and units outstanding</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77,002</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76,037</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75,878</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75,878</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76,026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gridSpan w:val="5"/>
          </w:tcPr>
          <w:p>
            <w:pPr>
              <w:spacing w:after="0"/>
              <w:rPr>
                <w:sz w:val="20"/>
                <w:szCs w:val="20"/>
                <w:color w:val="auto"/>
              </w:rPr>
            </w:pPr>
            <w:r>
              <w:rPr>
                <w:rFonts w:ascii="Arial" w:cs="Arial" w:eastAsia="Arial" w:hAnsi="Arial"/>
                <w:sz w:val="10"/>
                <w:szCs w:val="10"/>
                <w:color w:val="auto"/>
              </w:rPr>
              <w:t>Weighted average common shares and units outstanding - basic</w:t>
            </w:r>
          </w:p>
        </w:tc>
        <w:tc>
          <w:tcPr>
            <w:tcW w:w="160" w:type="dxa"/>
            <w:vAlign w:val="bottom"/>
          </w:tcPr>
          <w:p>
            <w:pPr>
              <w:spacing w:after="0"/>
              <w:rPr>
                <w:sz w:val="13"/>
                <w:szCs w:val="13"/>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75,667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74,331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74,318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74,455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74,527</w:t>
            </w:r>
          </w:p>
        </w:tc>
        <w:tc>
          <w:tcPr>
            <w:tcW w:w="0" w:type="dxa"/>
            <w:vAlign w:val="bottom"/>
          </w:tcPr>
          <w:p>
            <w:pPr>
              <w:spacing w:after="0"/>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Weighted average common shares and units outstanding - diluted</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77,250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76,594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76,428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76,278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76,333</w:t>
            </w:r>
          </w:p>
        </w:tc>
        <w:tc>
          <w:tcPr>
            <w:tcW w:w="0" w:type="dxa"/>
            <w:vAlign w:val="bottom"/>
          </w:tcPr>
          <w:p>
            <w:pPr>
              <w:spacing w:after="0"/>
              <w:rPr>
                <w:sz w:val="1"/>
                <w:szCs w:val="1"/>
                <w:color w:val="auto"/>
              </w:rPr>
            </w:pPr>
          </w:p>
        </w:tc>
      </w:tr>
      <w:tr>
        <w:trPr>
          <w:trHeight w:val="196"/>
        </w:trPr>
        <w:tc>
          <w:tcPr>
            <w:tcW w:w="3700" w:type="dxa"/>
            <w:vAlign w:val="bottom"/>
            <w:gridSpan w:val="5"/>
          </w:tcPr>
          <w:p>
            <w:pPr>
              <w:spacing w:after="0"/>
              <w:rPr>
                <w:sz w:val="20"/>
                <w:szCs w:val="20"/>
                <w:color w:val="auto"/>
              </w:rPr>
            </w:pPr>
            <w:r>
              <w:rPr>
                <w:rFonts w:ascii="Arial" w:cs="Arial" w:eastAsia="Arial" w:hAnsi="Arial"/>
                <w:sz w:val="10"/>
                <w:szCs w:val="10"/>
                <w:b w:val="1"/>
                <w:bCs w:val="1"/>
                <w:color w:val="auto"/>
              </w:rPr>
              <w:t>Market Capitalization</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Market value of common equity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2,844,454</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3,487,817</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4,538,263</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4,696,848</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4,386,700</w:t>
            </w:r>
          </w:p>
        </w:tc>
        <w:tc>
          <w:tcPr>
            <w:tcW w:w="0" w:type="dxa"/>
            <w:vAlign w:val="bottom"/>
          </w:tcPr>
          <w:p>
            <w:pPr>
              <w:spacing w:after="0"/>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Liquidation value of preferred equity/units and redeemable equity</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434,318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429,271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424,393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425,141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426,016</w:t>
            </w:r>
          </w:p>
        </w:tc>
        <w:tc>
          <w:tcPr>
            <w:tcW w:w="0" w:type="dxa"/>
            <w:vAlign w:val="bottom"/>
          </w:tcPr>
          <w:p>
            <w:pPr>
              <w:spacing w:after="0"/>
              <w:rPr>
                <w:sz w:val="1"/>
                <w:szCs w:val="1"/>
                <w:color w:val="auto"/>
              </w:rPr>
            </w:pPr>
          </w:p>
        </w:tc>
      </w:tr>
      <w:tr>
        <w:trPr>
          <w:trHeight w:val="138"/>
        </w:trPr>
        <w:tc>
          <w:tcPr>
            <w:tcW w:w="3700" w:type="dxa"/>
            <w:vAlign w:val="bottom"/>
            <w:gridSpan w:val="5"/>
          </w:tcPr>
          <w:p>
            <w:pPr>
              <w:spacing w:after="0"/>
              <w:rPr>
                <w:sz w:val="20"/>
                <w:szCs w:val="20"/>
                <w:color w:val="auto"/>
              </w:rPr>
            </w:pPr>
            <w:r>
              <w:rPr>
                <w:rFonts w:ascii="Arial" w:cs="Arial" w:eastAsia="Arial" w:hAnsi="Arial"/>
                <w:sz w:val="10"/>
                <w:szCs w:val="10"/>
                <w:color w:val="auto"/>
              </w:rPr>
              <w:t>Consolidated debt</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4,774,283</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4,044,499</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4,028,382</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3,753,402</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3,876,727</w:t>
            </w:r>
          </w:p>
        </w:tc>
        <w:tc>
          <w:tcPr>
            <w:tcW w:w="0" w:type="dxa"/>
            <w:vAlign w:val="bottom"/>
          </w:tcPr>
          <w:p>
            <w:pPr>
              <w:spacing w:after="0"/>
              <w:rPr>
                <w:sz w:val="1"/>
                <w:szCs w:val="1"/>
                <w:color w:val="auto"/>
              </w:rPr>
            </w:pPr>
          </w:p>
        </w:tc>
      </w:tr>
      <w:tr>
        <w:trPr>
          <w:trHeight w:val="128"/>
        </w:trPr>
        <w:tc>
          <w:tcPr>
            <w:tcW w:w="3700" w:type="dxa"/>
            <w:vAlign w:val="bottom"/>
            <w:gridSpan w:val="5"/>
          </w:tcPr>
          <w:p>
            <w:pPr>
              <w:spacing w:after="0"/>
              <w:rPr>
                <w:sz w:val="20"/>
                <w:szCs w:val="20"/>
                <w:color w:val="auto"/>
              </w:rPr>
            </w:pPr>
            <w:r>
              <w:rPr>
                <w:rFonts w:ascii="Arial" w:cs="Arial" w:eastAsia="Arial" w:hAnsi="Arial"/>
                <w:sz w:val="10"/>
                <w:szCs w:val="10"/>
                <w:color w:val="auto"/>
              </w:rPr>
              <w:t>Consolidated market capitalization</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8,053,055</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7,961,587</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8,991,038</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8,875,391</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8,689,443</w:t>
            </w:r>
          </w:p>
        </w:tc>
        <w:tc>
          <w:tcPr>
            <w:tcW w:w="0" w:type="dxa"/>
            <w:vAlign w:val="bottom"/>
          </w:tcPr>
          <w:p>
            <w:pPr>
              <w:spacing w:after="0"/>
              <w:rPr>
                <w:sz w:val="1"/>
                <w:szCs w:val="1"/>
                <w:color w:val="auto"/>
              </w:rPr>
            </w:pPr>
          </w:p>
        </w:tc>
      </w:tr>
      <w:tr>
        <w:trPr>
          <w:trHeight w:val="142"/>
        </w:trPr>
        <w:tc>
          <w:tcPr>
            <w:tcW w:w="3700" w:type="dxa"/>
            <w:vAlign w:val="bottom"/>
            <w:gridSpan w:val="5"/>
          </w:tcPr>
          <w:p>
            <w:pPr>
              <w:spacing w:after="0"/>
              <w:rPr>
                <w:sz w:val="20"/>
                <w:szCs w:val="20"/>
                <w:color w:val="auto"/>
              </w:rPr>
            </w:pPr>
            <w:r>
              <w:rPr>
                <w:rFonts w:ascii="Arial" w:cs="Arial" w:eastAsia="Arial" w:hAnsi="Arial"/>
                <w:sz w:val="10"/>
                <w:szCs w:val="10"/>
                <w:color w:val="auto"/>
              </w:rPr>
              <w:t>SLG share of unconsolidated JV debt</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5,997,411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5,897,198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5,805,174</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6,043,432</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6,033,918</w:t>
            </w:r>
          </w:p>
        </w:tc>
        <w:tc>
          <w:tcPr>
            <w:tcW w:w="0" w:type="dxa"/>
            <w:vAlign w:val="bottom"/>
          </w:tcPr>
          <w:p>
            <w:pPr>
              <w:spacing w:after="0"/>
              <w:rPr>
                <w:sz w:val="1"/>
                <w:szCs w:val="1"/>
                <w:color w:val="auto"/>
              </w:rPr>
            </w:pPr>
          </w:p>
        </w:tc>
      </w:tr>
      <w:tr>
        <w:trPr>
          <w:trHeight w:val="132"/>
        </w:trPr>
        <w:tc>
          <w:tcPr>
            <w:tcW w:w="3700" w:type="dxa"/>
            <w:vAlign w:val="bottom"/>
            <w:gridSpan w:val="5"/>
          </w:tcPr>
          <w:p>
            <w:pPr>
              <w:spacing w:after="0"/>
              <w:rPr>
                <w:sz w:val="20"/>
                <w:szCs w:val="20"/>
                <w:color w:val="auto"/>
              </w:rPr>
            </w:pPr>
            <w:r>
              <w:rPr>
                <w:rFonts w:ascii="Arial" w:cs="Arial" w:eastAsia="Arial" w:hAnsi="Arial"/>
                <w:sz w:val="10"/>
                <w:szCs w:val="10"/>
                <w:color w:val="auto"/>
              </w:rPr>
              <w:t>Market capitalization including SLG share of unconsolidated JVs</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14,050,466</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13,858,785</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14,796,212</w:t>
            </w:r>
          </w:p>
        </w:tc>
        <w:tc>
          <w:tcPr>
            <w:tcW w:w="20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14,918,823</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14,723,361</w:t>
            </w:r>
          </w:p>
        </w:tc>
        <w:tc>
          <w:tcPr>
            <w:tcW w:w="0" w:type="dxa"/>
            <w:vAlign w:val="bottom"/>
          </w:tcPr>
          <w:p>
            <w:pPr>
              <w:spacing w:after="0"/>
              <w:rPr>
                <w:sz w:val="1"/>
                <w:szCs w:val="1"/>
                <w:color w:val="auto"/>
              </w:rPr>
            </w:pPr>
          </w:p>
        </w:tc>
      </w:tr>
      <w:tr>
        <w:trPr>
          <w:trHeight w:val="20"/>
        </w:trPr>
        <w:tc>
          <w:tcPr>
            <w:tcW w:w="3700" w:type="dxa"/>
            <w:vAlign w:val="bottom"/>
            <w:gridSpan w:val="5"/>
            <w:vMerge w:val="restart"/>
          </w:tcPr>
          <w:p>
            <w:pPr>
              <w:spacing w:after="0"/>
              <w:rPr>
                <w:sz w:val="20"/>
                <w:szCs w:val="20"/>
                <w:color w:val="auto"/>
              </w:rPr>
            </w:pPr>
            <w:r>
              <w:rPr>
                <w:rFonts w:ascii="Arial" w:cs="Arial" w:eastAsia="Arial" w:hAnsi="Arial"/>
                <w:sz w:val="10"/>
                <w:szCs w:val="10"/>
                <w:color w:val="auto"/>
              </w:rPr>
              <w:t>Debt service coverage, including SLG share of unconsolidated JVs (trailing 12</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7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500"/>
              <w:spacing w:after="0"/>
              <w:rPr>
                <w:sz w:val="20"/>
                <w:szCs w:val="20"/>
                <w:color w:val="auto"/>
              </w:rPr>
            </w:pPr>
            <w:r>
              <w:rPr>
                <w:rFonts w:ascii="Arial" w:cs="Arial" w:eastAsia="Arial" w:hAnsi="Arial"/>
                <w:sz w:val="10"/>
                <w:szCs w:val="10"/>
                <w:color w:val="auto"/>
              </w:rPr>
              <w:t>1.71x</w:t>
            </w:r>
          </w:p>
        </w:tc>
        <w:tc>
          <w:tcPr>
            <w:tcW w:w="140" w:type="dxa"/>
            <w:vAlign w:val="bottom"/>
          </w:tcPr>
          <w:p>
            <w:pPr>
              <w:spacing w:after="0"/>
              <w:rPr>
                <w:sz w:val="12"/>
                <w:szCs w:val="12"/>
                <w:color w:val="auto"/>
              </w:rPr>
            </w:pPr>
          </w:p>
        </w:tc>
        <w:tc>
          <w:tcPr>
            <w:tcW w:w="980" w:type="dxa"/>
            <w:vAlign w:val="bottom"/>
            <w:gridSpan w:val="2"/>
            <w:vMerge w:val="restart"/>
          </w:tcPr>
          <w:p>
            <w:pPr>
              <w:ind w:left="520"/>
              <w:spacing w:after="0"/>
              <w:rPr>
                <w:sz w:val="20"/>
                <w:szCs w:val="20"/>
                <w:color w:val="auto"/>
              </w:rPr>
            </w:pPr>
            <w:r>
              <w:rPr>
                <w:rFonts w:ascii="Arial" w:cs="Arial" w:eastAsia="Arial" w:hAnsi="Arial"/>
                <w:sz w:val="10"/>
                <w:szCs w:val="10"/>
                <w:color w:val="auto"/>
              </w:rPr>
              <w:t>1.81x</w:t>
            </w:r>
          </w:p>
        </w:tc>
        <w:tc>
          <w:tcPr>
            <w:tcW w:w="140" w:type="dxa"/>
            <w:vAlign w:val="bottom"/>
          </w:tcPr>
          <w:p>
            <w:pPr>
              <w:spacing w:after="0"/>
              <w:rPr>
                <w:sz w:val="12"/>
                <w:szCs w:val="12"/>
                <w:color w:val="auto"/>
              </w:rPr>
            </w:pPr>
          </w:p>
        </w:tc>
        <w:tc>
          <w:tcPr>
            <w:tcW w:w="960" w:type="dxa"/>
            <w:vAlign w:val="bottom"/>
            <w:gridSpan w:val="2"/>
            <w:vMerge w:val="restart"/>
          </w:tcPr>
          <w:p>
            <w:pPr>
              <w:ind w:left="500"/>
              <w:spacing w:after="0"/>
              <w:rPr>
                <w:sz w:val="20"/>
                <w:szCs w:val="20"/>
                <w:color w:val="auto"/>
              </w:rPr>
            </w:pPr>
            <w:r>
              <w:rPr>
                <w:rFonts w:ascii="Arial" w:cs="Arial" w:eastAsia="Arial" w:hAnsi="Arial"/>
                <w:sz w:val="10"/>
                <w:szCs w:val="10"/>
                <w:color w:val="auto"/>
              </w:rPr>
              <w:t>1.86x</w:t>
            </w:r>
          </w:p>
        </w:tc>
        <w:tc>
          <w:tcPr>
            <w:tcW w:w="200" w:type="dxa"/>
            <w:vAlign w:val="bottom"/>
          </w:tcPr>
          <w:p>
            <w:pPr>
              <w:spacing w:after="0"/>
              <w:rPr>
                <w:sz w:val="12"/>
                <w:szCs w:val="12"/>
                <w:color w:val="auto"/>
              </w:rPr>
            </w:pPr>
          </w:p>
        </w:tc>
        <w:tc>
          <w:tcPr>
            <w:tcW w:w="920" w:type="dxa"/>
            <w:vAlign w:val="bottom"/>
            <w:gridSpan w:val="2"/>
            <w:vMerge w:val="restart"/>
          </w:tcPr>
          <w:p>
            <w:pPr>
              <w:ind w:left="460"/>
              <w:spacing w:after="0"/>
              <w:rPr>
                <w:sz w:val="20"/>
                <w:szCs w:val="20"/>
                <w:color w:val="auto"/>
              </w:rPr>
            </w:pPr>
            <w:r>
              <w:rPr>
                <w:rFonts w:ascii="Arial" w:cs="Arial" w:eastAsia="Arial" w:hAnsi="Arial"/>
                <w:sz w:val="10"/>
                <w:szCs w:val="10"/>
                <w:color w:val="auto"/>
              </w:rPr>
              <w:t>1.85x</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1.83x</w:t>
            </w:r>
          </w:p>
        </w:tc>
        <w:tc>
          <w:tcPr>
            <w:tcW w:w="0" w:type="dxa"/>
            <w:vAlign w:val="bottom"/>
          </w:tcPr>
          <w:p>
            <w:pPr>
              <w:spacing w:after="0"/>
              <w:rPr>
                <w:sz w:val="1"/>
                <w:szCs w:val="1"/>
                <w:color w:val="auto"/>
              </w:rPr>
            </w:pPr>
          </w:p>
        </w:tc>
      </w:tr>
      <w:tr>
        <w:trPr>
          <w:trHeight w:val="127"/>
        </w:trPr>
        <w:tc>
          <w:tcPr>
            <w:tcW w:w="3700" w:type="dxa"/>
            <w:vAlign w:val="bottom"/>
            <w:gridSpan w:val="5"/>
          </w:tcPr>
          <w:p>
            <w:pPr>
              <w:spacing w:after="0"/>
              <w:rPr>
                <w:sz w:val="20"/>
                <w:szCs w:val="20"/>
                <w:color w:val="auto"/>
              </w:rPr>
            </w:pPr>
            <w:r>
              <w:rPr>
                <w:rFonts w:ascii="Arial" w:cs="Arial" w:eastAsia="Arial" w:hAnsi="Arial"/>
                <w:sz w:val="10"/>
                <w:szCs w:val="10"/>
                <w:color w:val="auto"/>
              </w:rPr>
              <w:t>months)</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700" w:type="dxa"/>
            <w:vAlign w:val="bottom"/>
            <w:gridSpan w:val="5"/>
          </w:tcPr>
          <w:p>
            <w:pPr>
              <w:spacing w:after="0" w:line="109" w:lineRule="exact"/>
              <w:rPr>
                <w:sz w:val="20"/>
                <w:szCs w:val="20"/>
                <w:color w:val="auto"/>
              </w:rPr>
            </w:pPr>
            <w:r>
              <w:rPr>
                <w:rFonts w:ascii="Arial" w:cs="Arial" w:eastAsia="Arial" w:hAnsi="Arial"/>
                <w:sz w:val="10"/>
                <w:szCs w:val="10"/>
                <w:color w:val="auto"/>
              </w:rPr>
              <w:t>Fixed charge coverage, including SLG share of unconsolidated JVs (trailing 12</w:t>
            </w:r>
          </w:p>
        </w:tc>
        <w:tc>
          <w:tcPr>
            <w:tcW w:w="160" w:type="dxa"/>
            <w:vAlign w:val="bottom"/>
          </w:tcPr>
          <w:p>
            <w:pPr>
              <w:spacing w:after="0"/>
              <w:rPr>
                <w:sz w:val="9"/>
                <w:szCs w:val="9"/>
                <w:color w:val="auto"/>
              </w:rPr>
            </w:pPr>
          </w:p>
        </w:tc>
        <w:tc>
          <w:tcPr>
            <w:tcW w:w="960" w:type="dxa"/>
            <w:vAlign w:val="bottom"/>
            <w:gridSpan w:val="2"/>
            <w:vMerge w:val="restart"/>
          </w:tcPr>
          <w:p>
            <w:pPr>
              <w:ind w:left="500"/>
              <w:spacing w:after="0"/>
              <w:rPr>
                <w:sz w:val="20"/>
                <w:szCs w:val="20"/>
                <w:color w:val="auto"/>
              </w:rPr>
            </w:pPr>
            <w:r>
              <w:rPr>
                <w:rFonts w:ascii="Arial" w:cs="Arial" w:eastAsia="Arial" w:hAnsi="Arial"/>
                <w:sz w:val="10"/>
                <w:szCs w:val="10"/>
                <w:color w:val="auto"/>
              </w:rPr>
              <w:t>1.56x</w:t>
            </w:r>
          </w:p>
        </w:tc>
        <w:tc>
          <w:tcPr>
            <w:tcW w:w="140" w:type="dxa"/>
            <w:vAlign w:val="bottom"/>
          </w:tcPr>
          <w:p>
            <w:pPr>
              <w:spacing w:after="0"/>
              <w:rPr>
                <w:sz w:val="9"/>
                <w:szCs w:val="9"/>
                <w:color w:val="auto"/>
              </w:rPr>
            </w:pPr>
          </w:p>
        </w:tc>
        <w:tc>
          <w:tcPr>
            <w:tcW w:w="980" w:type="dxa"/>
            <w:vAlign w:val="bottom"/>
            <w:gridSpan w:val="2"/>
            <w:vMerge w:val="restart"/>
          </w:tcPr>
          <w:p>
            <w:pPr>
              <w:ind w:left="520"/>
              <w:spacing w:after="0"/>
              <w:rPr>
                <w:sz w:val="20"/>
                <w:szCs w:val="20"/>
                <w:color w:val="auto"/>
              </w:rPr>
            </w:pPr>
            <w:r>
              <w:rPr>
                <w:rFonts w:ascii="Arial" w:cs="Arial" w:eastAsia="Arial" w:hAnsi="Arial"/>
                <w:sz w:val="10"/>
                <w:szCs w:val="10"/>
                <w:color w:val="auto"/>
              </w:rPr>
              <w:t>1.65x</w:t>
            </w:r>
          </w:p>
        </w:tc>
        <w:tc>
          <w:tcPr>
            <w:tcW w:w="140" w:type="dxa"/>
            <w:vAlign w:val="bottom"/>
          </w:tcPr>
          <w:p>
            <w:pPr>
              <w:spacing w:after="0"/>
              <w:rPr>
                <w:sz w:val="9"/>
                <w:szCs w:val="9"/>
                <w:color w:val="auto"/>
              </w:rPr>
            </w:pPr>
          </w:p>
        </w:tc>
        <w:tc>
          <w:tcPr>
            <w:tcW w:w="960" w:type="dxa"/>
            <w:vAlign w:val="bottom"/>
            <w:gridSpan w:val="2"/>
            <w:vMerge w:val="restart"/>
          </w:tcPr>
          <w:p>
            <w:pPr>
              <w:ind w:left="500"/>
              <w:spacing w:after="0"/>
              <w:rPr>
                <w:sz w:val="20"/>
                <w:szCs w:val="20"/>
                <w:color w:val="auto"/>
              </w:rPr>
            </w:pPr>
            <w:r>
              <w:rPr>
                <w:rFonts w:ascii="Arial" w:cs="Arial" w:eastAsia="Arial" w:hAnsi="Arial"/>
                <w:sz w:val="10"/>
                <w:szCs w:val="10"/>
                <w:color w:val="auto"/>
              </w:rPr>
              <w:t>1.69x</w:t>
            </w:r>
          </w:p>
        </w:tc>
        <w:tc>
          <w:tcPr>
            <w:tcW w:w="200" w:type="dxa"/>
            <w:vAlign w:val="bottom"/>
          </w:tcPr>
          <w:p>
            <w:pPr>
              <w:spacing w:after="0"/>
              <w:rPr>
                <w:sz w:val="9"/>
                <w:szCs w:val="9"/>
                <w:color w:val="auto"/>
              </w:rPr>
            </w:pPr>
          </w:p>
        </w:tc>
        <w:tc>
          <w:tcPr>
            <w:tcW w:w="920" w:type="dxa"/>
            <w:vAlign w:val="bottom"/>
            <w:gridSpan w:val="2"/>
            <w:vMerge w:val="restart"/>
          </w:tcPr>
          <w:p>
            <w:pPr>
              <w:ind w:left="460"/>
              <w:spacing w:after="0"/>
              <w:rPr>
                <w:sz w:val="20"/>
                <w:szCs w:val="20"/>
                <w:color w:val="auto"/>
              </w:rPr>
            </w:pPr>
            <w:r>
              <w:rPr>
                <w:rFonts w:ascii="Arial" w:cs="Arial" w:eastAsia="Arial" w:hAnsi="Arial"/>
                <w:sz w:val="10"/>
                <w:szCs w:val="10"/>
                <w:color w:val="auto"/>
              </w:rPr>
              <w:t>1.67x</w:t>
            </w:r>
          </w:p>
        </w:tc>
        <w:tc>
          <w:tcPr>
            <w:tcW w:w="1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1.66x</w:t>
            </w:r>
          </w:p>
        </w:tc>
        <w:tc>
          <w:tcPr>
            <w:tcW w:w="0" w:type="dxa"/>
            <w:vAlign w:val="bottom"/>
          </w:tcPr>
          <w:p>
            <w:pPr>
              <w:spacing w:after="0"/>
              <w:rPr>
                <w:sz w:val="1"/>
                <w:szCs w:val="1"/>
                <w:color w:val="auto"/>
              </w:rPr>
            </w:pPr>
          </w:p>
        </w:tc>
      </w:tr>
      <w:tr>
        <w:trPr>
          <w:trHeight w:val="127"/>
        </w:trPr>
        <w:tc>
          <w:tcPr>
            <w:tcW w:w="3700" w:type="dxa"/>
            <w:vAlign w:val="bottom"/>
            <w:gridSpan w:val="5"/>
          </w:tcPr>
          <w:p>
            <w:pPr>
              <w:spacing w:after="0"/>
              <w:rPr>
                <w:sz w:val="20"/>
                <w:szCs w:val="20"/>
                <w:color w:val="auto"/>
              </w:rPr>
            </w:pPr>
            <w:r>
              <w:rPr>
                <w:rFonts w:ascii="Arial" w:cs="Arial" w:eastAsia="Arial" w:hAnsi="Arial"/>
                <w:sz w:val="10"/>
                <w:szCs w:val="10"/>
                <w:color w:val="auto"/>
              </w:rPr>
              <w:t>months)</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460" w:val="left"/>
          <w:tab w:leader="none" w:pos="828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8</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60"/>
          </w:cols>
          <w:pgMar w:left="1420" w:top="304" w:right="141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-121285</wp:posOffset>
            </wp:positionV>
            <wp:extent cx="577088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-21590</wp:posOffset>
            </wp:positionV>
            <wp:extent cx="1136650" cy="324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577088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80645</wp:posOffset>
            </wp:positionV>
            <wp:extent cx="577088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As of or for the three months ended</w:t>
            </w: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27"/>
        </w:trPr>
        <w:tc>
          <w:tcPr>
            <w:tcW w:w="1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b w:val="1"/>
                <w:bCs w:val="1"/>
                <w:color w:val="auto"/>
              </w:rPr>
              <w:t>12/31/2025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9/30/2025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91"/>
              <w:spacing w:after="0"/>
              <w:rPr>
                <w:sz w:val="20"/>
                <w:szCs w:val="20"/>
                <w:color w:val="auto"/>
              </w:rPr>
            </w:pPr>
            <w:r>
              <w:rPr>
                <w:rFonts w:ascii="Arial" w:cs="Arial" w:eastAsia="Arial" w:hAnsi="Arial"/>
                <w:sz w:val="10"/>
                <w:szCs w:val="10"/>
                <w:b w:val="1"/>
                <w:bCs w:val="1"/>
                <w:color w:val="auto"/>
              </w:rPr>
              <w:t>6/30/2025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3/31/2025</w:t>
            </w:r>
          </w:p>
        </w:tc>
      </w:tr>
      <w:tr>
        <w:trPr>
          <w:trHeight w:val="229"/>
        </w:trPr>
        <w:tc>
          <w:tcPr>
            <w:tcW w:w="3700" w:type="dxa"/>
            <w:vAlign w:val="bottom"/>
            <w:gridSpan w:val="2"/>
          </w:tcPr>
          <w:p>
            <w:pPr>
              <w:spacing w:after="0"/>
              <w:rPr>
                <w:sz w:val="20"/>
                <w:szCs w:val="20"/>
                <w:color w:val="auto"/>
              </w:rPr>
            </w:pPr>
            <w:r>
              <w:rPr>
                <w:rFonts w:ascii="Arial" w:cs="Arial" w:eastAsia="Arial" w:hAnsi="Arial"/>
                <w:sz w:val="10"/>
                <w:szCs w:val="10"/>
                <w:b w:val="1"/>
                <w:bCs w:val="1"/>
                <w:color w:val="auto"/>
              </w:rPr>
              <w:t>Selected Balance Sheet Data</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3700" w:type="dxa"/>
            <w:vAlign w:val="bottom"/>
            <w:gridSpan w:val="2"/>
          </w:tcPr>
          <w:p>
            <w:pPr>
              <w:spacing w:after="0"/>
              <w:rPr>
                <w:sz w:val="20"/>
                <w:szCs w:val="20"/>
                <w:color w:val="auto"/>
              </w:rPr>
            </w:pPr>
            <w:r>
              <w:rPr>
                <w:rFonts w:ascii="Arial" w:cs="Arial" w:eastAsia="Arial" w:hAnsi="Arial"/>
                <w:sz w:val="10"/>
                <w:szCs w:val="10"/>
                <w:color w:val="auto"/>
              </w:rPr>
              <w:t>Real estate assets before depreciation</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7,612,191</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7,159,632</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7,135,236</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6,731,336</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6,678,906</w:t>
            </w:r>
          </w:p>
        </w:tc>
      </w:tr>
      <w:tr>
        <w:trPr>
          <w:trHeight w:val="138"/>
        </w:trPr>
        <w:tc>
          <w:tcPr>
            <w:tcW w:w="3700" w:type="dxa"/>
            <w:vAlign w:val="bottom"/>
            <w:gridSpan w:val="2"/>
          </w:tcPr>
          <w:p>
            <w:pPr>
              <w:spacing w:after="0"/>
              <w:rPr>
                <w:sz w:val="20"/>
                <w:szCs w:val="20"/>
                <w:color w:val="auto"/>
              </w:rPr>
            </w:pPr>
            <w:r>
              <w:rPr>
                <w:rFonts w:ascii="Arial" w:cs="Arial" w:eastAsia="Arial" w:hAnsi="Arial"/>
                <w:sz w:val="10"/>
                <w:szCs w:val="10"/>
                <w:color w:val="auto"/>
              </w:rPr>
              <w:t>Debt and preferred equity investments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118,083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168,358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171,412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315,684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318,189</w:t>
            </w:r>
          </w:p>
        </w:tc>
      </w:tr>
      <w:tr>
        <w:trPr>
          <w:trHeight w:val="138"/>
        </w:trPr>
        <w:tc>
          <w:tcPr>
            <w:tcW w:w="3700" w:type="dxa"/>
            <w:vAlign w:val="bottom"/>
            <w:gridSpan w:val="2"/>
          </w:tcPr>
          <w:p>
            <w:pPr>
              <w:spacing w:after="0"/>
              <w:rPr>
                <w:sz w:val="20"/>
                <w:szCs w:val="20"/>
                <w:color w:val="auto"/>
              </w:rPr>
            </w:pPr>
            <w:r>
              <w:rPr>
                <w:rFonts w:ascii="Arial" w:cs="Arial" w:eastAsia="Arial" w:hAnsi="Arial"/>
                <w:sz w:val="10"/>
                <w:szCs w:val="10"/>
                <w:color w:val="auto"/>
              </w:rPr>
              <w:t>Investments in unconsolidated joint ventures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2,500,573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2,624,755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2,627,443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2,701,382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2,712,582</w:t>
            </w:r>
          </w:p>
        </w:tc>
      </w:tr>
      <w:tr>
        <w:trPr>
          <w:trHeight w:val="138"/>
        </w:trPr>
        <w:tc>
          <w:tcPr>
            <w:tcW w:w="3700" w:type="dxa"/>
            <w:vAlign w:val="bottom"/>
            <w:gridSpan w:val="2"/>
          </w:tcPr>
          <w:p>
            <w:pPr>
              <w:spacing w:after="0"/>
              <w:rPr>
                <w:sz w:val="20"/>
                <w:szCs w:val="20"/>
                <w:color w:val="auto"/>
              </w:rPr>
            </w:pPr>
            <w:r>
              <w:rPr>
                <w:rFonts w:ascii="Arial" w:cs="Arial" w:eastAsia="Arial" w:hAnsi="Arial"/>
                <w:sz w:val="10"/>
                <w:szCs w:val="10"/>
                <w:color w:val="auto"/>
              </w:rPr>
              <w:t>Debt fund investments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293,243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152,958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73,402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41,356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38"/>
        </w:trPr>
        <w:tc>
          <w:tcPr>
            <w:tcW w:w="3700" w:type="dxa"/>
            <w:vAlign w:val="bottom"/>
            <w:gridSpan w:val="2"/>
          </w:tcPr>
          <w:p>
            <w:pPr>
              <w:spacing w:after="0"/>
              <w:rPr>
                <w:sz w:val="20"/>
                <w:szCs w:val="20"/>
                <w:color w:val="auto"/>
              </w:rPr>
            </w:pPr>
            <w:r>
              <w:rPr>
                <w:rFonts w:ascii="Arial" w:cs="Arial" w:eastAsia="Arial" w:hAnsi="Arial"/>
                <w:sz w:val="10"/>
                <w:szCs w:val="10"/>
                <w:color w:val="auto"/>
              </w:rPr>
              <w:t>Cash and cash equivalents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143,867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155,747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187,039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182,912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180,133</w:t>
            </w:r>
          </w:p>
        </w:tc>
      </w:tr>
      <w:tr>
        <w:trPr>
          <w:trHeight w:val="148"/>
        </w:trPr>
        <w:tc>
          <w:tcPr>
            <w:tcW w:w="3700" w:type="dxa"/>
            <w:vAlign w:val="bottom"/>
            <w:gridSpan w:val="2"/>
          </w:tcPr>
          <w:p>
            <w:pPr>
              <w:spacing w:after="0"/>
              <w:rPr>
                <w:sz w:val="20"/>
                <w:szCs w:val="20"/>
                <w:color w:val="auto"/>
              </w:rPr>
            </w:pPr>
            <w:r>
              <w:rPr>
                <w:rFonts w:ascii="Arial" w:cs="Arial" w:eastAsia="Arial" w:hAnsi="Arial"/>
                <w:sz w:val="10"/>
                <w:szCs w:val="10"/>
                <w:color w:val="auto"/>
              </w:rPr>
              <w:t>Investment in marketable securities</w:t>
            </w:r>
          </w:p>
        </w:tc>
        <w:tc>
          <w:tcPr>
            <w:tcW w:w="16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25,330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23,666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16,099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17,151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12,295</w:t>
            </w:r>
          </w:p>
        </w:tc>
      </w:tr>
      <w:tr>
        <w:trPr>
          <w:trHeight w:val="216"/>
        </w:trPr>
        <w:tc>
          <w:tcPr>
            <w:tcW w:w="3700" w:type="dxa"/>
            <w:vAlign w:val="bottom"/>
            <w:gridSpan w:val="2"/>
          </w:tcPr>
          <w:p>
            <w:pPr>
              <w:spacing w:after="0"/>
              <w:rPr>
                <w:sz w:val="20"/>
                <w:szCs w:val="20"/>
                <w:color w:val="auto"/>
              </w:rPr>
            </w:pPr>
            <w:r>
              <w:rPr>
                <w:rFonts w:ascii="Arial" w:cs="Arial" w:eastAsia="Arial" w:hAnsi="Arial"/>
                <w:sz w:val="10"/>
                <w:szCs w:val="10"/>
                <w:color w:val="auto"/>
              </w:rPr>
              <w:t>Total assets</w:t>
            </w:r>
          </w:p>
        </w:tc>
        <w:tc>
          <w:tcPr>
            <w:tcW w:w="1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11,758,750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11,082,607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11,144,137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11,252,329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11,410,623</w:t>
            </w:r>
          </w:p>
        </w:tc>
      </w:tr>
      <w:tr>
        <w:trPr>
          <w:trHeight w:val="216"/>
        </w:trPr>
        <w:tc>
          <w:tcPr>
            <w:tcW w:w="3700" w:type="dxa"/>
            <w:vAlign w:val="bottom"/>
            <w:gridSpan w:val="2"/>
          </w:tcPr>
          <w:p>
            <w:pPr>
              <w:spacing w:after="0"/>
              <w:rPr>
                <w:sz w:val="20"/>
                <w:szCs w:val="20"/>
                <w:color w:val="auto"/>
              </w:rPr>
            </w:pPr>
            <w:r>
              <w:rPr>
                <w:rFonts w:ascii="Arial" w:cs="Arial" w:eastAsia="Arial" w:hAnsi="Arial"/>
                <w:sz w:val="10"/>
                <w:szCs w:val="10"/>
                <w:color w:val="auto"/>
              </w:rPr>
              <w:t>Consolidated fixed rate &amp; hedged debt</w:t>
            </w:r>
          </w:p>
        </w:tc>
        <w:tc>
          <w:tcPr>
            <w:tcW w:w="1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4,108,672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3,678,450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3,603,866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3,367,249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3,367,361</w:t>
            </w:r>
          </w:p>
        </w:tc>
      </w:tr>
      <w:tr>
        <w:trPr>
          <w:trHeight w:val="138"/>
        </w:trPr>
        <w:tc>
          <w:tcPr>
            <w:tcW w:w="3700" w:type="dxa"/>
            <w:vAlign w:val="bottom"/>
            <w:gridSpan w:val="2"/>
          </w:tcPr>
          <w:p>
            <w:pPr>
              <w:spacing w:after="0"/>
              <w:rPr>
                <w:sz w:val="20"/>
                <w:szCs w:val="20"/>
                <w:color w:val="auto"/>
              </w:rPr>
            </w:pPr>
            <w:r>
              <w:rPr>
                <w:rFonts w:ascii="Arial" w:cs="Arial" w:eastAsia="Arial" w:hAnsi="Arial"/>
                <w:sz w:val="10"/>
                <w:szCs w:val="10"/>
                <w:color w:val="auto"/>
              </w:rPr>
              <w:t>Consolidated variable rate debt</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665,611</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366,049</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424,516</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386,153</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509,366</w:t>
            </w:r>
          </w:p>
        </w:tc>
      </w:tr>
      <w:tr>
        <w:trPr>
          <w:trHeight w:val="128"/>
        </w:trPr>
        <w:tc>
          <w:tcPr>
            <w:tcW w:w="3700" w:type="dxa"/>
            <w:vAlign w:val="bottom"/>
            <w:gridSpan w:val="2"/>
          </w:tcPr>
          <w:p>
            <w:pPr>
              <w:spacing w:after="0"/>
              <w:rPr>
                <w:sz w:val="20"/>
                <w:szCs w:val="20"/>
                <w:color w:val="auto"/>
              </w:rPr>
            </w:pPr>
            <w:r>
              <w:rPr>
                <w:rFonts w:ascii="Arial" w:cs="Arial" w:eastAsia="Arial" w:hAnsi="Arial"/>
                <w:sz w:val="10"/>
                <w:szCs w:val="10"/>
                <w:color w:val="auto"/>
              </w:rPr>
              <w:t>Total consolidated debt</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4,774,283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4,044,499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4,028,382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3,753,402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3,876,727</w:t>
            </w:r>
          </w:p>
        </w:tc>
      </w:tr>
      <w:tr>
        <w:trPr>
          <w:trHeight w:val="142"/>
        </w:trPr>
        <w:tc>
          <w:tcPr>
            <w:tcW w:w="3700" w:type="dxa"/>
            <w:vAlign w:val="bottom"/>
            <w:gridSpan w:val="2"/>
          </w:tcPr>
          <w:p>
            <w:pPr>
              <w:spacing w:after="0"/>
              <w:rPr>
                <w:sz w:val="20"/>
                <w:szCs w:val="20"/>
                <w:color w:val="auto"/>
              </w:rPr>
            </w:pPr>
            <w:r>
              <w:rPr>
                <w:rFonts w:ascii="Arial" w:cs="Arial" w:eastAsia="Arial" w:hAnsi="Arial"/>
                <w:sz w:val="10"/>
                <w:szCs w:val="10"/>
                <w:color w:val="auto"/>
              </w:rPr>
              <w:t>Deferred financing costs, net of amortization</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(35,673)</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(13,063)</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(13,632)</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(13,788)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(15,275)</w:t>
            </w:r>
          </w:p>
        </w:tc>
      </w:tr>
      <w:tr>
        <w:trPr>
          <w:trHeight w:val="132"/>
        </w:trPr>
        <w:tc>
          <w:tcPr>
            <w:tcW w:w="3700" w:type="dxa"/>
            <w:vAlign w:val="bottom"/>
            <w:gridSpan w:val="2"/>
          </w:tcPr>
          <w:p>
            <w:pPr>
              <w:spacing w:after="0"/>
              <w:rPr>
                <w:sz w:val="20"/>
                <w:szCs w:val="20"/>
                <w:color w:val="auto"/>
              </w:rPr>
            </w:pPr>
            <w:r>
              <w:rPr>
                <w:rFonts w:ascii="Arial" w:cs="Arial" w:eastAsia="Arial" w:hAnsi="Arial"/>
                <w:sz w:val="10"/>
                <w:szCs w:val="10"/>
                <w:color w:val="auto"/>
              </w:rPr>
              <w:t>Total consolidated debt, net</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4,738,610</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4,031,436</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4,014,750</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3,739,614</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3,861,452</w:t>
            </w:r>
          </w:p>
        </w:tc>
      </w:tr>
      <w:tr>
        <w:trPr>
          <w:trHeight w:val="20"/>
        </w:trPr>
        <w:tc>
          <w:tcPr>
            <w:tcW w:w="1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7"/>
        </w:trPr>
        <w:tc>
          <w:tcPr>
            <w:tcW w:w="3700" w:type="dxa"/>
            <w:vAlign w:val="bottom"/>
            <w:gridSpan w:val="2"/>
          </w:tcPr>
          <w:p>
            <w:pPr>
              <w:spacing w:after="0"/>
              <w:rPr>
                <w:sz w:val="20"/>
                <w:szCs w:val="20"/>
                <w:color w:val="auto"/>
              </w:rPr>
            </w:pPr>
            <w:r>
              <w:rPr>
                <w:rFonts w:ascii="Arial" w:cs="Arial" w:eastAsia="Arial" w:hAnsi="Arial"/>
                <w:sz w:val="10"/>
                <w:szCs w:val="10"/>
                <w:color w:val="auto"/>
              </w:rPr>
              <w:t>Total liabilities</w:t>
            </w:r>
          </w:p>
        </w:tc>
        <w:tc>
          <w:tcPr>
            <w:tcW w:w="16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7,397,218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6,729,517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6,742,640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6,889,934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6,972,478</w:t>
            </w:r>
          </w:p>
        </w:tc>
      </w:tr>
      <w:tr>
        <w:trPr>
          <w:trHeight w:val="216"/>
        </w:trPr>
        <w:tc>
          <w:tcPr>
            <w:tcW w:w="3700" w:type="dxa"/>
            <w:vAlign w:val="bottom"/>
            <w:gridSpan w:val="2"/>
          </w:tcPr>
          <w:p>
            <w:pPr>
              <w:spacing w:after="0"/>
              <w:rPr>
                <w:sz w:val="20"/>
                <w:szCs w:val="20"/>
                <w:color w:val="auto"/>
              </w:rPr>
            </w:pPr>
            <w:r>
              <w:rPr>
                <w:rFonts w:ascii="Arial" w:cs="Arial" w:eastAsia="Arial" w:hAnsi="Arial"/>
                <w:sz w:val="10"/>
                <w:szCs w:val="10"/>
                <w:color w:val="auto"/>
              </w:rPr>
              <w:t>Fixed rate &amp; hedged debt, including SLG share of unconsolidated JV debt</w:t>
            </w:r>
          </w:p>
        </w:tc>
        <w:tc>
          <w:tcPr>
            <w:tcW w:w="1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9,372,652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9,092,996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8,930,609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8,836,884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8,827,482</w:t>
            </w:r>
          </w:p>
        </w:tc>
      </w:tr>
      <w:tr>
        <w:trPr>
          <w:trHeight w:val="175"/>
        </w:trPr>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Variable rate debt, including SLG share of unconsolidated JV debt </w:t>
            </w:r>
            <w:r>
              <w:rPr>
                <w:rFonts w:ascii="Arial" w:cs="Arial" w:eastAsia="Arial" w:hAnsi="Arial"/>
                <w:sz w:val="12"/>
                <w:szCs w:val="12"/>
                <w:color w:val="auto"/>
                <w:vertAlign w:val="superscript"/>
              </w:rPr>
              <w:t>(1)</w:t>
            </w:r>
          </w:p>
        </w:tc>
        <w:tc>
          <w:tcPr>
            <w:tcW w:w="16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920,611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370,270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424,516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386,153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509,366</w:t>
            </w:r>
          </w:p>
        </w:tc>
      </w:tr>
      <w:tr>
        <w:trPr>
          <w:trHeight w:val="135"/>
        </w:trPr>
        <w:tc>
          <w:tcPr>
            <w:tcW w:w="3700" w:type="dxa"/>
            <w:vAlign w:val="bottom"/>
            <w:gridSpan w:val="2"/>
          </w:tcPr>
          <w:p>
            <w:pPr>
              <w:spacing w:after="0"/>
              <w:rPr>
                <w:sz w:val="20"/>
                <w:szCs w:val="20"/>
                <w:color w:val="auto"/>
              </w:rPr>
            </w:pPr>
            <w:r>
              <w:rPr>
                <w:rFonts w:ascii="Arial" w:cs="Arial" w:eastAsia="Arial" w:hAnsi="Arial"/>
                <w:sz w:val="10"/>
                <w:szCs w:val="10"/>
                <w:color w:val="auto"/>
              </w:rPr>
              <w:t>ASP debt, including SLG share of unconsolidated ASP JV debt</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478,431</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478,431</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478,431</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573,797</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573,797</w:t>
            </w:r>
          </w:p>
        </w:tc>
      </w:tr>
      <w:tr>
        <w:trPr>
          <w:trHeight w:val="132"/>
        </w:trPr>
        <w:tc>
          <w:tcPr>
            <w:tcW w:w="3700" w:type="dxa"/>
            <w:vAlign w:val="bottom"/>
            <w:gridSpan w:val="2"/>
          </w:tcPr>
          <w:p>
            <w:pPr>
              <w:spacing w:after="0"/>
              <w:rPr>
                <w:sz w:val="20"/>
                <w:szCs w:val="20"/>
                <w:color w:val="auto"/>
              </w:rPr>
            </w:pPr>
            <w:r>
              <w:rPr>
                <w:rFonts w:ascii="Arial" w:cs="Arial" w:eastAsia="Arial" w:hAnsi="Arial"/>
                <w:sz w:val="10"/>
                <w:szCs w:val="10"/>
                <w:color w:val="auto"/>
              </w:rPr>
              <w:t>Total debt, including SLG share of unconsolidated JV debt</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10,771,694</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9,941,697</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9,833,556</w:t>
            </w:r>
          </w:p>
        </w:tc>
        <w:tc>
          <w:tcPr>
            <w:tcW w:w="20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9,796,834</w:t>
            </w: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9,910,645</w:t>
            </w:r>
          </w:p>
        </w:tc>
      </w:tr>
      <w:tr>
        <w:trPr>
          <w:trHeight w:val="20"/>
        </w:trPr>
        <w:tc>
          <w:tcPr>
            <w:tcW w:w="1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4820" w:type="dxa"/>
            <w:vAlign w:val="bottom"/>
            <w:gridSpan w:val="5"/>
          </w:tcPr>
          <w:p>
            <w:pPr>
              <w:spacing w:after="0"/>
              <w:rPr>
                <w:sz w:val="20"/>
                <w:szCs w:val="20"/>
                <w:color w:val="auto"/>
              </w:rPr>
            </w:pPr>
            <w:r>
              <w:rPr>
                <w:rFonts w:ascii="Arial" w:cs="Arial" w:eastAsia="Arial" w:hAnsi="Arial"/>
                <w:sz w:val="9"/>
                <w:szCs w:val="9"/>
                <w:color w:val="auto"/>
              </w:rPr>
              <w:t>(1) Does not reflect floating rate debt and preferred equity investments that provide a hedge against floating rate debt.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84"/>
        </w:trPr>
        <w:tc>
          <w:tcPr>
            <w:tcW w:w="3700" w:type="dxa"/>
            <w:vAlign w:val="bottom"/>
            <w:gridSpan w:val="2"/>
          </w:tcPr>
          <w:p>
            <w:pPr>
              <w:spacing w:after="0"/>
              <w:rPr>
                <w:sz w:val="20"/>
                <w:szCs w:val="20"/>
                <w:color w:val="auto"/>
              </w:rPr>
            </w:pPr>
            <w:r>
              <w:rPr>
                <w:rFonts w:ascii="Arial" w:cs="Arial" w:eastAsia="Arial" w:hAnsi="Arial"/>
                <w:sz w:val="9"/>
                <w:szCs w:val="9"/>
                <w:color w:val="auto"/>
              </w:rPr>
              <w:t>Supplemental Information</w:t>
            </w:r>
          </w:p>
        </w:tc>
        <w:tc>
          <w:tcPr>
            <w:tcW w:w="16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Arial" w:cs="Arial" w:eastAsia="Arial" w:hAnsi="Arial"/>
                <w:sz w:val="9"/>
                <w:szCs w:val="9"/>
                <w:color w:val="auto"/>
              </w:rPr>
              <w:t>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First Quarter 2026</w:t>
            </w:r>
          </w:p>
        </w:tc>
      </w:tr>
    </w:tbl>
    <w:p>
      <w:pPr>
        <w:sectPr>
          <w:pgSz w:w="11900" w:h="16838" w:orient="portrait"/>
          <w:cols w:equalWidth="0" w:num="1">
            <w:col w:w="9060"/>
          </w:cols>
          <w:pgMar w:left="1420" w:top="304" w:right="141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77659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-21590</wp:posOffset>
            </wp:positionV>
            <wp:extent cx="1136650" cy="324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577659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As of or for the three months ended</w:t>
            </w: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b w:val="1"/>
                <w:bCs w:val="1"/>
                <w:color w:val="auto"/>
              </w:rPr>
              <w:t>12/31/2025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9/30/2025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91"/>
              <w:spacing w:after="0"/>
              <w:rPr>
                <w:sz w:val="20"/>
                <w:szCs w:val="20"/>
                <w:color w:val="auto"/>
              </w:rPr>
            </w:pPr>
            <w:r>
              <w:rPr>
                <w:rFonts w:ascii="Arial" w:cs="Arial" w:eastAsia="Arial" w:hAnsi="Arial"/>
                <w:sz w:val="10"/>
                <w:szCs w:val="10"/>
                <w:b w:val="1"/>
                <w:bCs w:val="1"/>
                <w:color w:val="auto"/>
              </w:rPr>
              <w:t>6/30/2025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3/31/2025</w:t>
            </w:r>
          </w:p>
        </w:tc>
        <w:tc>
          <w:tcPr>
            <w:tcW w:w="0" w:type="dxa"/>
            <w:vAlign w:val="bottom"/>
          </w:tcPr>
          <w:p>
            <w:pPr>
              <w:spacing w:after="0"/>
              <w:rPr>
                <w:sz w:val="1"/>
                <w:szCs w:val="1"/>
                <w:color w:val="auto"/>
              </w:rPr>
            </w:pPr>
          </w:p>
        </w:tc>
      </w:tr>
      <w:tr>
        <w:trPr>
          <w:trHeight w:val="111"/>
        </w:trPr>
        <w:tc>
          <w:tcPr>
            <w:tcW w:w="1140" w:type="dxa"/>
            <w:vAlign w:val="bottom"/>
            <w:tcBorders>
              <w:bottom w:val="single" w:sz="8" w:color="auto"/>
            </w:tcBorders>
            <w:gridSpan w:val="2"/>
          </w:tcPr>
          <w:p>
            <w:pPr>
              <w:spacing w:after="0" w:line="111" w:lineRule="exact"/>
              <w:rPr>
                <w:sz w:val="20"/>
                <w:szCs w:val="20"/>
                <w:color w:val="auto"/>
              </w:rPr>
            </w:pPr>
            <w:r>
              <w:rPr>
                <w:rFonts w:ascii="Arial" w:cs="Arial" w:eastAsia="Arial" w:hAnsi="Arial"/>
                <w:sz w:val="10"/>
                <w:szCs w:val="10"/>
                <w:b w:val="1"/>
                <w:bCs w:val="1"/>
                <w:color w:val="auto"/>
                <w:w w:val="96"/>
              </w:rPr>
              <w:t>Selected Operating Data</w:t>
            </w:r>
          </w:p>
        </w:tc>
        <w:tc>
          <w:tcPr>
            <w:tcW w:w="25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Property operating revenues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186,876</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183,313</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168,536</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165,237</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163,019</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Property operating expenses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(110,313)</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(109,794)</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(101,406)</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(94,960)</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(99,385)</w:t>
            </w:r>
          </w:p>
        </w:tc>
        <w:tc>
          <w:tcPr>
            <w:tcW w:w="0" w:type="dxa"/>
            <w:vAlign w:val="bottom"/>
          </w:tcPr>
          <w:p>
            <w:pPr>
              <w:spacing w:after="0"/>
              <w:rPr>
                <w:sz w:val="1"/>
                <w:szCs w:val="1"/>
                <w:color w:val="auto"/>
              </w:rPr>
            </w:pPr>
          </w:p>
        </w:tc>
      </w:tr>
      <w:tr>
        <w:trPr>
          <w:trHeight w:val="128"/>
        </w:trPr>
        <w:tc>
          <w:tcPr>
            <w:tcW w:w="3720" w:type="dxa"/>
            <w:vAlign w:val="bottom"/>
            <w:gridSpan w:val="4"/>
          </w:tcPr>
          <w:p>
            <w:pPr>
              <w:spacing w:after="0"/>
              <w:rPr>
                <w:sz w:val="20"/>
                <w:szCs w:val="20"/>
                <w:color w:val="auto"/>
              </w:rPr>
            </w:pPr>
            <w:r>
              <w:rPr>
                <w:rFonts w:ascii="Arial" w:cs="Arial" w:eastAsia="Arial" w:hAnsi="Arial"/>
                <w:sz w:val="10"/>
                <w:szCs w:val="10"/>
                <w:color w:val="auto"/>
              </w:rPr>
              <w:t>Property NOI</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76,563</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73,519</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67,130</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70,277</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63,634</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SLG share of unconsolidated JV Property NOI</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119,941</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119,852</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124,381</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119,115</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113,876</w:t>
            </w:r>
          </w:p>
        </w:tc>
        <w:tc>
          <w:tcPr>
            <w:tcW w:w="0" w:type="dxa"/>
            <w:vAlign w:val="bottom"/>
          </w:tcPr>
          <w:p>
            <w:pPr>
              <w:spacing w:after="0"/>
              <w:rPr>
                <w:sz w:val="1"/>
                <w:szCs w:val="1"/>
                <w:color w:val="auto"/>
              </w:rPr>
            </w:pPr>
          </w:p>
        </w:tc>
      </w:tr>
      <w:tr>
        <w:trPr>
          <w:trHeight w:val="128"/>
        </w:trPr>
        <w:tc>
          <w:tcPr>
            <w:tcW w:w="3720" w:type="dxa"/>
            <w:vAlign w:val="bottom"/>
            <w:gridSpan w:val="4"/>
          </w:tcPr>
          <w:p>
            <w:pPr>
              <w:spacing w:after="0"/>
              <w:rPr>
                <w:sz w:val="20"/>
                <w:szCs w:val="20"/>
                <w:color w:val="auto"/>
              </w:rPr>
            </w:pPr>
            <w:r>
              <w:rPr>
                <w:rFonts w:ascii="Arial" w:cs="Arial" w:eastAsia="Arial" w:hAnsi="Arial"/>
                <w:sz w:val="10"/>
                <w:szCs w:val="10"/>
                <w:color w:val="auto"/>
              </w:rPr>
              <w:t>Property NOI, including SLG share of unconsolidated JV Property NOI</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196,504</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193,371</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191,511</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189,392</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177,510</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SUMMIT Operator revenue</w:t>
            </w: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24,142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35,920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32,883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31,007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22,534</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Investment income, including SLG share of unconsolidated JVs</w:t>
            </w: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2,770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2,994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8,319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11,398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21,032</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Income (loss) from debt fund investments, net</w:t>
            </w: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2,478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(3,222)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1,176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3720" w:type="dxa"/>
            <w:vAlign w:val="bottom"/>
            <w:gridSpan w:val="4"/>
          </w:tcPr>
          <w:p>
            <w:pPr>
              <w:spacing w:after="0" w:line="109" w:lineRule="exact"/>
              <w:rPr>
                <w:sz w:val="20"/>
                <w:szCs w:val="20"/>
                <w:color w:val="auto"/>
              </w:rPr>
            </w:pPr>
            <w:r>
              <w:rPr>
                <w:rFonts w:ascii="Arial" w:cs="Arial" w:eastAsia="Arial" w:hAnsi="Arial"/>
                <w:sz w:val="10"/>
                <w:szCs w:val="10"/>
                <w:color w:val="auto"/>
              </w:rPr>
              <w:t>Interest income from real estate loans held by consolidated securitization vehicles,</w:t>
            </w:r>
          </w:p>
        </w:tc>
        <w:tc>
          <w:tcPr>
            <w:tcW w:w="140" w:type="dxa"/>
            <w:vAlign w:val="bottom"/>
          </w:tcPr>
          <w:p>
            <w:pPr>
              <w:spacing w:after="0"/>
              <w:rPr>
                <w:sz w:val="9"/>
                <w:szCs w:val="9"/>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0"/>
                <w:szCs w:val="10"/>
                <w:color w:val="auto"/>
              </w:rPr>
              <w:t>32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0"/>
                <w:szCs w:val="10"/>
                <w:color w:val="auto"/>
              </w:rPr>
              <w:t>2,009</w:t>
            </w:r>
          </w:p>
        </w:tc>
        <w:tc>
          <w:tcPr>
            <w:tcW w:w="0" w:type="dxa"/>
            <w:vAlign w:val="bottom"/>
          </w:tcPr>
          <w:p>
            <w:pPr>
              <w:spacing w:after="0"/>
              <w:rPr>
                <w:sz w:val="1"/>
                <w:szCs w:val="1"/>
                <w:color w:val="auto"/>
              </w:rPr>
            </w:pPr>
          </w:p>
        </w:tc>
      </w:tr>
      <w:tr>
        <w:trPr>
          <w:trHeight w:val="127"/>
        </w:trPr>
        <w:tc>
          <w:tcPr>
            <w:tcW w:w="3720" w:type="dxa"/>
            <w:vAlign w:val="bottom"/>
            <w:gridSpan w:val="4"/>
          </w:tcPr>
          <w:p>
            <w:pPr>
              <w:spacing w:after="0"/>
              <w:rPr>
                <w:sz w:val="20"/>
                <w:szCs w:val="20"/>
                <w:color w:val="auto"/>
              </w:rPr>
            </w:pPr>
            <w:r>
              <w:rPr>
                <w:rFonts w:ascii="Arial" w:cs="Arial" w:eastAsia="Arial" w:hAnsi="Arial"/>
                <w:sz w:val="10"/>
                <w:szCs w:val="10"/>
                <w:color w:val="auto"/>
              </w:rPr>
              <w:t>net</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Fee &amp; other income, including SLG share of unconsolidated JVs</w:t>
            </w: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30,449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46,301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33,471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22,977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23,518</w:t>
            </w:r>
          </w:p>
        </w:tc>
        <w:tc>
          <w:tcPr>
            <w:tcW w:w="0" w:type="dxa"/>
            <w:vAlign w:val="bottom"/>
          </w:tcPr>
          <w:p>
            <w:pPr>
              <w:spacing w:after="0"/>
              <w:rPr>
                <w:sz w:val="1"/>
                <w:szCs w:val="1"/>
                <w:color w:val="auto"/>
              </w:rPr>
            </w:pPr>
          </w:p>
        </w:tc>
      </w:tr>
      <w:tr>
        <w:trPr>
          <w:trHeight w:val="109"/>
        </w:trPr>
        <w:tc>
          <w:tcPr>
            <w:tcW w:w="3720" w:type="dxa"/>
            <w:vAlign w:val="bottom"/>
            <w:gridSpan w:val="4"/>
          </w:tcPr>
          <w:p>
            <w:pPr>
              <w:spacing w:after="0" w:line="109" w:lineRule="exact"/>
              <w:rPr>
                <w:sz w:val="20"/>
                <w:szCs w:val="20"/>
                <w:color w:val="auto"/>
              </w:rPr>
            </w:pPr>
            <w:r>
              <w:rPr>
                <w:rFonts w:ascii="Arial" w:cs="Arial" w:eastAsia="Arial" w:hAnsi="Arial"/>
                <w:sz w:val="10"/>
                <w:szCs w:val="10"/>
                <w:color w:val="auto"/>
              </w:rPr>
              <w:t>Loss (gain) on early extinguishment of debt, including SLG share of unconsolidated</w:t>
            </w:r>
          </w:p>
        </w:tc>
        <w:tc>
          <w:tcPr>
            <w:tcW w:w="1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(4,796)</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60" w:type="dxa"/>
            <w:vAlign w:val="bottom"/>
            <w:vMerge w:val="restart"/>
          </w:tcPr>
          <w:p>
            <w:pPr>
              <w:jc w:val="right"/>
              <w:ind w:right="11"/>
              <w:spacing w:after="0"/>
              <w:rPr>
                <w:sz w:val="20"/>
                <w:szCs w:val="20"/>
                <w:color w:val="auto"/>
              </w:rPr>
            </w:pPr>
            <w:r>
              <w:rPr>
                <w:rFonts w:ascii="Arial" w:cs="Arial" w:eastAsia="Arial" w:hAnsi="Arial"/>
                <w:sz w:val="10"/>
                <w:szCs w:val="10"/>
                <w:color w:val="auto"/>
              </w:rPr>
              <w:t>57,187</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3720" w:type="dxa"/>
            <w:vAlign w:val="bottom"/>
            <w:gridSpan w:val="4"/>
          </w:tcPr>
          <w:p>
            <w:pPr>
              <w:spacing w:after="0"/>
              <w:rPr>
                <w:sz w:val="20"/>
                <w:szCs w:val="20"/>
                <w:color w:val="auto"/>
              </w:rPr>
            </w:pPr>
            <w:r>
              <w:rPr>
                <w:rFonts w:ascii="Arial" w:cs="Arial" w:eastAsia="Arial" w:hAnsi="Arial"/>
                <w:sz w:val="10"/>
                <w:szCs w:val="10"/>
                <w:color w:val="auto"/>
              </w:rPr>
              <w:t>JVs</w:t>
            </w: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SUMMIT Operator expenses</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(24,942)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(33,794)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(35,959)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(24,847)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(21,764)</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Loan loss and other investment reserves, net of recoveries</w:t>
            </w:r>
          </w:p>
        </w:tc>
        <w:tc>
          <w:tcPr>
            <w:tcW w:w="14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46,287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25,039</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Transaction costs, including SLG share of unconsolidated JVs</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(341)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(13,129)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(177)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(295)</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Marketing general &amp; administrative expenses</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(22,786)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(22,306)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(23,701)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(21,579)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(21,724)</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Income taxes, including SLG share of unconsolidated JVs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(1,045)</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2,305</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137</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1,296</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653</w:t>
            </w:r>
          </w:p>
        </w:tc>
        <w:tc>
          <w:tcPr>
            <w:tcW w:w="0" w:type="dxa"/>
            <w:vAlign w:val="bottom"/>
          </w:tcPr>
          <w:p>
            <w:pPr>
              <w:spacing w:after="0"/>
              <w:rPr>
                <w:sz w:val="1"/>
                <w:szCs w:val="1"/>
                <w:color w:val="auto"/>
              </w:rPr>
            </w:pPr>
          </w:p>
        </w:tc>
      </w:tr>
      <w:tr>
        <w:trPr>
          <w:trHeight w:val="128"/>
        </w:trPr>
        <w:tc>
          <w:tcPr>
            <w:tcW w:w="3720" w:type="dxa"/>
            <w:vAlign w:val="bottom"/>
            <w:gridSpan w:val="4"/>
          </w:tcPr>
          <w:p>
            <w:pPr>
              <w:spacing w:after="0"/>
              <w:rPr>
                <w:sz w:val="20"/>
                <w:szCs w:val="20"/>
                <w:color w:val="auto"/>
              </w:rPr>
            </w:pPr>
            <w:r>
              <w:rPr>
                <w:rFonts w:ascii="Arial" w:cs="Arial" w:eastAsia="Arial" w:hAnsi="Arial"/>
                <w:sz w:val="10"/>
                <w:szCs w:val="10"/>
                <w:color w:val="auto"/>
              </w:rPr>
              <w:t>EBITDAre</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202,490</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221,228</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251,895</w:t>
            </w:r>
          </w:p>
        </w:tc>
        <w:tc>
          <w:tcPr>
            <w:tcW w:w="20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256,386</w:t>
            </w: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228,512</w:t>
            </w:r>
          </w:p>
        </w:tc>
        <w:tc>
          <w:tcPr>
            <w:tcW w:w="0" w:type="dxa"/>
            <w:vAlign w:val="bottom"/>
          </w:tcPr>
          <w:p>
            <w:pPr>
              <w:spacing w:after="0"/>
              <w:rPr>
                <w:sz w:val="1"/>
                <w:szCs w:val="1"/>
                <w:color w:val="auto"/>
              </w:rPr>
            </w:pPr>
          </w:p>
        </w:tc>
      </w:tr>
      <w:tr>
        <w:trPr>
          <w:trHeight w:val="216"/>
        </w:trPr>
        <w:tc>
          <w:tcPr>
            <w:tcW w:w="3720" w:type="dxa"/>
            <w:vAlign w:val="bottom"/>
            <w:gridSpan w:val="4"/>
          </w:tcPr>
          <w:p>
            <w:pPr>
              <w:spacing w:after="0"/>
              <w:rPr>
                <w:sz w:val="20"/>
                <w:szCs w:val="20"/>
                <w:color w:val="auto"/>
              </w:rPr>
            </w:pPr>
            <w:r>
              <w:rPr>
                <w:rFonts w:ascii="Arial" w:cs="Arial" w:eastAsia="Arial" w:hAnsi="Arial"/>
                <w:sz w:val="10"/>
                <w:szCs w:val="10"/>
                <w:b w:val="1"/>
                <w:bCs w:val="1"/>
                <w:color w:val="auto"/>
              </w:rPr>
              <w:t>Manhattan Properties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Property operating revenues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182,083</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178,189</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164,342</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160,095</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158,037</w:t>
            </w:r>
          </w:p>
        </w:tc>
        <w:tc>
          <w:tcPr>
            <w:tcW w:w="0" w:type="dxa"/>
            <w:vAlign w:val="bottom"/>
          </w:tcPr>
          <w:p>
            <w:pPr>
              <w:spacing w:after="0"/>
              <w:rPr>
                <w:sz w:val="1"/>
                <w:szCs w:val="1"/>
                <w:color w:val="auto"/>
              </w:rPr>
            </w:pPr>
          </w:p>
        </w:tc>
      </w:tr>
      <w:tr>
        <w:trPr>
          <w:trHeight w:val="138"/>
        </w:trPr>
        <w:tc>
          <w:tcPr>
            <w:tcW w:w="3720" w:type="dxa"/>
            <w:vAlign w:val="bottom"/>
            <w:gridSpan w:val="4"/>
          </w:tcPr>
          <w:p>
            <w:pPr>
              <w:spacing w:after="0"/>
              <w:rPr>
                <w:sz w:val="20"/>
                <w:szCs w:val="20"/>
                <w:color w:val="auto"/>
              </w:rPr>
            </w:pPr>
            <w:r>
              <w:rPr>
                <w:rFonts w:ascii="Arial" w:cs="Arial" w:eastAsia="Arial" w:hAnsi="Arial"/>
                <w:sz w:val="10"/>
                <w:szCs w:val="10"/>
                <w:color w:val="auto"/>
              </w:rPr>
              <w:t>Property operating expenses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97,548</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98,034</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88,987</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82,287</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87,410</w:t>
            </w:r>
          </w:p>
        </w:tc>
        <w:tc>
          <w:tcPr>
            <w:tcW w:w="0" w:type="dxa"/>
            <w:vAlign w:val="bottom"/>
          </w:tcPr>
          <w:p>
            <w:pPr>
              <w:spacing w:after="0"/>
              <w:rPr>
                <w:sz w:val="1"/>
                <w:szCs w:val="1"/>
                <w:color w:val="auto"/>
              </w:rPr>
            </w:pPr>
          </w:p>
        </w:tc>
      </w:tr>
      <w:tr>
        <w:trPr>
          <w:trHeight w:val="128"/>
        </w:trPr>
        <w:tc>
          <w:tcPr>
            <w:tcW w:w="3720" w:type="dxa"/>
            <w:vAlign w:val="bottom"/>
            <w:gridSpan w:val="4"/>
          </w:tcPr>
          <w:p>
            <w:pPr>
              <w:spacing w:after="0"/>
              <w:rPr>
                <w:sz w:val="20"/>
                <w:szCs w:val="20"/>
                <w:color w:val="auto"/>
              </w:rPr>
            </w:pPr>
            <w:r>
              <w:rPr>
                <w:rFonts w:ascii="Arial" w:cs="Arial" w:eastAsia="Arial" w:hAnsi="Arial"/>
                <w:sz w:val="10"/>
                <w:szCs w:val="10"/>
                <w:color w:val="auto"/>
              </w:rPr>
              <w:t>Property NOI</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84,535</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80,155</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75,355</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77,808</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70,627</w:t>
            </w:r>
          </w:p>
        </w:tc>
        <w:tc>
          <w:tcPr>
            <w:tcW w:w="0" w:type="dxa"/>
            <w:vAlign w:val="bottom"/>
          </w:tcPr>
          <w:p>
            <w:pPr>
              <w:spacing w:after="0"/>
              <w:rPr>
                <w:sz w:val="1"/>
                <w:szCs w:val="1"/>
                <w:color w:val="auto"/>
              </w:rPr>
            </w:pPr>
          </w:p>
        </w:tc>
      </w:tr>
      <w:tr>
        <w:trPr>
          <w:trHeight w:val="216"/>
        </w:trPr>
        <w:tc>
          <w:tcPr>
            <w:tcW w:w="3720" w:type="dxa"/>
            <w:vAlign w:val="bottom"/>
            <w:gridSpan w:val="4"/>
          </w:tcPr>
          <w:p>
            <w:pPr>
              <w:spacing w:after="0"/>
              <w:rPr>
                <w:sz w:val="20"/>
                <w:szCs w:val="20"/>
                <w:color w:val="auto"/>
              </w:rPr>
            </w:pPr>
            <w:r>
              <w:rPr>
                <w:rFonts w:ascii="Arial" w:cs="Arial" w:eastAsia="Arial" w:hAnsi="Arial"/>
                <w:sz w:val="10"/>
                <w:szCs w:val="10"/>
                <w:color w:val="auto"/>
              </w:rPr>
              <w:t>Other income - consolidated</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964</w:t>
            </w:r>
          </w:p>
        </w:tc>
        <w:tc>
          <w:tcPr>
            <w:tcW w:w="200" w:type="dxa"/>
            <w:vAlign w:val="bottom"/>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2,610</w:t>
            </w:r>
          </w:p>
        </w:tc>
        <w:tc>
          <w:tcPr>
            <w:tcW w:w="200" w:type="dxa"/>
            <w:vAlign w:val="bottom"/>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1,665</w:t>
            </w:r>
          </w:p>
        </w:tc>
        <w:tc>
          <w:tcPr>
            <w:tcW w:w="200" w:type="dxa"/>
            <w:vAlign w:val="bottom"/>
          </w:tcPr>
          <w:p>
            <w:pPr>
              <w:spacing w:after="0"/>
              <w:rPr>
                <w:sz w:val="18"/>
                <w:szCs w:val="18"/>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2,013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5,551</w:t>
            </w:r>
          </w:p>
        </w:tc>
        <w:tc>
          <w:tcPr>
            <w:tcW w:w="0" w:type="dxa"/>
            <w:vAlign w:val="bottom"/>
          </w:tcPr>
          <w:p>
            <w:pPr>
              <w:spacing w:after="0"/>
              <w:rPr>
                <w:sz w:val="1"/>
                <w:szCs w:val="1"/>
                <w:color w:val="auto"/>
              </w:rPr>
            </w:pPr>
          </w:p>
        </w:tc>
      </w:tr>
      <w:tr>
        <w:trPr>
          <w:trHeight w:val="216"/>
        </w:trPr>
        <w:tc>
          <w:tcPr>
            <w:tcW w:w="3720" w:type="dxa"/>
            <w:vAlign w:val="bottom"/>
            <w:gridSpan w:val="4"/>
          </w:tcPr>
          <w:p>
            <w:pPr>
              <w:spacing w:after="0"/>
              <w:rPr>
                <w:sz w:val="20"/>
                <w:szCs w:val="20"/>
                <w:color w:val="auto"/>
              </w:rPr>
            </w:pPr>
            <w:r>
              <w:rPr>
                <w:rFonts w:ascii="Arial" w:cs="Arial" w:eastAsia="Arial" w:hAnsi="Arial"/>
                <w:sz w:val="10"/>
                <w:szCs w:val="10"/>
                <w:color w:val="auto"/>
              </w:rPr>
              <w:t>SLG share of property NOI from unconsolidated JVs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120,056</w:t>
            </w:r>
          </w:p>
        </w:tc>
        <w:tc>
          <w:tcPr>
            <w:tcW w:w="200" w:type="dxa"/>
            <w:vAlign w:val="bottom"/>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127,442</w:t>
            </w:r>
          </w:p>
        </w:tc>
        <w:tc>
          <w:tcPr>
            <w:tcW w:w="200" w:type="dxa"/>
            <w:vAlign w:val="bottom"/>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124,737</w:t>
            </w:r>
          </w:p>
        </w:tc>
        <w:tc>
          <w:tcPr>
            <w:tcW w:w="200" w:type="dxa"/>
            <w:vAlign w:val="bottom"/>
          </w:tcPr>
          <w:p>
            <w:pPr>
              <w:spacing w:after="0"/>
              <w:rPr>
                <w:sz w:val="18"/>
                <w:szCs w:val="18"/>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118,869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113,627</w:t>
            </w:r>
          </w:p>
        </w:tc>
        <w:tc>
          <w:tcPr>
            <w:tcW w:w="0" w:type="dxa"/>
            <w:vAlign w:val="bottom"/>
          </w:tcPr>
          <w:p>
            <w:pPr>
              <w:spacing w:after="0"/>
              <w:rPr>
                <w:sz w:val="1"/>
                <w:szCs w:val="1"/>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0"/>
                <w:szCs w:val="10"/>
                <w:b w:val="1"/>
                <w:bCs w:val="1"/>
                <w:color w:val="auto"/>
              </w:rPr>
              <w:t>Office Portfolio Statistics (Manhattan Operating Properties)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76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Consolidated office buildings in service</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42"/>
        </w:trPr>
        <w:tc>
          <w:tcPr>
            <w:tcW w:w="3720" w:type="dxa"/>
            <w:vAlign w:val="bottom"/>
            <w:gridSpan w:val="4"/>
          </w:tcPr>
          <w:p>
            <w:pPr>
              <w:spacing w:after="0"/>
              <w:rPr>
                <w:sz w:val="20"/>
                <w:szCs w:val="20"/>
                <w:color w:val="auto"/>
              </w:rPr>
            </w:pPr>
            <w:r>
              <w:rPr>
                <w:rFonts w:ascii="Arial" w:cs="Arial" w:eastAsia="Arial" w:hAnsi="Arial"/>
                <w:sz w:val="10"/>
                <w:szCs w:val="10"/>
                <w:color w:val="auto"/>
              </w:rPr>
              <w:t>Unconsolidated office buildings in service</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27</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26</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26</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26</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720" w:type="dxa"/>
            <w:vAlign w:val="bottom"/>
            <w:gridSpan w:val="4"/>
          </w:tcPr>
          <w:p>
            <w:pPr>
              <w:spacing w:after="0"/>
              <w:rPr>
                <w:sz w:val="20"/>
                <w:szCs w:val="20"/>
                <w:color w:val="auto"/>
              </w:rPr>
            </w:pPr>
            <w:r>
              <w:rPr>
                <w:rFonts w:ascii="Arial" w:cs="Arial" w:eastAsia="Arial" w:hAnsi="Arial"/>
                <w:sz w:val="10"/>
                <w:szCs w:val="10"/>
                <w:color w:val="auto"/>
              </w:rPr>
              <w:t>Consolidated office buildings in service - square footage</w:t>
            </w:r>
          </w:p>
        </w:tc>
        <w:tc>
          <w:tcPr>
            <w:tcW w:w="14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10,102,852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9,480,852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9,788,852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9,788,852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9,788,852</w:t>
            </w:r>
          </w:p>
        </w:tc>
        <w:tc>
          <w:tcPr>
            <w:tcW w:w="0" w:type="dxa"/>
            <w:vAlign w:val="bottom"/>
          </w:tcPr>
          <w:p>
            <w:pPr>
              <w:spacing w:after="0"/>
              <w:rPr>
                <w:sz w:val="1"/>
                <w:szCs w:val="1"/>
                <w:color w:val="auto"/>
              </w:rPr>
            </w:pPr>
          </w:p>
        </w:tc>
      </w:tr>
      <w:tr>
        <w:trPr>
          <w:trHeight w:val="142"/>
        </w:trPr>
        <w:tc>
          <w:tcPr>
            <w:tcW w:w="3720" w:type="dxa"/>
            <w:vAlign w:val="bottom"/>
            <w:gridSpan w:val="4"/>
          </w:tcPr>
          <w:p>
            <w:pPr>
              <w:spacing w:after="0"/>
              <w:rPr>
                <w:sz w:val="20"/>
                <w:szCs w:val="20"/>
                <w:color w:val="auto"/>
              </w:rPr>
            </w:pPr>
            <w:r>
              <w:rPr>
                <w:rFonts w:ascii="Arial" w:cs="Arial" w:eastAsia="Arial" w:hAnsi="Arial"/>
                <w:sz w:val="10"/>
                <w:szCs w:val="10"/>
                <w:color w:val="auto"/>
              </w:rPr>
              <w:t>Unconsolidated office buildings in service - square footage</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13,868,633</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13,868,633</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13,560,633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13,560,633</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12,175,149</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23,971,485</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23,349,485</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23,349,485</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23,349,485</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21,964,001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720" w:type="dxa"/>
            <w:vAlign w:val="bottom"/>
            <w:gridSpan w:val="4"/>
          </w:tcPr>
          <w:p>
            <w:pPr>
              <w:spacing w:after="0"/>
              <w:rPr>
                <w:sz w:val="20"/>
                <w:szCs w:val="20"/>
                <w:color w:val="auto"/>
              </w:rPr>
            </w:pPr>
            <w:r>
              <w:rPr>
                <w:rFonts w:ascii="Arial" w:cs="Arial" w:eastAsia="Arial" w:hAnsi="Arial"/>
                <w:sz w:val="9"/>
                <w:szCs w:val="9"/>
                <w:color w:val="auto"/>
              </w:rPr>
              <w:t>Supplemental Information</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First Quarter 2026</w:t>
            </w:r>
          </w:p>
        </w:tc>
        <w:tc>
          <w:tcPr>
            <w:tcW w:w="0" w:type="dxa"/>
            <w:vAlign w:val="bottom"/>
          </w:tcPr>
          <w:p>
            <w:pPr>
              <w:spacing w:after="0"/>
              <w:rPr>
                <w:sz w:val="1"/>
                <w:szCs w:val="1"/>
                <w:color w:val="auto"/>
              </w:rPr>
            </w:pPr>
          </w:p>
        </w:tc>
      </w:tr>
    </w:tbl>
    <w:p>
      <w:pPr>
        <w:sectPr>
          <w:pgSz w:w="11900" w:h="16838" w:orient="portrait"/>
          <w:cols w:equalWidth="0" w:num="1">
            <w:col w:w="9080"/>
          </w:cols>
          <w:pgMar w:left="1400" w:top="304" w:right="141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OFFICE LEASING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-121285</wp:posOffset>
            </wp:positionV>
            <wp:extent cx="7169785" cy="330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33083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81915</wp:posOffset>
            </wp:positionV>
            <wp:extent cx="716978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56515</wp:posOffset>
            </wp:positionV>
            <wp:extent cx="716978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110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As of or for the three months ended</w:t>
            </w: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211"/>
              <w:spacing w:after="0"/>
              <w:rPr>
                <w:sz w:val="20"/>
                <w:szCs w:val="20"/>
                <w:color w:val="auto"/>
              </w:rPr>
            </w:pPr>
            <w:r>
              <w:rPr>
                <w:rFonts w:ascii="Arial" w:cs="Arial" w:eastAsia="Arial" w:hAnsi="Arial"/>
                <w:sz w:val="10"/>
                <w:szCs w:val="10"/>
                <w:b w:val="1"/>
                <w:bCs w:val="1"/>
                <w:color w:val="auto"/>
              </w:rPr>
              <w:t>3/31/2026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b w:val="1"/>
                <w:bCs w:val="1"/>
                <w:color w:val="auto"/>
              </w:rPr>
              <w:t>12/31/2025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231"/>
              <w:spacing w:after="0"/>
              <w:rPr>
                <w:sz w:val="20"/>
                <w:szCs w:val="20"/>
                <w:color w:val="auto"/>
              </w:rPr>
            </w:pPr>
            <w:r>
              <w:rPr>
                <w:rFonts w:ascii="Arial" w:cs="Arial" w:eastAsia="Arial" w:hAnsi="Arial"/>
                <w:sz w:val="10"/>
                <w:szCs w:val="10"/>
                <w:b w:val="1"/>
                <w:bCs w:val="1"/>
                <w:color w:val="auto"/>
              </w:rPr>
              <w:t>9/30/2025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191"/>
              <w:spacing w:after="0"/>
              <w:rPr>
                <w:sz w:val="20"/>
                <w:szCs w:val="20"/>
                <w:color w:val="auto"/>
              </w:rPr>
            </w:pPr>
            <w:r>
              <w:rPr>
                <w:rFonts w:ascii="Arial" w:cs="Arial" w:eastAsia="Arial" w:hAnsi="Arial"/>
                <w:sz w:val="10"/>
                <w:szCs w:val="10"/>
                <w:b w:val="1"/>
                <w:bCs w:val="1"/>
                <w:color w:val="auto"/>
                <w:w w:val="98"/>
              </w:rPr>
              <w:t>6/30/2025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211"/>
              <w:spacing w:after="0"/>
              <w:rPr>
                <w:sz w:val="20"/>
                <w:szCs w:val="20"/>
                <w:color w:val="auto"/>
              </w:rPr>
            </w:pPr>
            <w:r>
              <w:rPr>
                <w:rFonts w:ascii="Arial" w:cs="Arial" w:eastAsia="Arial" w:hAnsi="Arial"/>
                <w:sz w:val="10"/>
                <w:szCs w:val="10"/>
                <w:b w:val="1"/>
                <w:bCs w:val="1"/>
                <w:color w:val="auto"/>
              </w:rPr>
              <w:t>3/31/2025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0"/>
                <w:szCs w:val="10"/>
                <w:b w:val="1"/>
                <w:bCs w:val="1"/>
                <w:color w:val="auto"/>
              </w:rPr>
              <w:t>Signed Leasing</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Same-Store office occupancy inclusive of leases signed not yet commenced</w:t>
            </w:r>
          </w:p>
        </w:tc>
        <w:tc>
          <w:tcPr>
            <w:tcW w:w="180" w:type="dxa"/>
            <w:vAlign w:val="bottom"/>
          </w:tcPr>
          <w:p>
            <w:pPr>
              <w:spacing w:after="0"/>
              <w:rPr>
                <w:sz w:val="22"/>
                <w:szCs w:val="22"/>
                <w:color w:val="auto"/>
              </w:rPr>
            </w:pPr>
          </w:p>
        </w:tc>
        <w:tc>
          <w:tcPr>
            <w:tcW w:w="780" w:type="dxa"/>
            <w:vAlign w:val="bottom"/>
          </w:tcPr>
          <w:p>
            <w:pPr>
              <w:jc w:val="right"/>
              <w:ind w:right="131"/>
              <w:spacing w:after="0"/>
              <w:rPr>
                <w:sz w:val="20"/>
                <w:szCs w:val="20"/>
                <w:color w:val="auto"/>
              </w:rPr>
            </w:pPr>
            <w:r>
              <w:rPr>
                <w:rFonts w:ascii="Arial" w:cs="Arial" w:eastAsia="Arial" w:hAnsi="Arial"/>
                <w:sz w:val="10"/>
                <w:szCs w:val="10"/>
                <w:color w:val="auto"/>
              </w:rPr>
              <w:t>94.4%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93.0%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300"/>
              <w:spacing w:after="0"/>
              <w:rPr>
                <w:sz w:val="20"/>
                <w:szCs w:val="20"/>
                <w:color w:val="auto"/>
              </w:rPr>
            </w:pPr>
            <w:r>
              <w:rPr>
                <w:rFonts w:ascii="Arial" w:cs="Arial" w:eastAsia="Arial" w:hAnsi="Arial"/>
                <w:sz w:val="10"/>
                <w:szCs w:val="10"/>
                <w:color w:val="auto"/>
              </w:rPr>
              <w:t>91.9%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90.4%</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51"/>
              <w:spacing w:after="0"/>
              <w:rPr>
                <w:sz w:val="20"/>
                <w:szCs w:val="20"/>
                <w:color w:val="auto"/>
              </w:rPr>
            </w:pPr>
            <w:r>
              <w:rPr>
                <w:rFonts w:ascii="Arial" w:cs="Arial" w:eastAsia="Arial" w:hAnsi="Arial"/>
                <w:sz w:val="10"/>
                <w:szCs w:val="10"/>
                <w:color w:val="auto"/>
              </w:rPr>
              <w:t>90.8%</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New leases signed</w:t>
            </w:r>
          </w:p>
        </w:tc>
        <w:tc>
          <w:tcPr>
            <w:tcW w:w="18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44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0"/>
                <w:szCs w:val="10"/>
                <w:color w:val="auto"/>
              </w:rPr>
              <w:t>34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Renewal leases signed</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12</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18</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17</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Total office leases signed</w:t>
            </w:r>
          </w:p>
        </w:tc>
        <w:tc>
          <w:tcPr>
            <w:tcW w:w="1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51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56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31"/>
              <w:spacing w:after="0"/>
              <w:rPr>
                <w:sz w:val="20"/>
                <w:szCs w:val="20"/>
                <w:color w:val="auto"/>
              </w:rPr>
            </w:pPr>
            <w:r>
              <w:rPr>
                <w:rFonts w:ascii="Arial" w:cs="Arial" w:eastAsia="Arial" w:hAnsi="Arial"/>
                <w:sz w:val="10"/>
                <w:szCs w:val="10"/>
                <w:color w:val="auto"/>
              </w:rPr>
              <w:t>52</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46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Signed office square footage filling vacancy</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262,474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303,978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left="351"/>
              <w:spacing w:after="0"/>
              <w:rPr>
                <w:sz w:val="20"/>
                <w:szCs w:val="20"/>
                <w:color w:val="auto"/>
              </w:rPr>
            </w:pPr>
            <w:r>
              <w:rPr>
                <w:rFonts w:ascii="Arial" w:cs="Arial" w:eastAsia="Arial" w:hAnsi="Arial"/>
                <w:sz w:val="10"/>
                <w:szCs w:val="10"/>
                <w:color w:val="auto"/>
                <w:w w:val="99"/>
              </w:rPr>
              <w:t>338,686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232,475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240,974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 xml:space="preserve">Signed office square footage on previously occupied space (M-T-M leasing) </w:t>
            </w:r>
            <w:r>
              <w:rPr>
                <w:rFonts w:ascii="Arial" w:cs="Arial" w:eastAsia="Arial" w:hAnsi="Arial"/>
                <w:sz w:val="12"/>
                <w:szCs w:val="12"/>
                <w:color w:val="auto"/>
                <w:vertAlign w:val="superscript"/>
              </w:rPr>
              <w:t>(1)</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666,790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462,805</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left="351"/>
              <w:spacing w:after="0"/>
              <w:rPr>
                <w:sz w:val="20"/>
                <w:szCs w:val="20"/>
                <w:color w:val="auto"/>
              </w:rPr>
            </w:pPr>
            <w:r>
              <w:rPr>
                <w:rFonts w:ascii="Arial" w:cs="Arial" w:eastAsia="Arial" w:hAnsi="Arial"/>
                <w:sz w:val="10"/>
                <w:szCs w:val="10"/>
                <w:color w:val="auto"/>
                <w:w w:val="99"/>
              </w:rPr>
              <w:t>319,256</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309,246</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361,131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Total office square footage signed</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929,264</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766,783</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left="351"/>
              <w:spacing w:after="0"/>
              <w:rPr>
                <w:sz w:val="20"/>
                <w:szCs w:val="20"/>
                <w:color w:val="auto"/>
              </w:rPr>
            </w:pPr>
            <w:r>
              <w:rPr>
                <w:rFonts w:ascii="Arial" w:cs="Arial" w:eastAsia="Arial" w:hAnsi="Arial"/>
                <w:sz w:val="10"/>
                <w:szCs w:val="10"/>
                <w:color w:val="auto"/>
                <w:w w:val="99"/>
              </w:rPr>
              <w:t>657,942</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541,721</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Average starting cash rent psf - office leases signed</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114.75</w:t>
            </w:r>
          </w:p>
        </w:tc>
        <w:tc>
          <w:tcPr>
            <w:tcW w:w="2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91.74</w:t>
            </w:r>
          </w:p>
        </w:tc>
        <w:tc>
          <w:tcPr>
            <w:tcW w:w="180" w:type="dxa"/>
            <w:vAlign w:val="bottom"/>
          </w:tcPr>
          <w:p>
            <w:pPr>
              <w:spacing w:after="0"/>
              <w:rPr>
                <w:sz w:val="14"/>
                <w:szCs w:val="14"/>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00" w:type="dxa"/>
            <w:vAlign w:val="bottom"/>
          </w:tcPr>
          <w:p>
            <w:pPr>
              <w:jc w:val="center"/>
              <w:ind w:left="351"/>
              <w:spacing w:after="0"/>
              <w:rPr>
                <w:sz w:val="20"/>
                <w:szCs w:val="20"/>
                <w:color w:val="auto"/>
              </w:rPr>
            </w:pPr>
            <w:r>
              <w:rPr>
                <w:rFonts w:ascii="Arial" w:cs="Arial" w:eastAsia="Arial" w:hAnsi="Arial"/>
                <w:sz w:val="10"/>
                <w:szCs w:val="10"/>
                <w:color w:val="auto"/>
                <w:w w:val="95"/>
              </w:rPr>
              <w:t>90.65</w:t>
            </w:r>
          </w:p>
        </w:tc>
        <w:tc>
          <w:tcPr>
            <w:tcW w:w="180" w:type="dxa"/>
            <w:vAlign w:val="bottom"/>
          </w:tcPr>
          <w:p>
            <w:pPr>
              <w:spacing w:after="0"/>
              <w:rPr>
                <w:sz w:val="14"/>
                <w:szCs w:val="14"/>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95.93</w:t>
            </w:r>
          </w:p>
        </w:tc>
        <w:tc>
          <w:tcPr>
            <w:tcW w:w="2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82.29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 xml:space="preserve">Previous escalated cash rent psf - office leases signed </w:t>
            </w:r>
            <w:r>
              <w:rPr>
                <w:rFonts w:ascii="Arial" w:cs="Arial" w:eastAsia="Arial" w:hAnsi="Arial"/>
                <w:sz w:val="12"/>
                <w:szCs w:val="12"/>
                <w:color w:val="auto"/>
                <w:vertAlign w:val="superscript"/>
              </w:rPr>
              <w:t>(2)</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98.85</w:t>
            </w:r>
          </w:p>
        </w:tc>
        <w:tc>
          <w:tcPr>
            <w:tcW w:w="2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86.22</w:t>
            </w:r>
          </w:p>
        </w:tc>
        <w:tc>
          <w:tcPr>
            <w:tcW w:w="180" w:type="dxa"/>
            <w:vAlign w:val="bottom"/>
          </w:tcPr>
          <w:p>
            <w:pPr>
              <w:spacing w:after="0"/>
              <w:rPr>
                <w:sz w:val="12"/>
                <w:szCs w:val="12"/>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00" w:type="dxa"/>
            <w:vAlign w:val="bottom"/>
          </w:tcPr>
          <w:p>
            <w:pPr>
              <w:jc w:val="center"/>
              <w:ind w:left="351"/>
              <w:spacing w:after="0"/>
              <w:rPr>
                <w:sz w:val="20"/>
                <w:szCs w:val="20"/>
                <w:color w:val="auto"/>
              </w:rPr>
            </w:pPr>
            <w:r>
              <w:rPr>
                <w:rFonts w:ascii="Arial" w:cs="Arial" w:eastAsia="Arial" w:hAnsi="Arial"/>
                <w:sz w:val="10"/>
                <w:szCs w:val="10"/>
                <w:color w:val="auto"/>
                <w:w w:val="95"/>
              </w:rPr>
              <w:t>93.13</w:t>
            </w:r>
          </w:p>
        </w:tc>
        <w:tc>
          <w:tcPr>
            <w:tcW w:w="180" w:type="dxa"/>
            <w:vAlign w:val="bottom"/>
          </w:tcPr>
          <w:p>
            <w:pPr>
              <w:spacing w:after="0"/>
              <w:rPr>
                <w:sz w:val="12"/>
                <w:szCs w:val="12"/>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93.65</w:t>
            </w:r>
          </w:p>
        </w:tc>
        <w:tc>
          <w:tcPr>
            <w:tcW w:w="2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84.89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 xml:space="preserve">Increase (decrease) in new cash rent over previously escalated cash rent </w:t>
            </w:r>
            <w:r>
              <w:rPr>
                <w:rFonts w:ascii="Arial" w:cs="Arial" w:eastAsia="Arial" w:hAnsi="Arial"/>
                <w:sz w:val="12"/>
                <w:szCs w:val="12"/>
                <w:color w:val="auto"/>
                <w:vertAlign w:val="superscript"/>
              </w:rPr>
              <w:t>(1) (2)</w:t>
            </w:r>
          </w:p>
        </w:tc>
        <w:tc>
          <w:tcPr>
            <w:tcW w:w="180" w:type="dxa"/>
            <w:vAlign w:val="bottom"/>
          </w:tcPr>
          <w:p>
            <w:pPr>
              <w:spacing w:after="0"/>
              <w:rPr>
                <w:sz w:val="11"/>
                <w:szCs w:val="11"/>
                <w:color w:val="auto"/>
              </w:rPr>
            </w:pPr>
          </w:p>
        </w:tc>
        <w:tc>
          <w:tcPr>
            <w:tcW w:w="780" w:type="dxa"/>
            <w:vAlign w:val="bottom"/>
          </w:tcPr>
          <w:p>
            <w:pPr>
              <w:ind w:left="400"/>
              <w:spacing w:after="0"/>
              <w:rPr>
                <w:sz w:val="20"/>
                <w:szCs w:val="20"/>
                <w:color w:val="auto"/>
              </w:rPr>
            </w:pPr>
            <w:r>
              <w:rPr>
                <w:rFonts w:ascii="Arial" w:cs="Arial" w:eastAsia="Arial" w:hAnsi="Arial"/>
                <w:sz w:val="10"/>
                <w:szCs w:val="10"/>
                <w:color w:val="auto"/>
              </w:rPr>
              <w:t>16.1%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71"/>
              <w:spacing w:after="0"/>
              <w:rPr>
                <w:sz w:val="20"/>
                <w:szCs w:val="20"/>
                <w:color w:val="auto"/>
              </w:rPr>
            </w:pPr>
            <w:r>
              <w:rPr>
                <w:rFonts w:ascii="Arial" w:cs="Arial" w:eastAsia="Arial" w:hAnsi="Arial"/>
                <w:sz w:val="10"/>
                <w:szCs w:val="10"/>
                <w:color w:val="auto"/>
              </w:rPr>
              <w:t>6.4%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71"/>
              <w:spacing w:after="0"/>
              <w:rPr>
                <w:sz w:val="20"/>
                <w:szCs w:val="20"/>
                <w:color w:val="auto"/>
              </w:rPr>
            </w:pPr>
            <w:r>
              <w:rPr>
                <w:rFonts w:ascii="Arial" w:cs="Arial" w:eastAsia="Arial" w:hAnsi="Arial"/>
                <w:sz w:val="10"/>
                <w:szCs w:val="10"/>
                <w:color w:val="auto"/>
              </w:rPr>
              <w:t>(2.7)%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2.4%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71"/>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Average lease term</w:t>
            </w:r>
          </w:p>
        </w:tc>
        <w:tc>
          <w:tcPr>
            <w:tcW w:w="180" w:type="dxa"/>
            <w:vAlign w:val="bottom"/>
          </w:tcPr>
          <w:p>
            <w:pPr>
              <w:spacing w:after="0"/>
              <w:rPr>
                <w:sz w:val="11"/>
                <w:szCs w:val="11"/>
                <w:color w:val="auto"/>
              </w:rPr>
            </w:pP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9.8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8.5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8.9</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7.8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Tenant concession packages psf</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107.76</w:t>
            </w:r>
          </w:p>
        </w:tc>
        <w:tc>
          <w:tcPr>
            <w:tcW w:w="2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97.54</w:t>
            </w:r>
          </w:p>
        </w:tc>
        <w:tc>
          <w:tcPr>
            <w:tcW w:w="1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99.09</w:t>
            </w:r>
          </w:p>
        </w:tc>
        <w:tc>
          <w:tcPr>
            <w:tcW w:w="180" w:type="dxa"/>
            <w:vAlign w:val="bottom"/>
          </w:tcPr>
          <w:p>
            <w:pPr>
              <w:spacing w:after="0"/>
              <w:rPr>
                <w:sz w:val="11"/>
                <w:szCs w:val="11"/>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78.81</w:t>
            </w:r>
          </w:p>
        </w:tc>
        <w:tc>
          <w:tcPr>
            <w:tcW w:w="2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94.35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Free rent months</w:t>
            </w:r>
          </w:p>
        </w:tc>
        <w:tc>
          <w:tcPr>
            <w:tcW w:w="180" w:type="dxa"/>
            <w:vAlign w:val="bottom"/>
          </w:tcPr>
          <w:p>
            <w:pPr>
              <w:spacing w:after="0"/>
              <w:rPr>
                <w:sz w:val="11"/>
                <w:szCs w:val="11"/>
                <w:color w:val="auto"/>
              </w:rPr>
            </w:pP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10.9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8.8</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9.1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6.3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9.4</w:t>
            </w:r>
          </w:p>
        </w:tc>
        <w:tc>
          <w:tcPr>
            <w:tcW w:w="0" w:type="dxa"/>
            <w:vAlign w:val="bottom"/>
          </w:tcPr>
          <w:p>
            <w:pPr>
              <w:spacing w:after="0"/>
              <w:rPr>
                <w:sz w:val="1"/>
                <w:szCs w:val="1"/>
                <w:color w:val="auto"/>
              </w:rPr>
            </w:pPr>
          </w:p>
        </w:tc>
      </w:tr>
      <w:tr>
        <w:trPr>
          <w:trHeight w:val="236"/>
        </w:trPr>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7"/>
              </w:rPr>
              <w:t>Commenced Leasing</w:t>
            </w: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Same-Store office occupancy based on commenced leases</w:t>
            </w:r>
          </w:p>
        </w:tc>
        <w:tc>
          <w:tcPr>
            <w:tcW w:w="180" w:type="dxa"/>
            <w:vAlign w:val="bottom"/>
          </w:tcPr>
          <w:p>
            <w:pPr>
              <w:spacing w:after="0"/>
              <w:rPr>
                <w:sz w:val="22"/>
                <w:szCs w:val="22"/>
                <w:color w:val="auto"/>
              </w:rPr>
            </w:pPr>
          </w:p>
        </w:tc>
        <w:tc>
          <w:tcPr>
            <w:tcW w:w="780" w:type="dxa"/>
            <w:vAlign w:val="bottom"/>
          </w:tcPr>
          <w:p>
            <w:pPr>
              <w:jc w:val="right"/>
              <w:ind w:right="131"/>
              <w:spacing w:after="0"/>
              <w:rPr>
                <w:sz w:val="20"/>
                <w:szCs w:val="20"/>
                <w:color w:val="auto"/>
              </w:rPr>
            </w:pPr>
            <w:r>
              <w:rPr>
                <w:rFonts w:ascii="Arial" w:cs="Arial" w:eastAsia="Arial" w:hAnsi="Arial"/>
                <w:sz w:val="10"/>
                <w:szCs w:val="10"/>
                <w:color w:val="auto"/>
              </w:rPr>
              <w:t>91.1%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90.0%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300"/>
              <w:spacing w:after="0"/>
              <w:rPr>
                <w:sz w:val="20"/>
                <w:szCs w:val="20"/>
                <w:color w:val="auto"/>
              </w:rPr>
            </w:pPr>
            <w:r>
              <w:rPr>
                <w:rFonts w:ascii="Arial" w:cs="Arial" w:eastAsia="Arial" w:hAnsi="Arial"/>
                <w:sz w:val="10"/>
                <w:szCs w:val="10"/>
                <w:color w:val="auto"/>
              </w:rPr>
              <w:t>90.2%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88.2%</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51"/>
              <w:spacing w:after="0"/>
              <w:rPr>
                <w:sz w:val="20"/>
                <w:szCs w:val="20"/>
                <w:color w:val="auto"/>
              </w:rPr>
            </w:pPr>
            <w:r>
              <w:rPr>
                <w:rFonts w:ascii="Arial" w:cs="Arial" w:eastAsia="Arial" w:hAnsi="Arial"/>
                <w:sz w:val="10"/>
                <w:szCs w:val="10"/>
                <w:color w:val="auto"/>
              </w:rPr>
              <w:t>87.6%</w:t>
            </w: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New leases commenced</w:t>
            </w:r>
          </w:p>
        </w:tc>
        <w:tc>
          <w:tcPr>
            <w:tcW w:w="18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29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0"/>
                <w:szCs w:val="10"/>
                <w:color w:val="auto"/>
              </w:rPr>
              <w:t>33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Renewal leases commenced</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12</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18</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Total office leases commenced</w:t>
            </w:r>
          </w:p>
        </w:tc>
        <w:tc>
          <w:tcPr>
            <w:tcW w:w="1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50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41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31"/>
              <w:spacing w:after="0"/>
              <w:rPr>
                <w:sz w:val="20"/>
                <w:szCs w:val="20"/>
                <w:color w:val="auto"/>
              </w:rPr>
            </w:pPr>
            <w:r>
              <w:rPr>
                <w:rFonts w:ascii="Arial" w:cs="Arial" w:eastAsia="Arial" w:hAnsi="Arial"/>
                <w:sz w:val="10"/>
                <w:szCs w:val="10"/>
                <w:color w:val="auto"/>
              </w:rPr>
              <w:t>51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50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Commenced office square footage filling vacancy</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277,335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146,707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left="351"/>
              <w:spacing w:after="0"/>
              <w:rPr>
                <w:sz w:val="20"/>
                <w:szCs w:val="20"/>
                <w:color w:val="auto"/>
              </w:rPr>
            </w:pPr>
            <w:r>
              <w:rPr>
                <w:rFonts w:ascii="Arial" w:cs="Arial" w:eastAsia="Arial" w:hAnsi="Arial"/>
                <w:sz w:val="10"/>
                <w:szCs w:val="10"/>
                <w:color w:val="auto"/>
                <w:w w:val="99"/>
              </w:rPr>
              <w:t>390,460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372,611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388,305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540" w:type="dxa"/>
            <w:vAlign w:val="bottom"/>
            <w:gridSpan w:val="3"/>
          </w:tcPr>
          <w:p>
            <w:pPr>
              <w:spacing w:after="0" w:line="109" w:lineRule="exact"/>
              <w:rPr>
                <w:sz w:val="20"/>
                <w:szCs w:val="20"/>
                <w:color w:val="auto"/>
              </w:rPr>
            </w:pPr>
            <w:r>
              <w:rPr>
                <w:rFonts w:ascii="Arial" w:cs="Arial" w:eastAsia="Arial" w:hAnsi="Arial"/>
                <w:sz w:val="10"/>
                <w:szCs w:val="10"/>
                <w:color w:val="auto"/>
              </w:rPr>
              <w:t>Commenced office square footage on previously occupied space (M-T-M</w:t>
            </w:r>
          </w:p>
        </w:tc>
        <w:tc>
          <w:tcPr>
            <w:tcW w:w="1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262,692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244,368</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restart"/>
          </w:tcPr>
          <w:p>
            <w:pPr>
              <w:jc w:val="center"/>
              <w:ind w:left="351"/>
              <w:spacing w:after="0"/>
              <w:rPr>
                <w:sz w:val="20"/>
                <w:szCs w:val="20"/>
                <w:color w:val="auto"/>
              </w:rPr>
            </w:pPr>
            <w:r>
              <w:rPr>
                <w:rFonts w:ascii="Arial" w:cs="Arial" w:eastAsia="Arial" w:hAnsi="Arial"/>
                <w:sz w:val="10"/>
                <w:szCs w:val="10"/>
                <w:color w:val="auto"/>
                <w:w w:val="99"/>
              </w:rPr>
              <w:t>384,800</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334,144</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283,236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40" w:type="dxa"/>
            <w:vAlign w:val="bottom"/>
            <w:gridSpan w:val="3"/>
          </w:tcPr>
          <w:p>
            <w:pPr>
              <w:spacing w:after="0" w:line="137" w:lineRule="exact"/>
              <w:rPr>
                <w:sz w:val="20"/>
                <w:szCs w:val="20"/>
                <w:color w:val="auto"/>
              </w:rPr>
            </w:pPr>
            <w:r>
              <w:rPr>
                <w:rFonts w:ascii="Arial" w:cs="Arial" w:eastAsia="Arial" w:hAnsi="Arial"/>
                <w:sz w:val="10"/>
                <w:szCs w:val="10"/>
                <w:color w:val="auto"/>
              </w:rPr>
              <w:t xml:space="preserve">leasing) </w:t>
            </w:r>
            <w:r>
              <w:rPr>
                <w:rFonts w:ascii="Arial" w:cs="Arial" w:eastAsia="Arial" w:hAnsi="Arial"/>
                <w:sz w:val="12"/>
                <w:szCs w:val="12"/>
                <w:color w:val="auto"/>
                <w:vertAlign w:val="superscript"/>
              </w:rPr>
              <w:t>(1)</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Total office square footage commenced</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540,027</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391,075</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left="351"/>
              <w:spacing w:after="0"/>
              <w:rPr>
                <w:sz w:val="20"/>
                <w:szCs w:val="20"/>
                <w:color w:val="auto"/>
              </w:rPr>
            </w:pPr>
            <w:r>
              <w:rPr>
                <w:rFonts w:ascii="Arial" w:cs="Arial" w:eastAsia="Arial" w:hAnsi="Arial"/>
                <w:sz w:val="10"/>
                <w:szCs w:val="10"/>
                <w:color w:val="auto"/>
                <w:w w:val="99"/>
              </w:rPr>
              <w:t>775,260</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706,755</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671,541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Average starting cash rent psf - office leases commenced</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104.74</w:t>
            </w:r>
          </w:p>
        </w:tc>
        <w:tc>
          <w:tcPr>
            <w:tcW w:w="200" w:type="dxa"/>
            <w:vAlign w:val="bottom"/>
          </w:tcPr>
          <w:p>
            <w:pPr>
              <w:spacing w:after="0"/>
              <w:rPr>
                <w:sz w:val="17"/>
                <w:szCs w:val="17"/>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84.32</w:t>
            </w:r>
          </w:p>
        </w:tc>
        <w:tc>
          <w:tcPr>
            <w:tcW w:w="180" w:type="dxa"/>
            <w:vAlign w:val="bottom"/>
          </w:tcPr>
          <w:p>
            <w:pPr>
              <w:spacing w:after="0"/>
              <w:rPr>
                <w:sz w:val="17"/>
                <w:szCs w:val="17"/>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00" w:type="dxa"/>
            <w:vAlign w:val="bottom"/>
          </w:tcPr>
          <w:p>
            <w:pPr>
              <w:jc w:val="center"/>
              <w:ind w:left="351"/>
              <w:spacing w:after="0"/>
              <w:rPr>
                <w:sz w:val="20"/>
                <w:szCs w:val="20"/>
                <w:color w:val="auto"/>
              </w:rPr>
            </w:pPr>
            <w:r>
              <w:rPr>
                <w:rFonts w:ascii="Arial" w:cs="Arial" w:eastAsia="Arial" w:hAnsi="Arial"/>
                <w:sz w:val="10"/>
                <w:szCs w:val="10"/>
                <w:color w:val="auto"/>
                <w:w w:val="95"/>
              </w:rPr>
              <w:t>95.42</w:t>
            </w:r>
          </w:p>
        </w:tc>
        <w:tc>
          <w:tcPr>
            <w:tcW w:w="180" w:type="dxa"/>
            <w:vAlign w:val="bottom"/>
          </w:tcPr>
          <w:p>
            <w:pPr>
              <w:spacing w:after="0"/>
              <w:rPr>
                <w:sz w:val="17"/>
                <w:szCs w:val="17"/>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79.27</w:t>
            </w:r>
          </w:p>
        </w:tc>
        <w:tc>
          <w:tcPr>
            <w:tcW w:w="200" w:type="dxa"/>
            <w:vAlign w:val="bottom"/>
          </w:tcPr>
          <w:p>
            <w:pPr>
              <w:spacing w:after="0"/>
              <w:rPr>
                <w:sz w:val="17"/>
                <w:szCs w:val="17"/>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84.80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 xml:space="preserve">Previous escalated cash rent psf - office leases commenced </w:t>
            </w:r>
            <w:r>
              <w:rPr>
                <w:rFonts w:ascii="Arial" w:cs="Arial" w:eastAsia="Arial" w:hAnsi="Arial"/>
                <w:sz w:val="12"/>
                <w:szCs w:val="12"/>
                <w:color w:val="auto"/>
                <w:vertAlign w:val="superscript"/>
              </w:rPr>
              <w:t>(2)</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99.44</w:t>
            </w:r>
          </w:p>
        </w:tc>
        <w:tc>
          <w:tcPr>
            <w:tcW w:w="2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83.28</w:t>
            </w:r>
          </w:p>
        </w:tc>
        <w:tc>
          <w:tcPr>
            <w:tcW w:w="180" w:type="dxa"/>
            <w:vAlign w:val="bottom"/>
          </w:tcPr>
          <w:p>
            <w:pPr>
              <w:spacing w:after="0"/>
              <w:rPr>
                <w:sz w:val="13"/>
                <w:szCs w:val="13"/>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00" w:type="dxa"/>
            <w:vAlign w:val="bottom"/>
          </w:tcPr>
          <w:p>
            <w:pPr>
              <w:jc w:val="center"/>
              <w:ind w:left="351"/>
              <w:spacing w:after="0"/>
              <w:rPr>
                <w:sz w:val="20"/>
                <w:szCs w:val="20"/>
                <w:color w:val="auto"/>
              </w:rPr>
            </w:pPr>
            <w:r>
              <w:rPr>
                <w:rFonts w:ascii="Arial" w:cs="Arial" w:eastAsia="Arial" w:hAnsi="Arial"/>
                <w:sz w:val="10"/>
                <w:szCs w:val="10"/>
                <w:color w:val="auto"/>
                <w:w w:val="95"/>
              </w:rPr>
              <w:t>90.77</w:t>
            </w:r>
          </w:p>
        </w:tc>
        <w:tc>
          <w:tcPr>
            <w:tcW w:w="180" w:type="dxa"/>
            <w:vAlign w:val="bottom"/>
          </w:tcPr>
          <w:p>
            <w:pPr>
              <w:spacing w:after="0"/>
              <w:rPr>
                <w:sz w:val="13"/>
                <w:szCs w:val="13"/>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88.68</w:t>
            </w:r>
          </w:p>
        </w:tc>
        <w:tc>
          <w:tcPr>
            <w:tcW w:w="2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88.34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 xml:space="preserve">Increase (decrease) in new cash rent over previously escalated cash rent </w:t>
            </w:r>
            <w:r>
              <w:rPr>
                <w:rFonts w:ascii="Arial" w:cs="Arial" w:eastAsia="Arial" w:hAnsi="Arial"/>
                <w:sz w:val="12"/>
                <w:szCs w:val="12"/>
                <w:color w:val="auto"/>
                <w:vertAlign w:val="superscript"/>
              </w:rPr>
              <w:t>(1) (2)</w:t>
            </w:r>
          </w:p>
        </w:tc>
        <w:tc>
          <w:tcPr>
            <w:tcW w:w="180" w:type="dxa"/>
            <w:vAlign w:val="bottom"/>
          </w:tcPr>
          <w:p>
            <w:pPr>
              <w:spacing w:after="0"/>
              <w:rPr>
                <w:sz w:val="11"/>
                <w:szCs w:val="11"/>
                <w:color w:val="auto"/>
              </w:rPr>
            </w:pPr>
          </w:p>
        </w:tc>
        <w:tc>
          <w:tcPr>
            <w:tcW w:w="780" w:type="dxa"/>
            <w:vAlign w:val="bottom"/>
          </w:tcPr>
          <w:p>
            <w:pPr>
              <w:ind w:left="400"/>
              <w:spacing w:after="0"/>
              <w:rPr>
                <w:sz w:val="20"/>
                <w:szCs w:val="20"/>
                <w:color w:val="auto"/>
              </w:rPr>
            </w:pPr>
            <w:r>
              <w:rPr>
                <w:rFonts w:ascii="Arial" w:cs="Arial" w:eastAsia="Arial" w:hAnsi="Arial"/>
                <w:sz w:val="10"/>
                <w:szCs w:val="10"/>
                <w:color w:val="auto"/>
              </w:rPr>
              <w:t>5.3%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71"/>
              <w:spacing w:after="0"/>
              <w:rPr>
                <w:sz w:val="20"/>
                <w:szCs w:val="20"/>
                <w:color w:val="auto"/>
              </w:rPr>
            </w:pPr>
            <w:r>
              <w:rPr>
                <w:rFonts w:ascii="Arial" w:cs="Arial" w:eastAsia="Arial" w:hAnsi="Arial"/>
                <w:sz w:val="10"/>
                <w:szCs w:val="10"/>
                <w:color w:val="auto"/>
              </w:rPr>
              <w:t>1.3%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300"/>
              <w:spacing w:after="0"/>
              <w:rPr>
                <w:sz w:val="20"/>
                <w:szCs w:val="20"/>
                <w:color w:val="auto"/>
              </w:rPr>
            </w:pPr>
            <w:r>
              <w:rPr>
                <w:rFonts w:ascii="Arial" w:cs="Arial" w:eastAsia="Arial" w:hAnsi="Arial"/>
                <w:sz w:val="10"/>
                <w:szCs w:val="10"/>
                <w:color w:val="auto"/>
              </w:rPr>
              <w:t>5.1%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(10.6)%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71"/>
              <w:spacing w:after="0"/>
              <w:rPr>
                <w:sz w:val="20"/>
                <w:szCs w:val="20"/>
                <w:color w:val="auto"/>
              </w:rPr>
            </w:pPr>
            <w:r>
              <w:rPr>
                <w:rFonts w:ascii="Arial" w:cs="Arial" w:eastAsia="Arial" w:hAnsi="Arial"/>
                <w:sz w:val="10"/>
                <w:szCs w:val="10"/>
                <w:color w:val="auto"/>
              </w:rPr>
              <w:t>(4.0)%</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Average lease term</w:t>
            </w:r>
          </w:p>
        </w:tc>
        <w:tc>
          <w:tcPr>
            <w:tcW w:w="180" w:type="dxa"/>
            <w:vAlign w:val="bottom"/>
          </w:tcPr>
          <w:p>
            <w:pPr>
              <w:spacing w:after="0"/>
              <w:rPr>
                <w:sz w:val="11"/>
                <w:szCs w:val="11"/>
                <w:color w:val="auto"/>
              </w:rPr>
            </w:pP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10.2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5.7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left="371"/>
              <w:spacing w:after="0"/>
              <w:rPr>
                <w:sz w:val="20"/>
                <w:szCs w:val="20"/>
                <w:color w:val="auto"/>
              </w:rPr>
            </w:pPr>
            <w:r>
              <w:rPr>
                <w:rFonts w:ascii="Arial" w:cs="Arial" w:eastAsia="Arial" w:hAnsi="Arial"/>
                <w:sz w:val="10"/>
                <w:szCs w:val="10"/>
                <w:color w:val="auto"/>
                <w:w w:val="92"/>
              </w:rPr>
              <w:t>10.5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10.1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9.1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Tenant concession packages psf</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112.51</w:t>
            </w:r>
          </w:p>
        </w:tc>
        <w:tc>
          <w:tcPr>
            <w:tcW w:w="2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49.69</w:t>
            </w:r>
          </w:p>
        </w:tc>
        <w:tc>
          <w:tcPr>
            <w:tcW w:w="1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108.39</w:t>
            </w:r>
          </w:p>
        </w:tc>
        <w:tc>
          <w:tcPr>
            <w:tcW w:w="180" w:type="dxa"/>
            <w:vAlign w:val="bottom"/>
          </w:tcPr>
          <w:p>
            <w:pPr>
              <w:spacing w:after="0"/>
              <w:rPr>
                <w:sz w:val="11"/>
                <w:szCs w:val="11"/>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111.53</w:t>
            </w:r>
          </w:p>
        </w:tc>
        <w:tc>
          <w:tcPr>
            <w:tcW w:w="2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109.37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3"/>
          </w:tcPr>
          <w:p>
            <w:pPr>
              <w:spacing w:after="0"/>
              <w:rPr>
                <w:sz w:val="20"/>
                <w:szCs w:val="20"/>
                <w:color w:val="auto"/>
              </w:rPr>
            </w:pPr>
            <w:r>
              <w:rPr>
                <w:rFonts w:ascii="Arial" w:cs="Arial" w:eastAsia="Arial" w:hAnsi="Arial"/>
                <w:sz w:val="10"/>
                <w:szCs w:val="10"/>
                <w:color w:val="auto"/>
              </w:rPr>
              <w:t>Free rent months</w:t>
            </w:r>
          </w:p>
        </w:tc>
        <w:tc>
          <w:tcPr>
            <w:tcW w:w="180" w:type="dxa"/>
            <w:vAlign w:val="bottom"/>
          </w:tcPr>
          <w:p>
            <w:pPr>
              <w:spacing w:after="0"/>
              <w:rPr>
                <w:sz w:val="11"/>
                <w:szCs w:val="11"/>
                <w:color w:val="auto"/>
              </w:rPr>
            </w:pP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11.0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4.2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9.1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11.4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9.5</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1260" w:hanging="137"/>
        <w:spacing w:after="0"/>
        <w:tabs>
          <w:tab w:leader="none" w:pos="1260" w:val="left"/>
        </w:tabs>
        <w:numPr>
          <w:ilvl w:val="0"/>
          <w:numId w:val="12"/>
        </w:numPr>
        <w:rPr>
          <w:rFonts w:ascii="Arial" w:cs="Arial" w:eastAsia="Arial" w:hAnsi="Arial"/>
          <w:sz w:val="9"/>
          <w:szCs w:val="9"/>
          <w:color w:val="auto"/>
        </w:rPr>
      </w:pPr>
      <w:r>
        <w:rPr>
          <w:rFonts w:ascii="Arial" w:cs="Arial" w:eastAsia="Arial" w:hAnsi="Arial"/>
          <w:sz w:val="9"/>
          <w:szCs w:val="9"/>
          <w:color w:val="auto"/>
        </w:rPr>
        <w:t>Calculated on space that was occupied within the previous 12 months.</w:t>
      </w:r>
    </w:p>
    <w:p>
      <w:pPr>
        <w:spacing w:after="0" w:line="24" w:lineRule="exact"/>
        <w:rPr>
          <w:rFonts w:ascii="Arial" w:cs="Arial" w:eastAsia="Arial" w:hAnsi="Arial"/>
          <w:sz w:val="9"/>
          <w:szCs w:val="9"/>
          <w:color w:val="auto"/>
        </w:rPr>
      </w:pPr>
    </w:p>
    <w:p>
      <w:pPr>
        <w:ind w:left="1260" w:hanging="137"/>
        <w:spacing w:after="0"/>
        <w:tabs>
          <w:tab w:leader="none" w:pos="1260" w:val="left"/>
        </w:tabs>
        <w:numPr>
          <w:ilvl w:val="0"/>
          <w:numId w:val="12"/>
        </w:numPr>
        <w:rPr>
          <w:rFonts w:ascii="Arial" w:cs="Arial" w:eastAsia="Arial" w:hAnsi="Arial"/>
          <w:sz w:val="9"/>
          <w:szCs w:val="9"/>
          <w:color w:val="auto"/>
        </w:rPr>
      </w:pPr>
      <w:r>
        <w:rPr>
          <w:rFonts w:ascii="Arial" w:cs="Arial" w:eastAsia="Arial" w:hAnsi="Arial"/>
          <w:sz w:val="9"/>
          <w:szCs w:val="9"/>
          <w:color w:val="auto"/>
        </w:rPr>
        <w:t>Previously escalated cash rent includes base rent plus all additional amounts paid by the previous tenant in the form of real estate taxes, operating expenses, porters wage or a consumer price index (CPI) adjustment.</w:t>
      </w:r>
    </w:p>
    <w:p>
      <w:pPr>
        <w:spacing w:after="0" w:line="363" w:lineRule="exact"/>
        <w:rPr>
          <w:sz w:val="20"/>
          <w:szCs w:val="20"/>
          <w:color w:val="auto"/>
        </w:rPr>
      </w:pPr>
    </w:p>
    <w:p>
      <w:pPr>
        <w:jc w:val="right"/>
        <w:spacing w:after="0"/>
        <w:tabs>
          <w:tab w:leader="none" w:pos="4580" w:val="left"/>
          <w:tab w:leader="none" w:pos="74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11</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0160"/>
          </w:cols>
          <w:pgMar w:left="320" w:top="235" w:right="141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COMPARATIVE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-121285</wp:posOffset>
            </wp:positionV>
            <wp:extent cx="577088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-21590</wp:posOffset>
            </wp:positionV>
            <wp:extent cx="1136650" cy="324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577088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80645</wp:posOffset>
            </wp:positionV>
            <wp:extent cx="577088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As of</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27"/>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b w:val="1"/>
                <w:bCs w:val="1"/>
                <w:color w:val="auto"/>
              </w:rPr>
              <w:t>12/31/2025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9/30/2025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6/30/2025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3/31/2025</w:t>
            </w:r>
          </w:p>
        </w:tc>
      </w:tr>
      <w:tr>
        <w:trPr>
          <w:trHeight w:val="139"/>
        </w:trPr>
        <w:tc>
          <w:tcPr>
            <w:tcW w:w="37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Assets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20"/>
        </w:trPr>
        <w:tc>
          <w:tcPr>
            <w:tcW w:w="3700" w:type="dxa"/>
            <w:vAlign w:val="bottom"/>
          </w:tcPr>
          <w:p>
            <w:pPr>
              <w:spacing w:after="0"/>
              <w:rPr>
                <w:sz w:val="20"/>
                <w:szCs w:val="20"/>
                <w:color w:val="auto"/>
              </w:rPr>
            </w:pPr>
            <w:r>
              <w:rPr>
                <w:rFonts w:ascii="Arial" w:cs="Arial" w:eastAsia="Arial" w:hAnsi="Arial"/>
                <w:sz w:val="10"/>
                <w:szCs w:val="10"/>
                <w:color w:val="auto"/>
              </w:rPr>
              <w:t>Commercial real estate properties, at cost: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8"/>
        </w:trPr>
        <w:tc>
          <w:tcPr>
            <w:tcW w:w="3700" w:type="dxa"/>
            <w:vAlign w:val="bottom"/>
          </w:tcPr>
          <w:p>
            <w:pPr>
              <w:ind w:left="160"/>
              <w:spacing w:after="0"/>
              <w:rPr>
                <w:sz w:val="20"/>
                <w:szCs w:val="20"/>
                <w:color w:val="auto"/>
              </w:rPr>
            </w:pPr>
            <w:r>
              <w:rPr>
                <w:rFonts w:ascii="Arial" w:cs="Arial" w:eastAsia="Arial" w:hAnsi="Arial"/>
                <w:sz w:val="10"/>
                <w:szCs w:val="10"/>
                <w:color w:val="auto"/>
              </w:rPr>
              <w:t>Land and land interests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1,848,531</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1,699,215</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1,627,895</w:t>
            </w:r>
          </w:p>
        </w:tc>
        <w:tc>
          <w:tcPr>
            <w:tcW w:w="2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1,448,504</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1,450,892</w:t>
            </w:r>
          </w:p>
        </w:tc>
      </w:tr>
      <w:tr>
        <w:trPr>
          <w:trHeight w:val="138"/>
        </w:trPr>
        <w:tc>
          <w:tcPr>
            <w:tcW w:w="3700" w:type="dxa"/>
            <w:vAlign w:val="bottom"/>
          </w:tcPr>
          <w:p>
            <w:pPr>
              <w:ind w:left="160"/>
              <w:spacing w:after="0"/>
              <w:rPr>
                <w:sz w:val="20"/>
                <w:szCs w:val="20"/>
                <w:color w:val="auto"/>
              </w:rPr>
            </w:pPr>
            <w:r>
              <w:rPr>
                <w:rFonts w:ascii="Arial" w:cs="Arial" w:eastAsia="Arial" w:hAnsi="Arial"/>
                <w:sz w:val="10"/>
                <w:szCs w:val="10"/>
                <w:color w:val="auto"/>
              </w:rPr>
              <w:t>Building and improvements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4,298,249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4,012,305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4,082,434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3,867,078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3,828,638</w:t>
            </w:r>
          </w:p>
        </w:tc>
      </w:tr>
      <w:tr>
        <w:trPr>
          <w:trHeight w:val="142"/>
        </w:trPr>
        <w:tc>
          <w:tcPr>
            <w:tcW w:w="3700" w:type="dxa"/>
            <w:vAlign w:val="bottom"/>
          </w:tcPr>
          <w:p>
            <w:pPr>
              <w:ind w:left="160"/>
              <w:spacing w:after="0"/>
              <w:rPr>
                <w:sz w:val="20"/>
                <w:szCs w:val="20"/>
                <w:color w:val="auto"/>
              </w:rPr>
            </w:pPr>
            <w:r>
              <w:rPr>
                <w:rFonts w:ascii="Arial" w:cs="Arial" w:eastAsia="Arial" w:hAnsi="Arial"/>
                <w:sz w:val="10"/>
                <w:szCs w:val="10"/>
                <w:color w:val="auto"/>
              </w:rPr>
              <w:t>Building leasehold and improvements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1,465,411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1,448,112</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1,424,907</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1,415,754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1,399,376</w:t>
            </w:r>
          </w:p>
        </w:tc>
      </w:tr>
      <w:tr>
        <w:trPr>
          <w:trHeight w:val="123"/>
        </w:trPr>
        <w:tc>
          <w:tcPr>
            <w:tcW w:w="3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7,612,191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7,159,632</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7,135,236</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6,731,336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6,678,906</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Less: accumulated depreciation</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(2,321,290)</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(2,306,377)</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(2,266,042)</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(2,220,242)</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(2,174,667)</w:t>
            </w:r>
          </w:p>
        </w:tc>
      </w:tr>
      <w:tr>
        <w:trPr>
          <w:trHeight w:val="128"/>
        </w:trPr>
        <w:tc>
          <w:tcPr>
            <w:tcW w:w="3700" w:type="dxa"/>
            <w:vAlign w:val="bottom"/>
          </w:tcPr>
          <w:p>
            <w:pPr>
              <w:spacing w:after="0"/>
              <w:rPr>
                <w:sz w:val="20"/>
                <w:szCs w:val="20"/>
                <w:color w:val="auto"/>
              </w:rPr>
            </w:pPr>
            <w:r>
              <w:rPr>
                <w:rFonts w:ascii="Arial" w:cs="Arial" w:eastAsia="Arial" w:hAnsi="Arial"/>
                <w:sz w:val="10"/>
                <w:szCs w:val="10"/>
                <w:color w:val="auto"/>
              </w:rPr>
              <w:t>Net real estate</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5,290,901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4,853,255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4,869,194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4,511,094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4,504,239</w:t>
            </w:r>
          </w:p>
        </w:tc>
      </w:tr>
      <w:tr>
        <w:trPr>
          <w:trHeight w:val="216"/>
        </w:trPr>
        <w:tc>
          <w:tcPr>
            <w:tcW w:w="3700" w:type="dxa"/>
            <w:vAlign w:val="bottom"/>
          </w:tcPr>
          <w:p>
            <w:pPr>
              <w:spacing w:after="0"/>
              <w:rPr>
                <w:sz w:val="20"/>
                <w:szCs w:val="20"/>
                <w:color w:val="auto"/>
              </w:rPr>
            </w:pPr>
            <w:r>
              <w:rPr>
                <w:rFonts w:ascii="Arial" w:cs="Arial" w:eastAsia="Arial" w:hAnsi="Arial"/>
                <w:sz w:val="10"/>
                <w:szCs w:val="10"/>
                <w:color w:val="auto"/>
              </w:rPr>
              <w:t>Other real estate investments: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3700" w:type="dxa"/>
            <w:vAlign w:val="bottom"/>
          </w:tcPr>
          <w:p>
            <w:pPr>
              <w:ind w:left="160"/>
              <w:spacing w:after="0"/>
              <w:rPr>
                <w:sz w:val="20"/>
                <w:szCs w:val="20"/>
                <w:color w:val="auto"/>
              </w:rPr>
            </w:pPr>
            <w:r>
              <w:rPr>
                <w:rFonts w:ascii="Arial" w:cs="Arial" w:eastAsia="Arial" w:hAnsi="Arial"/>
                <w:sz w:val="10"/>
                <w:szCs w:val="10"/>
                <w:color w:val="auto"/>
              </w:rPr>
              <w:t>Debt and preferred equity investments, net</w:t>
            </w:r>
          </w:p>
        </w:tc>
        <w:tc>
          <w:tcPr>
            <w:tcW w:w="16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118,083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168,358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171,412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315,684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318,189</w:t>
            </w:r>
          </w:p>
        </w:tc>
      </w:tr>
      <w:tr>
        <w:trPr>
          <w:trHeight w:val="138"/>
        </w:trPr>
        <w:tc>
          <w:tcPr>
            <w:tcW w:w="3700" w:type="dxa"/>
            <w:vAlign w:val="bottom"/>
          </w:tcPr>
          <w:p>
            <w:pPr>
              <w:ind w:left="160"/>
              <w:spacing w:after="0"/>
              <w:rPr>
                <w:sz w:val="20"/>
                <w:szCs w:val="20"/>
                <w:color w:val="auto"/>
              </w:rPr>
            </w:pPr>
            <w:r>
              <w:rPr>
                <w:rFonts w:ascii="Arial" w:cs="Arial" w:eastAsia="Arial" w:hAnsi="Arial"/>
                <w:sz w:val="10"/>
                <w:szCs w:val="10"/>
                <w:color w:val="auto"/>
              </w:rPr>
              <w:t>Investment in unconsolidated joint ventures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2,500,573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2,624,755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2,627,443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2,701,382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2,712,582</w:t>
            </w:r>
          </w:p>
        </w:tc>
      </w:tr>
      <w:tr>
        <w:trPr>
          <w:trHeight w:val="138"/>
        </w:trPr>
        <w:tc>
          <w:tcPr>
            <w:tcW w:w="3700" w:type="dxa"/>
            <w:vAlign w:val="bottom"/>
          </w:tcPr>
          <w:p>
            <w:pPr>
              <w:ind w:left="160"/>
              <w:spacing w:after="0"/>
              <w:rPr>
                <w:sz w:val="20"/>
                <w:szCs w:val="20"/>
                <w:color w:val="auto"/>
              </w:rPr>
            </w:pPr>
            <w:r>
              <w:rPr>
                <w:rFonts w:ascii="Arial" w:cs="Arial" w:eastAsia="Arial" w:hAnsi="Arial"/>
                <w:sz w:val="10"/>
                <w:szCs w:val="10"/>
                <w:color w:val="auto"/>
              </w:rPr>
              <w:t>Debt fund investments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293,243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152,958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73,402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41,356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216"/>
        </w:trPr>
        <w:tc>
          <w:tcPr>
            <w:tcW w:w="3700" w:type="dxa"/>
            <w:vAlign w:val="bottom"/>
          </w:tcPr>
          <w:p>
            <w:pPr>
              <w:spacing w:after="0"/>
              <w:rPr>
                <w:sz w:val="20"/>
                <w:szCs w:val="20"/>
                <w:color w:val="auto"/>
              </w:rPr>
            </w:pPr>
            <w:r>
              <w:rPr>
                <w:rFonts w:ascii="Arial" w:cs="Arial" w:eastAsia="Arial" w:hAnsi="Arial"/>
                <w:sz w:val="10"/>
                <w:szCs w:val="10"/>
                <w:color w:val="auto"/>
              </w:rPr>
              <w:t>Assets held for sale, net</w:t>
            </w:r>
          </w:p>
        </w:tc>
        <w:tc>
          <w:tcPr>
            <w:tcW w:w="1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211,222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Cash and cash equivalents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143,867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155,747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187,039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182,912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180,133</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Restricted cash</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194,772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180,748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170,004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159,905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156,895</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Investment in marketable securities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25,330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23,666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16,099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17,151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12,295</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Tenant and other receivables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56,724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45,524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136,787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44,444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48,074</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Related party receivables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25,161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16,293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15,287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12,030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18,630</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Deferred rents receivable</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262,730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266,678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268,770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267,046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264,982</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Deferred costs, net</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129,428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129,019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117,054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117,964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114,317</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Right-of-use assets - operating leases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909,377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864,430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869,929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875,379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860,449</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Real estate loans held by consolidated securitization vehicles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1,027,164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1,023,877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1,013,273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1,431,362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1,599,291</w:t>
            </w:r>
          </w:p>
        </w:tc>
      </w:tr>
      <w:tr>
        <w:trPr>
          <w:trHeight w:val="142"/>
        </w:trPr>
        <w:tc>
          <w:tcPr>
            <w:tcW w:w="3700" w:type="dxa"/>
            <w:vAlign w:val="bottom"/>
          </w:tcPr>
          <w:p>
            <w:pPr>
              <w:spacing w:after="0"/>
              <w:rPr>
                <w:sz w:val="20"/>
                <w:szCs w:val="20"/>
                <w:color w:val="auto"/>
              </w:rPr>
            </w:pPr>
            <w:r>
              <w:rPr>
                <w:rFonts w:ascii="Arial" w:cs="Arial" w:eastAsia="Arial" w:hAnsi="Arial"/>
                <w:sz w:val="10"/>
                <w:szCs w:val="10"/>
                <w:color w:val="auto"/>
              </w:rPr>
              <w:t>Other assets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570,175</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577,299</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608,444</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574,620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620,547</w:t>
            </w:r>
          </w:p>
        </w:tc>
      </w:tr>
      <w:tr>
        <w:trPr>
          <w:trHeight w:val="16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Total Assets</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11,758,750</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11,082,607</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11,144,137</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11,252,329</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11,410,623</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19"/>
        </w:trPr>
        <w:tc>
          <w:tcPr>
            <w:tcW w:w="3700" w:type="dxa"/>
            <w:vAlign w:val="bottom"/>
          </w:tcPr>
          <w:p>
            <w:pPr>
              <w:spacing w:after="0"/>
              <w:rPr>
                <w:sz w:val="20"/>
                <w:szCs w:val="20"/>
                <w:color w:val="auto"/>
              </w:rPr>
            </w:pPr>
            <w:r>
              <w:rPr>
                <w:rFonts w:ascii="Arial" w:cs="Arial" w:eastAsia="Arial" w:hAnsi="Arial"/>
                <w:sz w:val="9"/>
                <w:szCs w:val="9"/>
                <w:color w:val="auto"/>
              </w:rPr>
              <w:t>Supplemental Information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First Quarter 2026</w:t>
            </w:r>
          </w:p>
        </w:tc>
      </w:tr>
    </w:tbl>
    <w:p>
      <w:pPr>
        <w:sectPr>
          <w:pgSz w:w="11900" w:h="16838" w:orient="portrait"/>
          <w:cols w:equalWidth="0" w:num="1">
            <w:col w:w="9060"/>
          </w:cols>
          <w:pgMar w:left="1420" w:top="304" w:right="141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COMPARATIVE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-121285</wp:posOffset>
            </wp:positionV>
            <wp:extent cx="577088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-21590</wp:posOffset>
            </wp:positionV>
            <wp:extent cx="1136650" cy="324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577088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80645</wp:posOffset>
            </wp:positionV>
            <wp:extent cx="577088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As of</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27"/>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b w:val="1"/>
                <w:bCs w:val="1"/>
                <w:color w:val="auto"/>
              </w:rPr>
              <w:t>12/31/2025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9/30/2025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b w:val="1"/>
                <w:bCs w:val="1"/>
                <w:color w:val="auto"/>
              </w:rPr>
              <w:t>6/30/2025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91"/>
              <w:spacing w:after="0"/>
              <w:rPr>
                <w:sz w:val="20"/>
                <w:szCs w:val="20"/>
                <w:color w:val="auto"/>
              </w:rPr>
            </w:pPr>
            <w:r>
              <w:rPr>
                <w:rFonts w:ascii="Arial" w:cs="Arial" w:eastAsia="Arial" w:hAnsi="Arial"/>
                <w:sz w:val="10"/>
                <w:szCs w:val="10"/>
                <w:b w:val="1"/>
                <w:bCs w:val="1"/>
                <w:color w:val="auto"/>
              </w:rPr>
              <w:t>3/31/2025</w:t>
            </w:r>
          </w:p>
        </w:tc>
      </w:tr>
      <w:tr>
        <w:trPr>
          <w:trHeight w:val="139"/>
        </w:trPr>
        <w:tc>
          <w:tcPr>
            <w:tcW w:w="37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Liabilities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20"/>
        </w:trPr>
        <w:tc>
          <w:tcPr>
            <w:tcW w:w="3700" w:type="dxa"/>
            <w:vAlign w:val="bottom"/>
          </w:tcPr>
          <w:p>
            <w:pPr>
              <w:spacing w:after="0"/>
              <w:rPr>
                <w:sz w:val="20"/>
                <w:szCs w:val="20"/>
                <w:color w:val="auto"/>
              </w:rPr>
            </w:pPr>
            <w:r>
              <w:rPr>
                <w:rFonts w:ascii="Arial" w:cs="Arial" w:eastAsia="Arial" w:hAnsi="Arial"/>
                <w:sz w:val="10"/>
                <w:szCs w:val="10"/>
                <w:color w:val="auto"/>
              </w:rPr>
              <w:t>Mortgages and other loans payable</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2,509,135</w:t>
            </w:r>
          </w:p>
        </w:tc>
        <w:tc>
          <w:tcPr>
            <w:tcW w:w="20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2,154,499</w:t>
            </w:r>
          </w:p>
        </w:tc>
        <w:tc>
          <w:tcPr>
            <w:tcW w:w="20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2,288,382</w:t>
            </w:r>
          </w:p>
        </w:tc>
        <w:tc>
          <w:tcPr>
            <w:tcW w:w="200" w:type="dxa"/>
            <w:vAlign w:val="bottom"/>
          </w:tcPr>
          <w:p>
            <w:pPr>
              <w:spacing w:after="0"/>
              <w:rPr>
                <w:sz w:val="10"/>
                <w:szCs w:val="10"/>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2,043,402</w:t>
            </w:r>
          </w:p>
        </w:tc>
        <w:tc>
          <w:tcPr>
            <w:tcW w:w="2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2,036,727</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Unsecured term loans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1,150,000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1,150,000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1,150,000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1,150,000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1,150,000</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Unsecured notes</w:t>
            </w:r>
          </w:p>
        </w:tc>
        <w:tc>
          <w:tcPr>
            <w:tcW w:w="16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100,000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100,000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100,000</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Revolving credit facility</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825,000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640,000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390,000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360,000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490,000</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Deferred financing costs</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(35,673)</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(13,063)</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(13,632)</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(13,788)</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(15,275)</w:t>
            </w:r>
          </w:p>
        </w:tc>
      </w:tr>
      <w:tr>
        <w:trPr>
          <w:trHeight w:val="128"/>
        </w:trPr>
        <w:tc>
          <w:tcPr>
            <w:tcW w:w="3700" w:type="dxa"/>
            <w:vAlign w:val="bottom"/>
          </w:tcPr>
          <w:p>
            <w:pPr>
              <w:spacing w:after="0"/>
              <w:rPr>
                <w:sz w:val="20"/>
                <w:szCs w:val="20"/>
                <w:color w:val="auto"/>
              </w:rPr>
            </w:pPr>
            <w:r>
              <w:rPr>
                <w:rFonts w:ascii="Arial" w:cs="Arial" w:eastAsia="Arial" w:hAnsi="Arial"/>
                <w:sz w:val="10"/>
                <w:szCs w:val="10"/>
                <w:color w:val="auto"/>
              </w:rPr>
              <w:t>Total debt, net of deferred financing costs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4,448,462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3,931,436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3,914,750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3,639,614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3,761,452</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Accrued interest payable</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19,791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15,221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17,803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16,066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18,473</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Accounts payable and accrued expenses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118,912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134,621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140,232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130,656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123,256</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Deferred revenue</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168,980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147,419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164,132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158,111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166,240</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Lease liability - financing leases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108,515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108,183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107,846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107,513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107,183</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Lease liability - operating leases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851,142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805,192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809,665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814,088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806,669</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Dividends and distributions payable</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49,380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2,536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21,942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22,150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21,978</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Security deposits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73,638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68,276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65,356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60,825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62,210</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Liabilities related to assets held for sale</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189,842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Junior subordinated deferrable interest debentures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100,000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100,000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100,000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100,000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100,000</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Senior obligations of consolidated securitization vehicles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1,027,164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1,023,877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1,013,273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1,431,362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1,409,185</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Other liabilities</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241,392</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392,756</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387,641</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409,549</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395,832</w:t>
            </w:r>
          </w:p>
        </w:tc>
      </w:tr>
      <w:tr>
        <w:trPr>
          <w:trHeight w:val="134"/>
        </w:trPr>
        <w:tc>
          <w:tcPr>
            <w:tcW w:w="3700" w:type="dxa"/>
            <w:vAlign w:val="bottom"/>
          </w:tcPr>
          <w:p>
            <w:pPr>
              <w:spacing w:after="0"/>
              <w:rPr>
                <w:sz w:val="20"/>
                <w:szCs w:val="20"/>
                <w:color w:val="auto"/>
              </w:rPr>
            </w:pPr>
            <w:r>
              <w:rPr>
                <w:rFonts w:ascii="Arial" w:cs="Arial" w:eastAsia="Arial" w:hAnsi="Arial"/>
                <w:sz w:val="10"/>
                <w:szCs w:val="10"/>
                <w:b w:val="1"/>
                <w:bCs w:val="1"/>
                <w:color w:val="auto"/>
              </w:rPr>
              <w:t>Total Liabilities</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b w:val="1"/>
                <w:bCs w:val="1"/>
                <w:color w:val="auto"/>
              </w:rPr>
              <w:t>7,397,218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b w:val="1"/>
                <w:bCs w:val="1"/>
                <w:color w:val="auto"/>
              </w:rPr>
              <w:t>6,729,517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b w:val="1"/>
                <w:bCs w:val="1"/>
                <w:color w:val="auto"/>
              </w:rPr>
              <w:t>6,742,640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b w:val="1"/>
                <w:bCs w:val="1"/>
                <w:color w:val="auto"/>
              </w:rPr>
              <w:t>6,889,934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b w:val="1"/>
                <w:bCs w:val="1"/>
                <w:color w:val="auto"/>
              </w:rPr>
              <w:t>6,972,478</w:t>
            </w:r>
          </w:p>
        </w:tc>
      </w:tr>
      <w:tr>
        <w:trPr>
          <w:trHeight w:val="210"/>
        </w:trPr>
        <w:tc>
          <w:tcPr>
            <w:tcW w:w="3700" w:type="dxa"/>
            <w:vAlign w:val="bottom"/>
          </w:tcPr>
          <w:p>
            <w:pPr>
              <w:spacing w:after="0"/>
              <w:rPr>
                <w:sz w:val="20"/>
                <w:szCs w:val="20"/>
                <w:color w:val="auto"/>
              </w:rPr>
            </w:pPr>
            <w:r>
              <w:rPr>
                <w:rFonts w:ascii="Arial" w:cs="Arial" w:eastAsia="Arial" w:hAnsi="Arial"/>
                <w:sz w:val="10"/>
                <w:szCs w:val="10"/>
                <w:color w:val="auto"/>
              </w:rPr>
              <w:t>Noncontrolling interests in Operating Partnership</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38"/>
        </w:trPr>
        <w:tc>
          <w:tcPr>
            <w:tcW w:w="3700" w:type="dxa"/>
            <w:vAlign w:val="bottom"/>
          </w:tcPr>
          <w:p>
            <w:pPr>
              <w:ind w:left="140"/>
              <w:spacing w:after="0"/>
              <w:rPr>
                <w:sz w:val="20"/>
                <w:szCs w:val="20"/>
                <w:color w:val="auto"/>
              </w:rPr>
            </w:pPr>
            <w:r>
              <w:rPr>
                <w:rFonts w:ascii="Arial" w:cs="Arial" w:eastAsia="Arial" w:hAnsi="Arial"/>
                <w:sz w:val="10"/>
                <w:szCs w:val="10"/>
                <w:color w:val="auto"/>
              </w:rPr>
              <w:t>(5,878 units outstanding at 3/31/2026)</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259,415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241,371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280,873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287,151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288,702</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Preferred units and redeemable equity</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204,319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199,271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194,392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195,141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196,016</w:t>
            </w:r>
          </w:p>
        </w:tc>
      </w:tr>
      <w:tr>
        <w:trPr>
          <w:trHeight w:val="224"/>
        </w:trPr>
        <w:tc>
          <w:tcPr>
            <w:tcW w:w="37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Equity</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120"/>
        </w:trPr>
        <w:tc>
          <w:tcPr>
            <w:tcW w:w="3700" w:type="dxa"/>
            <w:vAlign w:val="bottom"/>
          </w:tcPr>
          <w:p>
            <w:pPr>
              <w:spacing w:after="0"/>
              <w:rPr>
                <w:sz w:val="20"/>
                <w:szCs w:val="20"/>
                <w:color w:val="auto"/>
              </w:rPr>
            </w:pPr>
            <w:r>
              <w:rPr>
                <w:rFonts w:ascii="Arial" w:cs="Arial" w:eastAsia="Arial" w:hAnsi="Arial"/>
                <w:sz w:val="10"/>
                <w:szCs w:val="10"/>
                <w:color w:val="auto"/>
              </w:rPr>
              <w:t>SL Green stockholders' equity:</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Series I Preferred Stock</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221,932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221,932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221,932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221,932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221,932</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Common stock, $0.01 par value, 160,000 shares authorized, 71,124</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issued and outstanding at 3/31/2026</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711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711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710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710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710</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Additional paid–in capital</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4,213,856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4,212,590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4,205,443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4,198,303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4,156,242</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Accumulated other comprehensive earnings (loss)</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(7,287)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(22,198)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(19,784)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(16,324)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(4,842)</w:t>
            </w: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Retained deficit</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(892,890)</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(741,880)</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(634,653)</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(613,117)</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(537,585)</w:t>
            </w:r>
          </w:p>
        </w:tc>
      </w:tr>
      <w:tr>
        <w:trPr>
          <w:trHeight w:val="128"/>
        </w:trPr>
        <w:tc>
          <w:tcPr>
            <w:tcW w:w="3700" w:type="dxa"/>
            <w:vAlign w:val="bottom"/>
          </w:tcPr>
          <w:p>
            <w:pPr>
              <w:spacing w:after="0"/>
              <w:rPr>
                <w:sz w:val="20"/>
                <w:szCs w:val="20"/>
                <w:color w:val="auto"/>
              </w:rPr>
            </w:pPr>
            <w:r>
              <w:rPr>
                <w:rFonts w:ascii="Arial" w:cs="Arial" w:eastAsia="Arial" w:hAnsi="Arial"/>
                <w:sz w:val="10"/>
                <w:szCs w:val="10"/>
                <w:color w:val="auto"/>
              </w:rPr>
              <w:t>Total SL Green Realty Corp. stockholders' equity</w:t>
            </w: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3,536,322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3,671,155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3,773,648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3,791,504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3,836,457</w:t>
            </w:r>
          </w:p>
        </w:tc>
      </w:tr>
      <w:tr>
        <w:trPr>
          <w:trHeight w:val="221"/>
        </w:trPr>
        <w:tc>
          <w:tcPr>
            <w:tcW w:w="3700" w:type="dxa"/>
            <w:vAlign w:val="bottom"/>
          </w:tcPr>
          <w:p>
            <w:pPr>
              <w:spacing w:after="0"/>
              <w:rPr>
                <w:sz w:val="20"/>
                <w:szCs w:val="20"/>
                <w:color w:val="auto"/>
              </w:rPr>
            </w:pPr>
            <w:r>
              <w:rPr>
                <w:rFonts w:ascii="Arial" w:cs="Arial" w:eastAsia="Arial" w:hAnsi="Arial"/>
                <w:sz w:val="10"/>
                <w:szCs w:val="10"/>
                <w:color w:val="auto"/>
              </w:rPr>
              <w:t>Noncontrolling interests in other partnerships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361,476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241,293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152,584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88,599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116,970</w:t>
            </w:r>
          </w:p>
        </w:tc>
      </w:tr>
      <w:tr>
        <w:trPr>
          <w:trHeight w:val="160"/>
        </w:trPr>
        <w:tc>
          <w:tcPr>
            <w:tcW w:w="3700" w:type="dxa"/>
            <w:vAlign w:val="bottom"/>
          </w:tcPr>
          <w:p>
            <w:pPr>
              <w:spacing w:after="0"/>
              <w:rPr>
                <w:sz w:val="20"/>
                <w:szCs w:val="20"/>
                <w:color w:val="auto"/>
              </w:rPr>
            </w:pPr>
            <w:r>
              <w:rPr>
                <w:rFonts w:ascii="Arial" w:cs="Arial" w:eastAsia="Arial" w:hAnsi="Arial"/>
                <w:sz w:val="10"/>
                <w:szCs w:val="10"/>
                <w:b w:val="1"/>
                <w:bCs w:val="1"/>
                <w:color w:val="auto"/>
              </w:rPr>
              <w:t>Total Equity</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3,897,798</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3,912,448</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3,926,232</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3,880,103</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3,953,427</w:t>
            </w:r>
          </w:p>
        </w:tc>
      </w:tr>
      <w:tr>
        <w:trPr>
          <w:trHeight w:val="19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11,758,750</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11,082,607</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11,144,137</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11,252,329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11,410,623</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01"/>
        </w:trPr>
        <w:tc>
          <w:tcPr>
            <w:tcW w:w="3700" w:type="dxa"/>
            <w:vAlign w:val="bottom"/>
          </w:tcPr>
          <w:p>
            <w:pPr>
              <w:spacing w:after="0"/>
              <w:rPr>
                <w:sz w:val="20"/>
                <w:szCs w:val="20"/>
                <w:color w:val="auto"/>
              </w:rPr>
            </w:pPr>
            <w:r>
              <w:rPr>
                <w:rFonts w:ascii="Arial" w:cs="Arial" w:eastAsia="Arial" w:hAnsi="Arial"/>
                <w:sz w:val="9"/>
                <w:szCs w:val="9"/>
                <w:color w:val="auto"/>
              </w:rPr>
              <w:t>Supplemental Information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First Quarter 2026</w:t>
            </w:r>
          </w:p>
        </w:tc>
      </w:tr>
    </w:tbl>
    <w:p>
      <w:pPr>
        <w:sectPr>
          <w:pgSz w:w="11900" w:h="16838" w:orient="portrait"/>
          <w:cols w:equalWidth="0" w:num="1">
            <w:col w:w="9060"/>
          </w:cols>
          <w:pgMar w:left="1420" w:top="304" w:right="141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COMPARATIVE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77659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-21590</wp:posOffset>
            </wp:positionV>
            <wp:extent cx="1136650" cy="324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577659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040"/>
        <w:spacing w:after="0"/>
        <w:rPr>
          <w:sz w:val="20"/>
          <w:szCs w:val="20"/>
          <w:color w:val="auto"/>
        </w:rPr>
      </w:pPr>
      <w:r>
        <w:rPr>
          <w:rFonts w:ascii="Arial" w:cs="Arial" w:eastAsia="Arial" w:hAnsi="Arial"/>
          <w:sz w:val="9"/>
          <w:szCs w:val="9"/>
          <w:b w:val="1"/>
          <w:bCs w:val="1"/>
          <w:color w:val="auto"/>
        </w:rPr>
        <w:t>Three Months Ended</w:t>
      </w:r>
    </w:p>
    <w:p>
      <w:pPr>
        <w:spacing w:after="0" w:line="22" w:lineRule="exact"/>
        <w:rPr>
          <w:sz w:val="20"/>
          <w:szCs w:val="20"/>
          <w:color w:val="auto"/>
        </w:rPr>
      </w:pPr>
    </w:p>
    <w:tbl>
      <w:tblPr>
        <w:tblLayout w:type="fixed"/>
        <w:tblInd w:w="103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ind w:left="100"/>
              <w:spacing w:after="0"/>
              <w:rPr>
                <w:sz w:val="20"/>
                <w:szCs w:val="20"/>
                <w:color w:val="auto"/>
              </w:rPr>
            </w:pPr>
            <w:r>
              <w:rPr>
                <w:rFonts w:ascii="Arial" w:cs="Arial" w:eastAsia="Arial" w:hAnsi="Arial"/>
                <w:sz w:val="9"/>
                <w:szCs w:val="9"/>
                <w:b w:val="1"/>
                <w:bCs w:val="1"/>
                <w:color w:val="auto"/>
              </w:rPr>
              <w:t>March 31,</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4"/>
          </w:tcPr>
          <w:p>
            <w:pPr>
              <w:ind w:left="60"/>
              <w:spacing w:after="0"/>
              <w:rPr>
                <w:sz w:val="20"/>
                <w:szCs w:val="20"/>
                <w:color w:val="auto"/>
              </w:rPr>
            </w:pPr>
            <w:r>
              <w:rPr>
                <w:rFonts w:ascii="Arial" w:cs="Arial" w:eastAsia="Arial" w:hAnsi="Arial"/>
                <w:sz w:val="9"/>
                <w:szCs w:val="9"/>
                <w:b w:val="1"/>
                <w:bCs w:val="1"/>
                <w:color w:val="auto"/>
              </w:rPr>
              <w:t>December 31,</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ind w:right="237"/>
              <w:spacing w:after="0"/>
              <w:rPr>
                <w:sz w:val="20"/>
                <w:szCs w:val="20"/>
                <w:color w:val="auto"/>
              </w:rPr>
            </w:pPr>
            <w:r>
              <w:rPr>
                <w:rFonts w:ascii="Arial" w:cs="Arial" w:eastAsia="Arial" w:hAnsi="Arial"/>
                <w:sz w:val="9"/>
                <w:szCs w:val="9"/>
                <w:b w:val="1"/>
                <w:bCs w:val="1"/>
                <w:color w:val="auto"/>
              </w:rPr>
              <w:t>March 31,</w:t>
            </w:r>
          </w:p>
        </w:tc>
      </w:tr>
      <w:tr>
        <w:trPr>
          <w:trHeight w:val="106"/>
        </w:trPr>
        <w:tc>
          <w:tcPr>
            <w:tcW w:w="3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tcPr>
          <w:p>
            <w:pPr>
              <w:jc w:val="right"/>
              <w:ind w:right="317"/>
              <w:spacing w:after="0"/>
              <w:rPr>
                <w:sz w:val="20"/>
                <w:szCs w:val="20"/>
                <w:color w:val="auto"/>
              </w:rPr>
            </w:pPr>
            <w:r>
              <w:rPr>
                <w:rFonts w:ascii="Arial" w:cs="Arial" w:eastAsia="Arial" w:hAnsi="Arial"/>
                <w:sz w:val="9"/>
                <w:szCs w:val="9"/>
                <w:b w:val="1"/>
                <w:bCs w:val="1"/>
                <w:color w:val="auto"/>
              </w:rPr>
              <w:t>2026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3"/>
          </w:tcPr>
          <w:p>
            <w:pPr>
              <w:jc w:val="right"/>
              <w:ind w:right="317"/>
              <w:spacing w:after="0"/>
              <w:rPr>
                <w:sz w:val="20"/>
                <w:szCs w:val="20"/>
                <w:color w:val="auto"/>
              </w:rPr>
            </w:pPr>
            <w:r>
              <w:rPr>
                <w:rFonts w:ascii="Arial" w:cs="Arial" w:eastAsia="Arial" w:hAnsi="Arial"/>
                <w:sz w:val="9"/>
                <w:szCs w:val="9"/>
                <w:b w:val="1"/>
                <w:bCs w:val="1"/>
                <w:color w:val="auto"/>
              </w:rPr>
              <w:t>2025</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tcPr>
          <w:p>
            <w:pPr>
              <w:jc w:val="right"/>
              <w:ind w:right="337"/>
              <w:spacing w:after="0"/>
              <w:rPr>
                <w:sz w:val="20"/>
                <w:szCs w:val="20"/>
                <w:color w:val="auto"/>
              </w:rPr>
            </w:pPr>
            <w:r>
              <w:rPr>
                <w:rFonts w:ascii="Arial" w:cs="Arial" w:eastAsia="Arial" w:hAnsi="Arial"/>
                <w:sz w:val="9"/>
                <w:szCs w:val="9"/>
                <w:b w:val="1"/>
                <w:bCs w:val="1"/>
                <w:color w:val="auto"/>
              </w:rPr>
              <w:t>2025</w:t>
            </w:r>
          </w:p>
        </w:tc>
      </w:tr>
      <w:tr>
        <w:trPr>
          <w:trHeight w:val="146"/>
        </w:trPr>
        <w:tc>
          <w:tcPr>
            <w:tcW w:w="3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Revenues</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r>
      <w:tr>
        <w:trPr>
          <w:trHeight w:val="106"/>
        </w:trPr>
        <w:tc>
          <w:tcPr>
            <w:tcW w:w="3900" w:type="dxa"/>
            <w:vAlign w:val="bottom"/>
          </w:tcPr>
          <w:p>
            <w:pPr>
              <w:spacing w:after="0"/>
              <w:rPr>
                <w:sz w:val="20"/>
                <w:szCs w:val="20"/>
                <w:color w:val="auto"/>
              </w:rPr>
            </w:pPr>
            <w:r>
              <w:rPr>
                <w:rFonts w:ascii="Arial" w:cs="Arial" w:eastAsia="Arial" w:hAnsi="Arial"/>
                <w:sz w:val="9"/>
                <w:szCs w:val="9"/>
                <w:color w:val="auto"/>
              </w:rPr>
              <w:t>Rental revenue, net</w:t>
            </w:r>
          </w:p>
        </w:tc>
        <w:tc>
          <w:tcPr>
            <w:tcW w:w="160" w:type="dxa"/>
            <w:vAlign w:val="bottom"/>
          </w:tcPr>
          <w:p>
            <w:pPr>
              <w:jc w:val="right"/>
              <w:ind w:right="57"/>
              <w:spacing w:after="0"/>
              <w:rPr>
                <w:sz w:val="20"/>
                <w:szCs w:val="20"/>
                <w:color w:val="auto"/>
              </w:rPr>
            </w:pPr>
            <w:r>
              <w:rPr>
                <w:rFonts w:ascii="Arial" w:cs="Arial" w:eastAsia="Arial" w:hAnsi="Arial"/>
                <w:sz w:val="9"/>
                <w:szCs w:val="9"/>
                <w:color w:val="auto"/>
                <w:w w:val="78"/>
              </w:rPr>
              <w:t>$</w:t>
            </w: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165,995</w:t>
            </w:r>
          </w:p>
        </w:tc>
        <w:tc>
          <w:tcPr>
            <w:tcW w:w="200" w:type="dxa"/>
            <w:vAlign w:val="bottom"/>
          </w:tcPr>
          <w:p>
            <w:pPr>
              <w:spacing w:after="0"/>
              <w:rPr>
                <w:sz w:val="9"/>
                <w:szCs w:val="9"/>
                <w:color w:val="auto"/>
              </w:rPr>
            </w:pPr>
          </w:p>
        </w:tc>
        <w:tc>
          <w:tcPr>
            <w:tcW w:w="120" w:type="dxa"/>
            <w:vAlign w:val="bottom"/>
          </w:tcPr>
          <w:p>
            <w:pPr>
              <w:jc w:val="right"/>
              <w:ind w:right="17"/>
              <w:spacing w:after="0"/>
              <w:rPr>
                <w:sz w:val="20"/>
                <w:szCs w:val="20"/>
                <w:color w:val="auto"/>
              </w:rPr>
            </w:pPr>
            <w:r>
              <w:rPr>
                <w:rFonts w:ascii="Arial" w:cs="Arial" w:eastAsia="Arial" w:hAnsi="Arial"/>
                <w:sz w:val="9"/>
                <w:szCs w:val="9"/>
                <w:color w:val="auto"/>
                <w:w w:val="78"/>
              </w:rPr>
              <w:t>$</w:t>
            </w: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159,816</w:t>
            </w:r>
          </w:p>
        </w:tc>
        <w:tc>
          <w:tcPr>
            <w:tcW w:w="200" w:type="dxa"/>
            <w:vAlign w:val="bottom"/>
          </w:tcPr>
          <w:p>
            <w:pPr>
              <w:spacing w:after="0"/>
              <w:rPr>
                <w:sz w:val="9"/>
                <w:szCs w:val="9"/>
                <w:color w:val="auto"/>
              </w:rPr>
            </w:pPr>
          </w:p>
        </w:tc>
        <w:tc>
          <w:tcPr>
            <w:tcW w:w="160" w:type="dxa"/>
            <w:vAlign w:val="bottom"/>
          </w:tcPr>
          <w:p>
            <w:pPr>
              <w:jc w:val="right"/>
              <w:ind w:right="57"/>
              <w:spacing w:after="0"/>
              <w:rPr>
                <w:sz w:val="20"/>
                <w:szCs w:val="20"/>
                <w:color w:val="auto"/>
              </w:rPr>
            </w:pPr>
            <w:r>
              <w:rPr>
                <w:rFonts w:ascii="Arial" w:cs="Arial" w:eastAsia="Arial" w:hAnsi="Arial"/>
                <w:sz w:val="9"/>
                <w:szCs w:val="9"/>
                <w:color w:val="auto"/>
                <w:w w:val="78"/>
              </w:rPr>
              <w:t>$</w:t>
            </w: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144,518</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Escalation and reimbursement revenues</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20,881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23,497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18,501</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SUMMIT Operator revenue</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24,142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35,920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22,534</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Investment income</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2,346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2,568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16,114</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Interest income from real estate loans held by consolidated securitization vehicles</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14,649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14,866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15,981</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Fee Income</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20,006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25,827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12,275</w:t>
            </w:r>
          </w:p>
        </w:tc>
      </w:tr>
      <w:tr>
        <w:trPr>
          <w:trHeight w:val="131"/>
        </w:trPr>
        <w:tc>
          <w:tcPr>
            <w:tcW w:w="3900" w:type="dxa"/>
            <w:vAlign w:val="bottom"/>
          </w:tcPr>
          <w:p>
            <w:pPr>
              <w:spacing w:after="0"/>
              <w:rPr>
                <w:sz w:val="20"/>
                <w:szCs w:val="20"/>
                <w:color w:val="auto"/>
              </w:rPr>
            </w:pPr>
            <w:r>
              <w:rPr>
                <w:rFonts w:ascii="Arial" w:cs="Arial" w:eastAsia="Arial" w:hAnsi="Arial"/>
                <w:sz w:val="9"/>
                <w:szCs w:val="9"/>
                <w:color w:val="auto"/>
              </w:rPr>
              <w:t>Other income</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9"/>
                <w:szCs w:val="9"/>
                <w:color w:val="auto"/>
              </w:rPr>
              <w:t>5,061</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9"/>
                <w:szCs w:val="9"/>
                <w:color w:val="auto"/>
              </w:rPr>
              <w:t>13,973</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9"/>
                <w:szCs w:val="9"/>
                <w:color w:val="auto"/>
              </w:rPr>
              <w:t>9,923</w:t>
            </w:r>
          </w:p>
        </w:tc>
      </w:tr>
      <w:tr>
        <w:trPr>
          <w:trHeight w:val="119"/>
        </w:trPr>
        <w:tc>
          <w:tcPr>
            <w:tcW w:w="3900" w:type="dxa"/>
            <w:vAlign w:val="bottom"/>
          </w:tcPr>
          <w:p>
            <w:pPr>
              <w:spacing w:after="0"/>
              <w:rPr>
                <w:sz w:val="20"/>
                <w:szCs w:val="20"/>
                <w:color w:val="auto"/>
              </w:rPr>
            </w:pPr>
            <w:r>
              <w:rPr>
                <w:rFonts w:ascii="Arial" w:cs="Arial" w:eastAsia="Arial" w:hAnsi="Arial"/>
                <w:sz w:val="9"/>
                <w:szCs w:val="9"/>
                <w:b w:val="1"/>
                <w:bCs w:val="1"/>
                <w:color w:val="auto"/>
              </w:rPr>
              <w:t>Total Revenues</w:t>
            </w:r>
          </w:p>
        </w:tc>
        <w:tc>
          <w:tcPr>
            <w:tcW w:w="160" w:type="dxa"/>
            <w:vAlign w:val="bottom"/>
          </w:tcPr>
          <w:p>
            <w:pPr>
              <w:spacing w:after="0"/>
              <w:rPr>
                <w:sz w:val="10"/>
                <w:szCs w:val="10"/>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b w:val="1"/>
                <w:bCs w:val="1"/>
                <w:color w:val="auto"/>
              </w:rPr>
              <w:t>253,080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b w:val="1"/>
                <w:bCs w:val="1"/>
                <w:color w:val="auto"/>
              </w:rPr>
              <w:t>276,467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b w:val="1"/>
                <w:bCs w:val="1"/>
                <w:color w:val="auto"/>
              </w:rPr>
              <w:t>239,846</w:t>
            </w:r>
          </w:p>
        </w:tc>
      </w:tr>
      <w:tr>
        <w:trPr>
          <w:trHeight w:val="172"/>
        </w:trPr>
        <w:tc>
          <w:tcPr>
            <w:tcW w:w="39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Expenses</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26"/>
        </w:trPr>
        <w:tc>
          <w:tcPr>
            <w:tcW w:w="3900" w:type="dxa"/>
            <w:vAlign w:val="bottom"/>
          </w:tcPr>
          <w:p>
            <w:pPr>
              <w:spacing w:after="0"/>
              <w:rPr>
                <w:sz w:val="20"/>
                <w:szCs w:val="20"/>
                <w:color w:val="auto"/>
              </w:rPr>
            </w:pPr>
            <w:r>
              <w:rPr>
                <w:rFonts w:ascii="Arial" w:cs="Arial" w:eastAsia="Arial" w:hAnsi="Arial"/>
                <w:sz w:val="9"/>
                <w:szCs w:val="9"/>
                <w:color w:val="auto"/>
              </w:rPr>
              <w:t xml:space="preserve">Operating expenses </w:t>
            </w:r>
            <w:r>
              <w:rPr>
                <w:rFonts w:ascii="Arial" w:cs="Arial" w:eastAsia="Arial" w:hAnsi="Arial"/>
                <w:sz w:val="11"/>
                <w:szCs w:val="11"/>
                <w:color w:val="auto"/>
                <w:vertAlign w:val="superscript"/>
              </w:rPr>
              <w:t>(1)</w:t>
            </w:r>
          </w:p>
        </w:tc>
        <w:tc>
          <w:tcPr>
            <w:tcW w:w="160" w:type="dxa"/>
            <w:vAlign w:val="bottom"/>
          </w:tcPr>
          <w:p>
            <w:pPr>
              <w:spacing w:after="0"/>
              <w:rPr>
                <w:sz w:val="10"/>
                <w:szCs w:val="10"/>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61,457</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61,259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56,062</w:t>
            </w:r>
          </w:p>
        </w:tc>
      </w:tr>
      <w:tr>
        <w:trPr>
          <w:trHeight w:val="111"/>
        </w:trPr>
        <w:tc>
          <w:tcPr>
            <w:tcW w:w="3900" w:type="dxa"/>
            <w:vAlign w:val="bottom"/>
          </w:tcPr>
          <w:p>
            <w:pPr>
              <w:spacing w:after="0"/>
              <w:rPr>
                <w:sz w:val="20"/>
                <w:szCs w:val="20"/>
                <w:color w:val="auto"/>
              </w:rPr>
            </w:pPr>
            <w:r>
              <w:rPr>
                <w:rFonts w:ascii="Arial" w:cs="Arial" w:eastAsia="Arial" w:hAnsi="Arial"/>
                <w:sz w:val="9"/>
                <w:szCs w:val="9"/>
                <w:color w:val="auto"/>
              </w:rPr>
              <w:t>Real estate taxes</w:t>
            </w:r>
          </w:p>
        </w:tc>
        <w:tc>
          <w:tcPr>
            <w:tcW w:w="160" w:type="dxa"/>
            <w:vAlign w:val="bottom"/>
          </w:tcPr>
          <w:p>
            <w:pPr>
              <w:spacing w:after="0"/>
              <w:rPr>
                <w:sz w:val="9"/>
                <w:szCs w:val="9"/>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41,912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42,429</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37,217</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Operating lease rent</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6,944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6,106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6,106</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SUMMIT Operator expenses</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24,942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33,794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21,764</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Loan loss and other investment reserves, net of recoveries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9"/>
                <w:szCs w:val="9"/>
                <w:color w:val="auto"/>
              </w:rPr>
              <w:t>(25,039)</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Transaction related costs</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284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341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295</w:t>
            </w:r>
          </w:p>
        </w:tc>
      </w:tr>
      <w:tr>
        <w:trPr>
          <w:trHeight w:val="131"/>
        </w:trPr>
        <w:tc>
          <w:tcPr>
            <w:tcW w:w="3900" w:type="dxa"/>
            <w:vAlign w:val="bottom"/>
          </w:tcPr>
          <w:p>
            <w:pPr>
              <w:spacing w:after="0"/>
              <w:rPr>
                <w:sz w:val="20"/>
                <w:szCs w:val="20"/>
                <w:color w:val="auto"/>
              </w:rPr>
            </w:pPr>
            <w:r>
              <w:rPr>
                <w:rFonts w:ascii="Arial" w:cs="Arial" w:eastAsia="Arial" w:hAnsi="Arial"/>
                <w:sz w:val="9"/>
                <w:szCs w:val="9"/>
                <w:color w:val="auto"/>
              </w:rPr>
              <w:t>Marketing, general and administrative</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9"/>
                <w:szCs w:val="9"/>
                <w:color w:val="auto"/>
              </w:rPr>
              <w:t>22,786</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9"/>
                <w:szCs w:val="9"/>
                <w:color w:val="auto"/>
              </w:rPr>
              <w:t>22,306</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9"/>
                <w:szCs w:val="9"/>
                <w:color w:val="auto"/>
              </w:rPr>
              <w:t>21,724</w:t>
            </w:r>
          </w:p>
        </w:tc>
      </w:tr>
      <w:tr>
        <w:trPr>
          <w:trHeight w:val="119"/>
        </w:trPr>
        <w:tc>
          <w:tcPr>
            <w:tcW w:w="3900" w:type="dxa"/>
            <w:vAlign w:val="bottom"/>
          </w:tcPr>
          <w:p>
            <w:pPr>
              <w:spacing w:after="0"/>
              <w:rPr>
                <w:sz w:val="20"/>
                <w:szCs w:val="20"/>
                <w:color w:val="auto"/>
              </w:rPr>
            </w:pPr>
            <w:r>
              <w:rPr>
                <w:rFonts w:ascii="Arial" w:cs="Arial" w:eastAsia="Arial" w:hAnsi="Arial"/>
                <w:sz w:val="9"/>
                <w:szCs w:val="9"/>
                <w:b w:val="1"/>
                <w:bCs w:val="1"/>
                <w:color w:val="auto"/>
              </w:rPr>
              <w:t>Total Operating Expenses</w:t>
            </w:r>
          </w:p>
        </w:tc>
        <w:tc>
          <w:tcPr>
            <w:tcW w:w="160" w:type="dxa"/>
            <w:vAlign w:val="bottom"/>
          </w:tcPr>
          <w:p>
            <w:pPr>
              <w:spacing w:after="0"/>
              <w:rPr>
                <w:sz w:val="10"/>
                <w:szCs w:val="10"/>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b w:val="1"/>
                <w:bCs w:val="1"/>
                <w:color w:val="auto"/>
              </w:rPr>
              <w:t>158,325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b w:val="1"/>
                <w:bCs w:val="1"/>
                <w:color w:val="auto"/>
              </w:rPr>
              <w:t>166,235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b w:val="1"/>
                <w:bCs w:val="1"/>
                <w:color w:val="auto"/>
              </w:rPr>
              <w:t>118,129</w:t>
            </w:r>
          </w:p>
        </w:tc>
      </w:tr>
      <w:tr>
        <w:trPr>
          <w:trHeight w:val="199"/>
        </w:trPr>
        <w:tc>
          <w:tcPr>
            <w:tcW w:w="3900" w:type="dxa"/>
            <w:vAlign w:val="bottom"/>
          </w:tcPr>
          <w:p>
            <w:pPr>
              <w:spacing w:after="0"/>
              <w:rPr>
                <w:sz w:val="20"/>
                <w:szCs w:val="20"/>
                <w:color w:val="auto"/>
              </w:rPr>
            </w:pPr>
            <w:r>
              <w:rPr>
                <w:rFonts w:ascii="Arial" w:cs="Arial" w:eastAsia="Arial" w:hAnsi="Arial"/>
                <w:sz w:val="9"/>
                <w:szCs w:val="9"/>
                <w:color w:val="auto"/>
              </w:rPr>
              <w:t xml:space="preserve">Equity in net income (loss) from unconsolidated joint ventures </w:t>
            </w:r>
            <w:r>
              <w:rPr>
                <w:rFonts w:ascii="Arial" w:cs="Arial" w:eastAsia="Arial" w:hAnsi="Arial"/>
                <w:sz w:val="11"/>
                <w:szCs w:val="11"/>
                <w:color w:val="auto"/>
                <w:vertAlign w:val="superscript"/>
              </w:rPr>
              <w:t>(2)</w:t>
            </w:r>
          </w:p>
        </w:tc>
        <w:tc>
          <w:tcPr>
            <w:tcW w:w="16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9"/>
                <w:szCs w:val="9"/>
                <w:color w:val="auto"/>
              </w:rPr>
              <w:t>(20,780)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color w:val="auto"/>
              </w:rPr>
              <w:t>(12,439)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2,950</w:t>
            </w:r>
          </w:p>
        </w:tc>
      </w:tr>
      <w:tr>
        <w:trPr>
          <w:trHeight w:val="148"/>
        </w:trPr>
        <w:tc>
          <w:tcPr>
            <w:tcW w:w="3900" w:type="dxa"/>
            <w:vAlign w:val="bottom"/>
          </w:tcPr>
          <w:p>
            <w:pPr>
              <w:spacing w:after="0"/>
              <w:rPr>
                <w:sz w:val="20"/>
                <w:szCs w:val="20"/>
                <w:color w:val="auto"/>
              </w:rPr>
            </w:pPr>
            <w:r>
              <w:rPr>
                <w:rFonts w:ascii="Arial" w:cs="Arial" w:eastAsia="Arial" w:hAnsi="Arial"/>
                <w:sz w:val="9"/>
                <w:szCs w:val="9"/>
                <w:color w:val="auto"/>
              </w:rPr>
              <w:t xml:space="preserve">Income (loss) from debt fund investments, net </w:t>
            </w:r>
            <w:r>
              <w:rPr>
                <w:rFonts w:ascii="Arial" w:cs="Arial" w:eastAsia="Arial" w:hAnsi="Arial"/>
                <w:sz w:val="11"/>
                <w:szCs w:val="11"/>
                <w:color w:val="auto"/>
                <w:vertAlign w:val="superscript"/>
              </w:rPr>
              <w:t>(3)</w:t>
            </w:r>
          </w:p>
        </w:tc>
        <w:tc>
          <w:tcPr>
            <w:tcW w:w="160" w:type="dxa"/>
            <w:vAlign w:val="bottom"/>
          </w:tcPr>
          <w:p>
            <w:pPr>
              <w:spacing w:after="0"/>
              <w:rPr>
                <w:sz w:val="12"/>
                <w:szCs w:val="12"/>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2,478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color w:val="auto"/>
              </w:rPr>
              <w:t>(3,222)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r>
      <w:tr>
        <w:trPr>
          <w:trHeight w:val="136"/>
        </w:trPr>
        <w:tc>
          <w:tcPr>
            <w:tcW w:w="3900" w:type="dxa"/>
            <w:vAlign w:val="bottom"/>
          </w:tcPr>
          <w:p>
            <w:pPr>
              <w:spacing w:after="0"/>
              <w:rPr>
                <w:sz w:val="20"/>
                <w:szCs w:val="20"/>
                <w:color w:val="auto"/>
              </w:rPr>
            </w:pPr>
            <w:r>
              <w:rPr>
                <w:rFonts w:ascii="Arial" w:cs="Arial" w:eastAsia="Arial" w:hAnsi="Arial"/>
                <w:sz w:val="9"/>
                <w:szCs w:val="9"/>
                <w:b w:val="1"/>
                <w:bCs w:val="1"/>
                <w:color w:val="auto"/>
              </w:rPr>
              <w:t>Operating Income</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b w:val="1"/>
                <w:bCs w:val="1"/>
                <w:color w:val="auto"/>
              </w:rPr>
              <w:t>76,453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b w:val="1"/>
                <w:bCs w:val="1"/>
                <w:color w:val="auto"/>
              </w:rPr>
              <w:t>94,571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b w:val="1"/>
                <w:bCs w:val="1"/>
                <w:color w:val="auto"/>
              </w:rPr>
              <w:t>124,667</w:t>
            </w:r>
          </w:p>
        </w:tc>
      </w:tr>
      <w:tr>
        <w:trPr>
          <w:trHeight w:val="163"/>
        </w:trPr>
        <w:tc>
          <w:tcPr>
            <w:tcW w:w="3900" w:type="dxa"/>
            <w:vAlign w:val="bottom"/>
          </w:tcPr>
          <w:p>
            <w:pPr>
              <w:spacing w:after="0"/>
              <w:rPr>
                <w:sz w:val="20"/>
                <w:szCs w:val="20"/>
                <w:color w:val="auto"/>
              </w:rPr>
            </w:pPr>
            <w:r>
              <w:rPr>
                <w:rFonts w:ascii="Arial" w:cs="Arial" w:eastAsia="Arial" w:hAnsi="Arial"/>
                <w:sz w:val="9"/>
                <w:szCs w:val="9"/>
                <w:color w:val="auto"/>
              </w:rPr>
              <w:t>Interest expense, net of interest income</w:t>
            </w:r>
          </w:p>
        </w:tc>
        <w:tc>
          <w:tcPr>
            <w:tcW w:w="160" w:type="dxa"/>
            <w:vAlign w:val="bottom"/>
          </w:tcPr>
          <w:p>
            <w:pPr>
              <w:spacing w:after="0"/>
              <w:rPr>
                <w:sz w:val="14"/>
                <w:szCs w:val="14"/>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50,909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49,422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45,681</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Amortization of deferred financing costs</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2,802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1,901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1,687</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SUMMIT Operator tax expense (benefit)</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585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478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9"/>
                <w:szCs w:val="9"/>
                <w:color w:val="auto"/>
              </w:rPr>
              <w:t>(45)</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Interest expense on senior obligations of consolidated securitization vehicles</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14,649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14,866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13,972</w:t>
            </w:r>
          </w:p>
        </w:tc>
      </w:tr>
      <w:tr>
        <w:trPr>
          <w:trHeight w:val="131"/>
        </w:trPr>
        <w:tc>
          <w:tcPr>
            <w:tcW w:w="3900" w:type="dxa"/>
            <w:vAlign w:val="bottom"/>
          </w:tcPr>
          <w:p>
            <w:pPr>
              <w:spacing w:after="0"/>
              <w:rPr>
                <w:sz w:val="20"/>
                <w:szCs w:val="20"/>
                <w:color w:val="auto"/>
              </w:rPr>
            </w:pPr>
            <w:r>
              <w:rPr>
                <w:rFonts w:ascii="Arial" w:cs="Arial" w:eastAsia="Arial" w:hAnsi="Arial"/>
                <w:sz w:val="9"/>
                <w:szCs w:val="9"/>
                <w:color w:val="auto"/>
              </w:rPr>
              <w:t>Depreciation and amortization</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9"/>
                <w:szCs w:val="9"/>
                <w:color w:val="auto"/>
              </w:rPr>
              <w:t>69,751</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9"/>
                <w:szCs w:val="9"/>
                <w:color w:val="auto"/>
              </w:rPr>
              <w:t>67,839</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9"/>
                <w:szCs w:val="9"/>
                <w:color w:val="auto"/>
              </w:rPr>
              <w:t>64,498</w:t>
            </w:r>
          </w:p>
        </w:tc>
      </w:tr>
      <w:tr>
        <w:trPr>
          <w:trHeight w:val="154"/>
        </w:trPr>
        <w:tc>
          <w:tcPr>
            <w:tcW w:w="3900" w:type="dxa"/>
            <w:vAlign w:val="bottom"/>
          </w:tcPr>
          <w:p>
            <w:pPr>
              <w:ind w:left="20"/>
              <w:spacing w:after="0"/>
              <w:rPr>
                <w:sz w:val="20"/>
                <w:szCs w:val="20"/>
                <w:color w:val="auto"/>
              </w:rPr>
            </w:pPr>
            <w:r>
              <w:rPr>
                <w:rFonts w:ascii="Arial" w:cs="Arial" w:eastAsia="Arial" w:hAnsi="Arial"/>
                <w:sz w:val="9"/>
                <w:szCs w:val="9"/>
                <w:b w:val="1"/>
                <w:bCs w:val="1"/>
                <w:color w:val="auto"/>
              </w:rPr>
              <w:t xml:space="preserve">(Loss) Income from Continuing Operations </w:t>
            </w:r>
            <w:r>
              <w:rPr>
                <w:rFonts w:ascii="Arial" w:cs="Arial" w:eastAsia="Arial" w:hAnsi="Arial"/>
                <w:sz w:val="11"/>
                <w:szCs w:val="11"/>
                <w:b w:val="1"/>
                <w:bCs w:val="1"/>
                <w:color w:val="auto"/>
                <w:vertAlign w:val="superscript"/>
              </w:rPr>
              <w:t>(4)</w:t>
            </w:r>
          </w:p>
        </w:tc>
        <w:tc>
          <w:tcPr>
            <w:tcW w:w="16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9"/>
                <w:szCs w:val="9"/>
                <w:b w:val="1"/>
                <w:bCs w:val="1"/>
                <w:color w:val="auto"/>
              </w:rPr>
              <w:t>(62,243)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b w:val="1"/>
                <w:bCs w:val="1"/>
                <w:color w:val="auto"/>
              </w:rPr>
              <w:t>(39,935)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9"/>
                <w:szCs w:val="9"/>
                <w:b w:val="1"/>
                <w:bCs w:val="1"/>
                <w:color w:val="auto"/>
              </w:rPr>
              <w:t>(1,126)</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Equity in net (loss) gain on sale of interest in unconsolidated joint venture/real estate</w:t>
            </w:r>
          </w:p>
        </w:tc>
        <w:tc>
          <w:tcPr>
            <w:tcW w:w="160" w:type="dxa"/>
            <w:vAlign w:val="bottom"/>
          </w:tcPr>
          <w:p>
            <w:pPr>
              <w:spacing w:after="0"/>
              <w:rPr>
                <w:sz w:val="11"/>
                <w:szCs w:val="11"/>
                <w:color w:val="auto"/>
              </w:rPr>
            </w:pPr>
          </w:p>
        </w:tc>
        <w:tc>
          <w:tcPr>
            <w:tcW w:w="760" w:type="dxa"/>
            <w:vAlign w:val="bottom"/>
            <w:gridSpan w:val="3"/>
          </w:tcPr>
          <w:p>
            <w:pPr>
              <w:jc w:val="right"/>
              <w:spacing w:after="0"/>
              <w:rPr>
                <w:sz w:val="20"/>
                <w:szCs w:val="20"/>
                <w:color w:val="auto"/>
              </w:rPr>
            </w:pPr>
            <w:r>
              <w:rPr>
                <w:rFonts w:ascii="Arial" w:cs="Arial" w:eastAsia="Arial" w:hAnsi="Arial"/>
                <w:sz w:val="9"/>
                <w:szCs w:val="9"/>
                <w:color w:val="auto"/>
              </w:rPr>
              <w:t>(814)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1,142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Purchase price and other fair value adjustments</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4,183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color w:val="auto"/>
              </w:rPr>
              <w:t>(28,143)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9"/>
                <w:szCs w:val="9"/>
                <w:color w:val="auto"/>
              </w:rPr>
              <w:t>(9,611)</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Gain (loss) on sale of real estate, net</w:t>
            </w:r>
          </w:p>
        </w:tc>
        <w:tc>
          <w:tcPr>
            <w:tcW w:w="160" w:type="dxa"/>
            <w:vAlign w:val="bottom"/>
          </w:tcPr>
          <w:p>
            <w:pPr>
              <w:spacing w:after="0"/>
              <w:rPr>
                <w:sz w:val="11"/>
                <w:szCs w:val="11"/>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9"/>
                <w:szCs w:val="9"/>
                <w:color w:val="auto"/>
              </w:rPr>
              <w:t>16,636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color w:val="auto"/>
              </w:rPr>
              <w:t>(426)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9"/>
                <w:szCs w:val="9"/>
                <w:color w:val="auto"/>
              </w:rPr>
              <w:t>(482)</w:t>
            </w:r>
          </w:p>
        </w:tc>
      </w:tr>
      <w:tr>
        <w:trPr>
          <w:trHeight w:val="128"/>
        </w:trPr>
        <w:tc>
          <w:tcPr>
            <w:tcW w:w="3900" w:type="dxa"/>
            <w:vAlign w:val="bottom"/>
          </w:tcPr>
          <w:p>
            <w:pPr>
              <w:spacing w:after="0"/>
              <w:rPr>
                <w:sz w:val="20"/>
                <w:szCs w:val="20"/>
                <w:color w:val="auto"/>
              </w:rPr>
            </w:pPr>
            <w:r>
              <w:rPr>
                <w:rFonts w:ascii="Arial" w:cs="Arial" w:eastAsia="Arial" w:hAnsi="Arial"/>
                <w:sz w:val="9"/>
                <w:szCs w:val="9"/>
                <w:color w:val="auto"/>
              </w:rPr>
              <w:t>Depreciable real estate reserves</w:t>
            </w:r>
          </w:p>
        </w:tc>
        <w:tc>
          <w:tcPr>
            <w:tcW w:w="160" w:type="dxa"/>
            <w:vAlign w:val="bottom"/>
          </w:tcPr>
          <w:p>
            <w:pPr>
              <w:spacing w:after="0"/>
              <w:rPr>
                <w:sz w:val="11"/>
                <w:szCs w:val="11"/>
                <w:color w:val="auto"/>
              </w:rPr>
            </w:pPr>
          </w:p>
        </w:tc>
        <w:tc>
          <w:tcPr>
            <w:tcW w:w="760" w:type="dxa"/>
            <w:vAlign w:val="bottom"/>
            <w:gridSpan w:val="3"/>
          </w:tcPr>
          <w:p>
            <w:pPr>
              <w:jc w:val="right"/>
              <w:spacing w:after="0"/>
              <w:rPr>
                <w:sz w:val="20"/>
                <w:szCs w:val="20"/>
                <w:color w:val="auto"/>
              </w:rPr>
            </w:pPr>
            <w:r>
              <w:rPr>
                <w:rFonts w:ascii="Arial" w:cs="Arial" w:eastAsia="Arial" w:hAnsi="Arial"/>
                <w:sz w:val="9"/>
                <w:szCs w:val="9"/>
                <w:color w:val="auto"/>
              </w:rPr>
              <w:t>(35,160)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color w:val="auto"/>
              </w:rPr>
              <w:t>(23,546)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9"/>
                <w:szCs w:val="9"/>
                <w:color w:val="auto"/>
              </w:rPr>
              <w:t>(8,546)</w:t>
            </w:r>
          </w:p>
        </w:tc>
      </w:tr>
      <w:tr>
        <w:trPr>
          <w:trHeight w:val="131"/>
        </w:trPr>
        <w:tc>
          <w:tcPr>
            <w:tcW w:w="3900" w:type="dxa"/>
            <w:vAlign w:val="bottom"/>
          </w:tcPr>
          <w:p>
            <w:pPr>
              <w:spacing w:after="0"/>
              <w:rPr>
                <w:sz w:val="20"/>
                <w:szCs w:val="20"/>
                <w:color w:val="auto"/>
              </w:rPr>
            </w:pPr>
            <w:r>
              <w:rPr>
                <w:rFonts w:ascii="Arial" w:cs="Arial" w:eastAsia="Arial" w:hAnsi="Arial"/>
                <w:sz w:val="9"/>
                <w:szCs w:val="9"/>
                <w:color w:val="auto"/>
              </w:rPr>
              <w:t>Depreciable real estate reserves in unconsolidated joint venture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color w:val="auto"/>
              </w:rPr>
              <w:t>(12,812)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9"/>
                <w:szCs w:val="9"/>
                <w:color w:val="auto"/>
              </w:rPr>
              <w:t>(1,780)</w:t>
            </w:r>
          </w:p>
        </w:tc>
      </w:tr>
      <w:tr>
        <w:trPr>
          <w:trHeight w:val="119"/>
        </w:trPr>
        <w:tc>
          <w:tcPr>
            <w:tcW w:w="3900" w:type="dxa"/>
            <w:vAlign w:val="bottom"/>
          </w:tcPr>
          <w:p>
            <w:pPr>
              <w:spacing w:after="0"/>
              <w:rPr>
                <w:sz w:val="20"/>
                <w:szCs w:val="20"/>
                <w:color w:val="auto"/>
              </w:rPr>
            </w:pPr>
            <w:r>
              <w:rPr>
                <w:rFonts w:ascii="Arial" w:cs="Arial" w:eastAsia="Arial" w:hAnsi="Arial"/>
                <w:sz w:val="9"/>
                <w:szCs w:val="9"/>
                <w:b w:val="1"/>
                <w:bCs w:val="1"/>
                <w:color w:val="auto"/>
              </w:rPr>
              <w:t>Net (Loss) Income</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(77,398)</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(103,720)</w:t>
            </w: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(21,545)</w:t>
            </w:r>
          </w:p>
        </w:tc>
      </w:tr>
      <w:tr>
        <w:trPr>
          <w:trHeight w:val="163"/>
        </w:trPr>
        <w:tc>
          <w:tcPr>
            <w:tcW w:w="3900" w:type="dxa"/>
            <w:vAlign w:val="bottom"/>
          </w:tcPr>
          <w:p>
            <w:pPr>
              <w:spacing w:after="0"/>
              <w:rPr>
                <w:sz w:val="20"/>
                <w:szCs w:val="20"/>
                <w:color w:val="auto"/>
              </w:rPr>
            </w:pPr>
            <w:r>
              <w:rPr>
                <w:rFonts w:ascii="Arial" w:cs="Arial" w:eastAsia="Arial" w:hAnsi="Arial"/>
                <w:sz w:val="9"/>
                <w:szCs w:val="9"/>
                <w:color w:val="auto"/>
              </w:rPr>
              <w:t>Net (income) loss attributable to noncontrolling interests</w:t>
            </w:r>
          </w:p>
        </w:tc>
        <w:tc>
          <w:tcPr>
            <w:tcW w:w="16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9"/>
                <w:szCs w:val="9"/>
                <w:color w:val="auto"/>
              </w:rPr>
              <w:t>(1,056)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7"/>
              <w:spacing w:after="0"/>
              <w:rPr>
                <w:sz w:val="20"/>
                <w:szCs w:val="20"/>
                <w:color w:val="auto"/>
              </w:rPr>
            </w:pPr>
            <w:r>
              <w:rPr>
                <w:rFonts w:ascii="Arial" w:cs="Arial" w:eastAsia="Arial" w:hAnsi="Arial"/>
                <w:sz w:val="9"/>
                <w:szCs w:val="9"/>
                <w:color w:val="auto"/>
              </w:rPr>
              <w:t>5,062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37"/>
              <w:spacing w:after="0"/>
              <w:rPr>
                <w:sz w:val="20"/>
                <w:szCs w:val="20"/>
                <w:color w:val="auto"/>
              </w:rPr>
            </w:pPr>
            <w:r>
              <w:rPr>
                <w:rFonts w:ascii="Arial" w:cs="Arial" w:eastAsia="Arial" w:hAnsi="Arial"/>
                <w:sz w:val="9"/>
                <w:szCs w:val="9"/>
                <w:color w:val="auto"/>
              </w:rPr>
              <w:t>6,362</w:t>
            </w:r>
          </w:p>
        </w:tc>
      </w:tr>
      <w:tr>
        <w:trPr>
          <w:trHeight w:val="131"/>
        </w:trPr>
        <w:tc>
          <w:tcPr>
            <w:tcW w:w="3900" w:type="dxa"/>
            <w:vAlign w:val="bottom"/>
          </w:tcPr>
          <w:p>
            <w:pPr>
              <w:spacing w:after="0"/>
              <w:rPr>
                <w:sz w:val="20"/>
                <w:szCs w:val="20"/>
                <w:color w:val="auto"/>
              </w:rPr>
            </w:pPr>
            <w:r>
              <w:rPr>
                <w:rFonts w:ascii="Arial" w:cs="Arial" w:eastAsia="Arial" w:hAnsi="Arial"/>
                <w:sz w:val="9"/>
                <w:szCs w:val="9"/>
                <w:color w:val="auto"/>
              </w:rPr>
              <w:t>Preferred units distributions</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color w:val="auto"/>
              </w:rPr>
              <w:t>(2,199)</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color w:val="auto"/>
              </w:rPr>
              <w:t>(2,172)</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color w:val="auto"/>
              </w:rPr>
              <w:t>(2,154)</w:t>
            </w:r>
          </w:p>
        </w:tc>
      </w:tr>
      <w:tr>
        <w:trPr>
          <w:trHeight w:val="119"/>
        </w:trPr>
        <w:tc>
          <w:tcPr>
            <w:tcW w:w="3900" w:type="dxa"/>
            <w:vAlign w:val="bottom"/>
          </w:tcPr>
          <w:p>
            <w:pPr>
              <w:spacing w:after="0"/>
              <w:rPr>
                <w:sz w:val="20"/>
                <w:szCs w:val="20"/>
                <w:color w:val="auto"/>
              </w:rPr>
            </w:pPr>
            <w:r>
              <w:rPr>
                <w:rFonts w:ascii="Arial" w:cs="Arial" w:eastAsia="Arial" w:hAnsi="Arial"/>
                <w:sz w:val="9"/>
                <w:szCs w:val="9"/>
                <w:b w:val="1"/>
                <w:bCs w:val="1"/>
                <w:color w:val="auto"/>
              </w:rPr>
              <w:t>Net (Loss) Income attributable to SL Green</w:t>
            </w:r>
          </w:p>
        </w:tc>
        <w:tc>
          <w:tcPr>
            <w:tcW w:w="160" w:type="dxa"/>
            <w:vAlign w:val="bottom"/>
          </w:tcPr>
          <w:p>
            <w:pPr>
              <w:spacing w:after="0"/>
              <w:rPr>
                <w:sz w:val="10"/>
                <w:szCs w:val="10"/>
                <w:color w:val="auto"/>
              </w:rPr>
            </w:pPr>
          </w:p>
        </w:tc>
        <w:tc>
          <w:tcPr>
            <w:tcW w:w="760" w:type="dxa"/>
            <w:vAlign w:val="bottom"/>
            <w:gridSpan w:val="3"/>
          </w:tcPr>
          <w:p>
            <w:pPr>
              <w:jc w:val="right"/>
              <w:spacing w:after="0"/>
              <w:rPr>
                <w:sz w:val="20"/>
                <w:szCs w:val="20"/>
                <w:color w:val="auto"/>
              </w:rPr>
            </w:pPr>
            <w:r>
              <w:rPr>
                <w:rFonts w:ascii="Arial" w:cs="Arial" w:eastAsia="Arial" w:hAnsi="Arial"/>
                <w:sz w:val="9"/>
                <w:szCs w:val="9"/>
                <w:b w:val="1"/>
                <w:bCs w:val="1"/>
                <w:color w:val="auto"/>
              </w:rPr>
              <w:t>(80,653)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b w:val="1"/>
                <w:bCs w:val="1"/>
                <w:color w:val="auto"/>
              </w:rPr>
              <w:t>(100,830)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9"/>
                <w:szCs w:val="9"/>
                <w:b w:val="1"/>
                <w:bCs w:val="1"/>
                <w:color w:val="auto"/>
              </w:rPr>
              <w:t>(17,337)</w:t>
            </w:r>
          </w:p>
        </w:tc>
      </w:tr>
      <w:tr>
        <w:trPr>
          <w:trHeight w:val="166"/>
        </w:trPr>
        <w:tc>
          <w:tcPr>
            <w:tcW w:w="3900" w:type="dxa"/>
            <w:vAlign w:val="bottom"/>
          </w:tcPr>
          <w:p>
            <w:pPr>
              <w:spacing w:after="0"/>
              <w:rPr>
                <w:sz w:val="20"/>
                <w:szCs w:val="20"/>
                <w:color w:val="auto"/>
              </w:rPr>
            </w:pPr>
            <w:r>
              <w:rPr>
                <w:rFonts w:ascii="Arial" w:cs="Arial" w:eastAsia="Arial" w:hAnsi="Arial"/>
                <w:sz w:val="9"/>
                <w:szCs w:val="9"/>
                <w:color w:val="auto"/>
              </w:rPr>
              <w:t>Perpetual preferred stock dividends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color w:val="auto"/>
              </w:rPr>
              <w:t>(3,738)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color w:val="auto"/>
              </w:rPr>
              <w:t>(3,737)</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color w:val="auto"/>
              </w:rPr>
              <w:t>(3,738)</w:t>
            </w:r>
          </w:p>
        </w:tc>
      </w:tr>
      <w:tr>
        <w:trPr>
          <w:trHeight w:val="108"/>
        </w:trPr>
        <w:tc>
          <w:tcPr>
            <w:tcW w:w="3900" w:type="dxa"/>
            <w:vAlign w:val="bottom"/>
          </w:tcPr>
          <w:p>
            <w:pPr>
              <w:spacing w:after="0"/>
              <w:rPr>
                <w:sz w:val="20"/>
                <w:szCs w:val="20"/>
                <w:color w:val="auto"/>
              </w:rPr>
            </w:pPr>
            <w:r>
              <w:rPr>
                <w:rFonts w:ascii="Arial" w:cs="Arial" w:eastAsia="Arial" w:hAnsi="Arial"/>
                <w:sz w:val="9"/>
                <w:szCs w:val="9"/>
                <w:b w:val="1"/>
                <w:bCs w:val="1"/>
                <w:color w:val="auto"/>
              </w:rPr>
              <w:t>Net (Loss) Income attributable to SL Green common stockholders</w:t>
            </w:r>
          </w:p>
        </w:tc>
        <w:tc>
          <w:tcPr>
            <w:tcW w:w="16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(84,391)</w:t>
            </w:r>
          </w:p>
        </w:tc>
        <w:tc>
          <w:tcPr>
            <w:tcW w:w="200" w:type="dxa"/>
            <w:vAlign w:val="bottom"/>
          </w:tcPr>
          <w:p>
            <w:pPr>
              <w:spacing w:after="0"/>
              <w:rPr>
                <w:sz w:val="9"/>
                <w:szCs w:val="9"/>
                <w:color w:val="auto"/>
              </w:rPr>
            </w:pPr>
          </w:p>
        </w:tc>
        <w:tc>
          <w:tcPr>
            <w:tcW w:w="12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(104,567)</w:t>
            </w:r>
          </w:p>
        </w:tc>
        <w:tc>
          <w:tcPr>
            <w:tcW w:w="200" w:type="dxa"/>
            <w:vAlign w:val="bottom"/>
          </w:tcPr>
          <w:p>
            <w:pPr>
              <w:spacing w:after="0"/>
              <w:rPr>
                <w:sz w:val="9"/>
                <w:szCs w:val="9"/>
                <w:color w:val="auto"/>
              </w:rPr>
            </w:pPr>
          </w:p>
        </w:tc>
        <w:tc>
          <w:tcPr>
            <w:tcW w:w="16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(21,075)</w:t>
            </w: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87"/>
        </w:trPr>
        <w:tc>
          <w:tcPr>
            <w:tcW w:w="3900" w:type="dxa"/>
            <w:vAlign w:val="bottom"/>
            <w:tcBorders>
              <w:left w:val="single" w:sz="8" w:color="auto"/>
            </w:tcBorders>
          </w:tcPr>
          <w:p>
            <w:pPr>
              <w:ind w:left="160"/>
              <w:spacing w:after="0" w:line="88" w:lineRule="exact"/>
              <w:rPr>
                <w:sz w:val="20"/>
                <w:szCs w:val="20"/>
                <w:color w:val="auto"/>
              </w:rPr>
            </w:pPr>
            <w:r>
              <w:rPr>
                <w:rFonts w:ascii="Arial" w:cs="Arial" w:eastAsia="Arial" w:hAnsi="Arial"/>
                <w:sz w:val="9"/>
                <w:szCs w:val="9"/>
                <w:b w:val="1"/>
                <w:bCs w:val="1"/>
                <w:color w:val="auto"/>
              </w:rPr>
              <w:t>Basic (loss) earnings per share</w:t>
            </w:r>
          </w:p>
        </w:tc>
        <w:tc>
          <w:tcPr>
            <w:tcW w:w="160" w:type="dxa"/>
            <w:vAlign w:val="bottom"/>
          </w:tcPr>
          <w:p>
            <w:pPr>
              <w:jc w:val="right"/>
              <w:ind w:right="57"/>
              <w:spacing w:after="0" w:line="88" w:lineRule="exact"/>
              <w:rPr>
                <w:sz w:val="20"/>
                <w:szCs w:val="20"/>
                <w:color w:val="auto"/>
              </w:rPr>
            </w:pPr>
            <w:r>
              <w:rPr>
                <w:rFonts w:ascii="Arial" w:cs="Arial" w:eastAsia="Arial" w:hAnsi="Arial"/>
                <w:sz w:val="9"/>
                <w:szCs w:val="9"/>
                <w:color w:val="auto"/>
                <w:w w:val="78"/>
              </w:rPr>
              <w:t>$</w:t>
            </w:r>
          </w:p>
        </w:tc>
        <w:tc>
          <w:tcPr>
            <w:tcW w:w="760" w:type="dxa"/>
            <w:vAlign w:val="bottom"/>
            <w:gridSpan w:val="3"/>
          </w:tcPr>
          <w:p>
            <w:pPr>
              <w:jc w:val="right"/>
              <w:spacing w:after="0" w:line="88" w:lineRule="exact"/>
              <w:rPr>
                <w:sz w:val="20"/>
                <w:szCs w:val="20"/>
                <w:color w:val="auto"/>
              </w:rPr>
            </w:pPr>
            <w:r>
              <w:rPr>
                <w:rFonts w:ascii="Arial" w:cs="Arial" w:eastAsia="Arial" w:hAnsi="Arial"/>
                <w:sz w:val="9"/>
                <w:szCs w:val="9"/>
                <w:color w:val="auto"/>
              </w:rPr>
              <w:t>(1.20)</w:t>
            </w:r>
          </w:p>
        </w:tc>
        <w:tc>
          <w:tcPr>
            <w:tcW w:w="200" w:type="dxa"/>
            <w:vAlign w:val="bottom"/>
          </w:tcPr>
          <w:p>
            <w:pPr>
              <w:spacing w:after="0"/>
              <w:rPr>
                <w:sz w:val="7"/>
                <w:szCs w:val="7"/>
                <w:color w:val="auto"/>
              </w:rPr>
            </w:pPr>
          </w:p>
        </w:tc>
        <w:tc>
          <w:tcPr>
            <w:tcW w:w="120" w:type="dxa"/>
            <w:vAlign w:val="bottom"/>
          </w:tcPr>
          <w:p>
            <w:pPr>
              <w:jc w:val="right"/>
              <w:ind w:right="17"/>
              <w:spacing w:after="0" w:line="88" w:lineRule="exact"/>
              <w:rPr>
                <w:sz w:val="20"/>
                <w:szCs w:val="20"/>
                <w:color w:val="auto"/>
              </w:rPr>
            </w:pPr>
            <w:r>
              <w:rPr>
                <w:rFonts w:ascii="Arial" w:cs="Arial" w:eastAsia="Arial" w:hAnsi="Arial"/>
                <w:sz w:val="9"/>
                <w:szCs w:val="9"/>
                <w:color w:val="auto"/>
                <w:w w:val="78"/>
              </w:rPr>
              <w:t>$</w:t>
            </w:r>
          </w:p>
        </w:tc>
        <w:tc>
          <w:tcPr>
            <w:tcW w:w="800" w:type="dxa"/>
            <w:vAlign w:val="bottom"/>
            <w:gridSpan w:val="3"/>
          </w:tcPr>
          <w:p>
            <w:pPr>
              <w:jc w:val="right"/>
              <w:spacing w:after="0" w:line="88" w:lineRule="exact"/>
              <w:rPr>
                <w:sz w:val="20"/>
                <w:szCs w:val="20"/>
                <w:color w:val="auto"/>
              </w:rPr>
            </w:pPr>
            <w:r>
              <w:rPr>
                <w:rFonts w:ascii="Arial" w:cs="Arial" w:eastAsia="Arial" w:hAnsi="Arial"/>
                <w:sz w:val="9"/>
                <w:szCs w:val="9"/>
                <w:color w:val="auto"/>
              </w:rPr>
              <w:t>(1.49)</w:t>
            </w:r>
          </w:p>
        </w:tc>
        <w:tc>
          <w:tcPr>
            <w:tcW w:w="200" w:type="dxa"/>
            <w:vAlign w:val="bottom"/>
          </w:tcPr>
          <w:p>
            <w:pPr>
              <w:spacing w:after="0"/>
              <w:rPr>
                <w:sz w:val="7"/>
                <w:szCs w:val="7"/>
                <w:color w:val="auto"/>
              </w:rPr>
            </w:pPr>
          </w:p>
        </w:tc>
        <w:tc>
          <w:tcPr>
            <w:tcW w:w="160" w:type="dxa"/>
            <w:vAlign w:val="bottom"/>
          </w:tcPr>
          <w:p>
            <w:pPr>
              <w:jc w:val="right"/>
              <w:ind w:right="57"/>
              <w:spacing w:after="0" w:line="88" w:lineRule="exact"/>
              <w:rPr>
                <w:sz w:val="20"/>
                <w:szCs w:val="20"/>
                <w:color w:val="auto"/>
              </w:rPr>
            </w:pPr>
            <w:r>
              <w:rPr>
                <w:rFonts w:ascii="Arial" w:cs="Arial" w:eastAsia="Arial" w:hAnsi="Arial"/>
                <w:sz w:val="9"/>
                <w:szCs w:val="9"/>
                <w:color w:val="auto"/>
                <w:w w:val="78"/>
              </w:rPr>
              <w:t>$</w:t>
            </w:r>
          </w:p>
        </w:tc>
        <w:tc>
          <w:tcPr>
            <w:tcW w:w="780" w:type="dxa"/>
            <w:vAlign w:val="bottom"/>
            <w:tcBorders>
              <w:right w:val="single" w:sz="8" w:color="auto"/>
            </w:tcBorders>
            <w:gridSpan w:val="3"/>
          </w:tcPr>
          <w:p>
            <w:pPr>
              <w:jc w:val="right"/>
              <w:spacing w:after="0" w:line="88" w:lineRule="exact"/>
              <w:rPr>
                <w:sz w:val="20"/>
                <w:szCs w:val="20"/>
                <w:color w:val="auto"/>
              </w:rPr>
            </w:pPr>
            <w:r>
              <w:rPr>
                <w:rFonts w:ascii="Arial" w:cs="Arial" w:eastAsia="Arial" w:hAnsi="Arial"/>
                <w:sz w:val="9"/>
                <w:szCs w:val="9"/>
                <w:color w:val="auto"/>
              </w:rPr>
              <w:t>(0.30)</w:t>
            </w:r>
          </w:p>
        </w:tc>
      </w:tr>
      <w:tr>
        <w:trPr>
          <w:trHeight w:val="133"/>
        </w:trPr>
        <w:tc>
          <w:tcPr>
            <w:tcW w:w="39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9"/>
                <w:szCs w:val="9"/>
                <w:b w:val="1"/>
                <w:bCs w:val="1"/>
                <w:color w:val="auto"/>
              </w:rPr>
              <w:t>Diluted (loss) earnings per share</w:t>
            </w:r>
          </w:p>
        </w:tc>
        <w:tc>
          <w:tcPr>
            <w:tcW w:w="16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color w:val="auto"/>
              </w:rPr>
              <w:t>(1.20)</w:t>
            </w: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color w:val="auto"/>
              </w:rPr>
              <w:t>(1.49)</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9"/>
                <w:szCs w:val="9"/>
                <w:color w:val="auto"/>
              </w:rPr>
              <w:t>(0.30)</w:t>
            </w:r>
          </w:p>
        </w:tc>
      </w:tr>
    </w:tbl>
    <w:p>
      <w:pPr>
        <w:spacing w:after="0" w:line="60" w:lineRule="exact"/>
        <w:rPr>
          <w:sz w:val="20"/>
          <w:szCs w:val="20"/>
          <w:color w:val="auto"/>
        </w:rPr>
      </w:pPr>
    </w:p>
    <w:p>
      <w:pPr>
        <w:ind w:left="1140" w:hanging="119"/>
        <w:spacing w:after="0"/>
        <w:tabs>
          <w:tab w:leader="none" w:pos="1140" w:val="left"/>
        </w:tabs>
        <w:numPr>
          <w:ilvl w:val="0"/>
          <w:numId w:val="13"/>
        </w:numPr>
        <w:rPr>
          <w:rFonts w:ascii="Arial" w:cs="Arial" w:eastAsia="Arial" w:hAnsi="Arial"/>
          <w:sz w:val="8"/>
          <w:szCs w:val="8"/>
          <w:color w:val="auto"/>
        </w:rPr>
      </w:pPr>
      <w:r>
        <w:rPr>
          <w:rFonts w:ascii="Arial" w:cs="Arial" w:eastAsia="Arial" w:hAnsi="Arial"/>
          <w:sz w:val="8"/>
          <w:szCs w:val="8"/>
          <w:color w:val="auto"/>
        </w:rPr>
        <w:t>Includes property operating expenses and expenses of SL Green Management Corp., Emerge 212, Belmont Insurance Company and Ticonderoga Insurance Company.</w:t>
      </w:r>
    </w:p>
    <w:p>
      <w:pPr>
        <w:spacing w:after="0" w:line="55" w:lineRule="exact"/>
        <w:rPr>
          <w:rFonts w:ascii="Arial" w:cs="Arial" w:eastAsia="Arial" w:hAnsi="Arial"/>
          <w:sz w:val="8"/>
          <w:szCs w:val="8"/>
          <w:color w:val="auto"/>
        </w:rPr>
      </w:pPr>
    </w:p>
    <w:p>
      <w:pPr>
        <w:ind w:left="1140" w:hanging="119"/>
        <w:spacing w:after="0"/>
        <w:tabs>
          <w:tab w:leader="none" w:pos="1140" w:val="left"/>
        </w:tabs>
        <w:numPr>
          <w:ilvl w:val="0"/>
          <w:numId w:val="13"/>
        </w:numPr>
        <w:rPr>
          <w:rFonts w:ascii="Arial" w:cs="Arial" w:eastAsia="Arial" w:hAnsi="Arial"/>
          <w:sz w:val="8"/>
          <w:szCs w:val="8"/>
          <w:color w:val="auto"/>
        </w:rPr>
      </w:pPr>
      <w:r>
        <w:rPr>
          <w:rFonts w:ascii="Arial" w:cs="Arial" w:eastAsia="Arial" w:hAnsi="Arial"/>
          <w:sz w:val="8"/>
          <w:szCs w:val="8"/>
          <w:color w:val="auto"/>
        </w:rPr>
        <w:t>Excludes Depreciable real estate reserves in unconsolidated joint venture.</w:t>
      </w:r>
    </w:p>
    <w:p>
      <w:pPr>
        <w:spacing w:after="0" w:line="55" w:lineRule="exact"/>
        <w:rPr>
          <w:rFonts w:ascii="Arial" w:cs="Arial" w:eastAsia="Arial" w:hAnsi="Arial"/>
          <w:sz w:val="8"/>
          <w:szCs w:val="8"/>
          <w:color w:val="auto"/>
        </w:rPr>
      </w:pPr>
    </w:p>
    <w:p>
      <w:pPr>
        <w:ind w:left="1020" w:right="1120" w:firstLine="1"/>
        <w:spacing w:after="0" w:line="234" w:lineRule="auto"/>
        <w:tabs>
          <w:tab w:leader="none" w:pos="1138" w:val="left"/>
        </w:tabs>
        <w:numPr>
          <w:ilvl w:val="0"/>
          <w:numId w:val="13"/>
        </w:numPr>
        <w:rPr>
          <w:rFonts w:ascii="Arial" w:cs="Arial" w:eastAsia="Arial" w:hAnsi="Arial"/>
          <w:sz w:val="8"/>
          <w:szCs w:val="8"/>
          <w:color w:val="auto"/>
        </w:rPr>
      </w:pPr>
      <w:r>
        <w:rPr>
          <w:rFonts w:ascii="Arial" w:cs="Arial" w:eastAsia="Arial" w:hAnsi="Arial"/>
          <w:sz w:val="8"/>
          <w:szCs w:val="8"/>
          <w:color w:val="auto"/>
        </w:rPr>
        <w:t>Includes interest income and realized/unrealized gains/losses from debt fund investments, net of expenses. Excludes fees recognized by us as the debt fund's manager, which are included in Other income.</w:t>
      </w:r>
    </w:p>
    <w:p>
      <w:pPr>
        <w:spacing w:after="0" w:line="17" w:lineRule="exact"/>
        <w:rPr>
          <w:rFonts w:ascii="Arial" w:cs="Arial" w:eastAsia="Arial" w:hAnsi="Arial"/>
          <w:sz w:val="8"/>
          <w:szCs w:val="8"/>
          <w:color w:val="auto"/>
        </w:rPr>
      </w:pPr>
    </w:p>
    <w:p>
      <w:pPr>
        <w:ind w:left="1140" w:hanging="119"/>
        <w:spacing w:after="0"/>
        <w:tabs>
          <w:tab w:leader="none" w:pos="1140" w:val="left"/>
        </w:tabs>
        <w:numPr>
          <w:ilvl w:val="0"/>
          <w:numId w:val="13"/>
        </w:numPr>
        <w:rPr>
          <w:rFonts w:ascii="Arial" w:cs="Arial" w:eastAsia="Arial" w:hAnsi="Arial"/>
          <w:sz w:val="8"/>
          <w:szCs w:val="8"/>
          <w:color w:val="auto"/>
        </w:rPr>
      </w:pPr>
      <w:r>
        <w:rPr>
          <w:rFonts w:ascii="Arial" w:cs="Arial" w:eastAsia="Arial" w:hAnsi="Arial"/>
          <w:sz w:val="8"/>
          <w:szCs w:val="8"/>
          <w:color w:val="auto"/>
        </w:rPr>
        <w:t>Before equity in net (loss) gain, purchase price and other fair value adjustments, gain (loss) on sale and depreciable real estate reserves, and gain on sale of marketable securities shown below.</w:t>
      </w:r>
    </w:p>
    <w:p>
      <w:pPr>
        <w:spacing w:after="0" w:line="366"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14</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304" w:right="141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COMPARATIVE COMPUTATION OF FFO AND FAD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77659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-21590</wp:posOffset>
            </wp:positionV>
            <wp:extent cx="1136650" cy="324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577659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39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0"/>
                <w:szCs w:val="10"/>
                <w:b w:val="1"/>
                <w:bCs w:val="1"/>
                <w:color w:val="auto"/>
                <w:w w:val="97"/>
              </w:rPr>
              <w:t>Three Months Ended</w:t>
            </w: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91"/>
              <w:spacing w:after="0"/>
              <w:rPr>
                <w:sz w:val="20"/>
                <w:szCs w:val="20"/>
                <w:color w:val="auto"/>
              </w:rPr>
            </w:pPr>
            <w:r>
              <w:rPr>
                <w:rFonts w:ascii="Arial" w:cs="Arial" w:eastAsia="Arial" w:hAnsi="Arial"/>
                <w:sz w:val="10"/>
                <w:szCs w:val="10"/>
                <w:b w:val="1"/>
                <w:bCs w:val="1"/>
                <w:color w:val="auto"/>
              </w:rPr>
              <w:t>March 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w w:val="98"/>
              </w:rPr>
              <w:t>December 31,</w:t>
            </w:r>
          </w:p>
        </w:tc>
        <w:tc>
          <w:tcPr>
            <w:tcW w:w="140" w:type="dxa"/>
            <w:vAlign w:val="bottom"/>
          </w:tcPr>
          <w:p>
            <w:pPr>
              <w:spacing w:after="0"/>
              <w:rPr>
                <w:sz w:val="11"/>
                <w:szCs w:val="11"/>
                <w:color w:val="auto"/>
              </w:rPr>
            </w:pPr>
          </w:p>
        </w:tc>
        <w:tc>
          <w:tcPr>
            <w:tcW w:w="780" w:type="dxa"/>
            <w:vAlign w:val="bottom"/>
            <w:gridSpan w:val="3"/>
          </w:tcPr>
          <w:p>
            <w:pPr>
              <w:jc w:val="right"/>
              <w:ind w:right="191"/>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21"/>
        </w:trPr>
        <w:tc>
          <w:tcPr>
            <w:tcW w:w="3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right"/>
              <w:ind w:right="311"/>
              <w:spacing w:after="0"/>
              <w:rPr>
                <w:sz w:val="20"/>
                <w:szCs w:val="20"/>
                <w:color w:val="auto"/>
              </w:rPr>
            </w:pPr>
            <w:r>
              <w:rPr>
                <w:rFonts w:ascii="Arial" w:cs="Arial" w:eastAsia="Arial" w:hAnsi="Arial"/>
                <w:sz w:val="10"/>
                <w:szCs w:val="10"/>
                <w:b w:val="1"/>
                <w:bCs w:val="1"/>
                <w:color w:val="auto"/>
              </w:rPr>
              <w:t>2026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left="211"/>
              <w:spacing w:after="0"/>
              <w:rPr>
                <w:sz w:val="20"/>
                <w:szCs w:val="20"/>
                <w:color w:val="auto"/>
              </w:rPr>
            </w:pPr>
            <w:r>
              <w:rPr>
                <w:rFonts w:ascii="Arial" w:cs="Arial" w:eastAsia="Arial" w:hAnsi="Arial"/>
                <w:sz w:val="10"/>
                <w:szCs w:val="10"/>
                <w:b w:val="1"/>
                <w:bCs w:val="1"/>
                <w:color w:val="auto"/>
                <w:w w:val="98"/>
              </w:rPr>
              <w:t>2025</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right"/>
              <w:ind w:right="311"/>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5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Funds from Operations</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920" w:type="dxa"/>
            <w:vAlign w:val="bottom"/>
          </w:tcPr>
          <w:p>
            <w:pPr>
              <w:ind w:left="20"/>
              <w:spacing w:after="0"/>
              <w:rPr>
                <w:sz w:val="20"/>
                <w:szCs w:val="20"/>
                <w:color w:val="auto"/>
              </w:rPr>
            </w:pPr>
            <w:r>
              <w:rPr>
                <w:rFonts w:ascii="Arial" w:cs="Arial" w:eastAsia="Arial" w:hAnsi="Arial"/>
                <w:sz w:val="10"/>
                <w:szCs w:val="10"/>
                <w:color w:val="auto"/>
              </w:rPr>
              <w:t>Net (Loss) Income attributable to SL Green common stockholders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(84,391)</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0"/>
                <w:szCs w:val="10"/>
                <w:color w:val="auto"/>
              </w:rPr>
              <w:t>(104,567)</w:t>
            </w:r>
          </w:p>
        </w:tc>
        <w:tc>
          <w:tcPr>
            <w:tcW w:w="20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(21,075)</w:t>
            </w:r>
          </w:p>
        </w:tc>
        <w:tc>
          <w:tcPr>
            <w:tcW w:w="0" w:type="dxa"/>
            <w:vAlign w:val="bottom"/>
          </w:tcPr>
          <w:p>
            <w:pPr>
              <w:spacing w:after="0"/>
              <w:rPr>
                <w:sz w:val="1"/>
                <w:szCs w:val="1"/>
                <w:color w:val="auto"/>
              </w:rPr>
            </w:pPr>
          </w:p>
        </w:tc>
      </w:tr>
      <w:tr>
        <w:trPr>
          <w:trHeight w:val="177"/>
        </w:trPr>
        <w:tc>
          <w:tcPr>
            <w:tcW w:w="3920" w:type="dxa"/>
            <w:vAlign w:val="bottom"/>
          </w:tcPr>
          <w:p>
            <w:pPr>
              <w:ind w:left="340"/>
              <w:spacing w:after="0"/>
              <w:rPr>
                <w:sz w:val="20"/>
                <w:szCs w:val="20"/>
                <w:color w:val="auto"/>
              </w:rPr>
            </w:pPr>
            <w:r>
              <w:rPr>
                <w:rFonts w:ascii="Arial" w:cs="Arial" w:eastAsia="Arial" w:hAnsi="Arial"/>
                <w:sz w:val="10"/>
                <w:szCs w:val="10"/>
                <w:color w:val="auto"/>
              </w:rPr>
              <w:t>Depreciation and amortization</w:t>
            </w:r>
          </w:p>
        </w:tc>
        <w:tc>
          <w:tcPr>
            <w:tcW w:w="140" w:type="dxa"/>
            <w:vAlign w:val="bottom"/>
          </w:tcPr>
          <w:p>
            <w:pPr>
              <w:spacing w:after="0"/>
              <w:rPr>
                <w:sz w:val="15"/>
                <w:szCs w:val="15"/>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69,751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67,839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64,498</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Joint ventures depreciation and noncontrolling interests adjustments</w:t>
            </w: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62,596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65,677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53,361</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Net income (loss) attributable to noncontrolling interests</w:t>
            </w: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1,056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color w:val="auto"/>
              </w:rPr>
              <w:t>(5,062)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(6,362)</w:t>
            </w:r>
          </w:p>
        </w:tc>
        <w:tc>
          <w:tcPr>
            <w:tcW w:w="0" w:type="dxa"/>
            <w:vAlign w:val="bottom"/>
          </w:tcPr>
          <w:p>
            <w:pPr>
              <w:spacing w:after="0"/>
              <w:rPr>
                <w:sz w:val="1"/>
                <w:szCs w:val="1"/>
                <w:color w:val="auto"/>
              </w:rPr>
            </w:pPr>
          </w:p>
        </w:tc>
      </w:tr>
      <w:tr>
        <w:trPr>
          <w:trHeight w:val="109"/>
        </w:trPr>
        <w:tc>
          <w:tcPr>
            <w:tcW w:w="3920" w:type="dxa"/>
            <w:vAlign w:val="bottom"/>
          </w:tcPr>
          <w:p>
            <w:pPr>
              <w:ind w:left="340"/>
              <w:spacing w:after="0" w:line="109" w:lineRule="exact"/>
              <w:rPr>
                <w:sz w:val="20"/>
                <w:szCs w:val="20"/>
                <w:color w:val="auto"/>
              </w:rPr>
            </w:pPr>
            <w:r>
              <w:rPr>
                <w:rFonts w:ascii="Arial" w:cs="Arial" w:eastAsia="Arial" w:hAnsi="Arial"/>
                <w:sz w:val="10"/>
                <w:szCs w:val="10"/>
                <w:color w:val="auto"/>
              </w:rPr>
              <w:t>Equity in net loss (gain) on sale of interest in unconsolidated joint venture/real</w:t>
            </w:r>
          </w:p>
        </w:tc>
        <w:tc>
          <w:tcPr>
            <w:tcW w:w="140" w:type="dxa"/>
            <w:vAlign w:val="bottom"/>
          </w:tcPr>
          <w:p>
            <w:pPr>
              <w:spacing w:after="0"/>
              <w:rPr>
                <w:sz w:val="9"/>
                <w:szCs w:val="9"/>
                <w:color w:val="auto"/>
              </w:rPr>
            </w:pPr>
          </w:p>
        </w:tc>
        <w:tc>
          <w:tcPr>
            <w:tcW w:w="780" w:type="dxa"/>
            <w:vAlign w:val="bottom"/>
            <w:gridSpan w:val="3"/>
            <w:vMerge w:val="restart"/>
          </w:tcPr>
          <w:p>
            <w:pPr>
              <w:jc w:val="right"/>
              <w:ind w:right="11"/>
              <w:spacing w:after="0"/>
              <w:rPr>
                <w:sz w:val="20"/>
                <w:szCs w:val="20"/>
                <w:color w:val="auto"/>
              </w:rPr>
            </w:pPr>
            <w:r>
              <w:rPr>
                <w:rFonts w:ascii="Arial" w:cs="Arial" w:eastAsia="Arial" w:hAnsi="Arial"/>
                <w:sz w:val="10"/>
                <w:szCs w:val="10"/>
                <w:color w:val="auto"/>
              </w:rPr>
              <w:t>814</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0"/>
                <w:szCs w:val="10"/>
                <w:color w:val="auto"/>
              </w:rPr>
              <w:t>(1,142)</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3920" w:type="dxa"/>
            <w:vAlign w:val="bottom"/>
          </w:tcPr>
          <w:p>
            <w:pPr>
              <w:ind w:left="340"/>
              <w:spacing w:after="0"/>
              <w:rPr>
                <w:sz w:val="20"/>
                <w:szCs w:val="20"/>
                <w:color w:val="auto"/>
              </w:rPr>
            </w:pPr>
            <w:r>
              <w:rPr>
                <w:rFonts w:ascii="Arial" w:cs="Arial" w:eastAsia="Arial" w:hAnsi="Arial"/>
                <w:sz w:val="10"/>
                <w:szCs w:val="10"/>
                <w:color w:val="auto"/>
              </w:rPr>
              <w:t>estate</w:t>
            </w: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Purchase price and other fair value adjustments</w:t>
            </w: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(2,224)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28,226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6,544</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(Gain) Loss on sale of real estate, net</w:t>
            </w: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(16,636)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426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482</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Depreciable real estate reserves</w:t>
            </w: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35,160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23,546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8,546</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Depreciable real estate reserves in unconsolidated joint venture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12,812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1,780</w:t>
            </w:r>
          </w:p>
        </w:tc>
        <w:tc>
          <w:tcPr>
            <w:tcW w:w="0" w:type="dxa"/>
            <w:vAlign w:val="bottom"/>
          </w:tcPr>
          <w:p>
            <w:pPr>
              <w:spacing w:after="0"/>
              <w:rPr>
                <w:sz w:val="1"/>
                <w:szCs w:val="1"/>
                <w:color w:val="auto"/>
              </w:rPr>
            </w:pPr>
          </w:p>
        </w:tc>
      </w:tr>
      <w:tr>
        <w:trPr>
          <w:trHeight w:val="142"/>
        </w:trPr>
        <w:tc>
          <w:tcPr>
            <w:tcW w:w="3920" w:type="dxa"/>
            <w:vAlign w:val="bottom"/>
          </w:tcPr>
          <w:p>
            <w:pPr>
              <w:ind w:left="340"/>
              <w:spacing w:after="0"/>
              <w:rPr>
                <w:sz w:val="20"/>
                <w:szCs w:val="20"/>
                <w:color w:val="auto"/>
              </w:rPr>
            </w:pPr>
            <w:r>
              <w:rPr>
                <w:rFonts w:ascii="Arial" w:cs="Arial" w:eastAsia="Arial" w:hAnsi="Arial"/>
                <w:sz w:val="10"/>
                <w:szCs w:val="10"/>
                <w:color w:val="auto"/>
              </w:rPr>
              <w:t>Depreciation on non-rental real estate assets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(1,503)</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(1,526)</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(1,263)</w:t>
            </w:r>
          </w:p>
        </w:tc>
        <w:tc>
          <w:tcPr>
            <w:tcW w:w="0" w:type="dxa"/>
            <w:vAlign w:val="bottom"/>
          </w:tcPr>
          <w:p>
            <w:pPr>
              <w:spacing w:after="0"/>
              <w:rPr>
                <w:sz w:val="1"/>
                <w:szCs w:val="1"/>
                <w:color w:val="auto"/>
              </w:rPr>
            </w:pPr>
          </w:p>
        </w:tc>
      </w:tr>
      <w:tr>
        <w:trPr>
          <w:trHeight w:val="132"/>
        </w:trPr>
        <w:tc>
          <w:tcPr>
            <w:tcW w:w="3920" w:type="dxa"/>
            <w:vAlign w:val="bottom"/>
          </w:tcPr>
          <w:p>
            <w:pPr>
              <w:ind w:left="340"/>
              <w:spacing w:after="0"/>
              <w:rPr>
                <w:sz w:val="20"/>
                <w:szCs w:val="20"/>
                <w:color w:val="auto"/>
              </w:rPr>
            </w:pPr>
            <w:r>
              <w:rPr>
                <w:rFonts w:ascii="Arial" w:cs="Arial" w:eastAsia="Arial" w:hAnsi="Arial"/>
                <w:sz w:val="10"/>
                <w:szCs w:val="10"/>
                <w:b w:val="1"/>
                <w:bCs w:val="1"/>
                <w:color w:val="auto"/>
              </w:rPr>
              <w:t>Funds From Operations</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64,623</w:t>
            </w:r>
          </w:p>
        </w:tc>
        <w:tc>
          <w:tcPr>
            <w:tcW w:w="1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86,229</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106,511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920" w:type="dxa"/>
            <w:vAlign w:val="bottom"/>
          </w:tcPr>
          <w:p>
            <w:pPr>
              <w:ind w:left="340"/>
              <w:spacing w:after="0"/>
              <w:rPr>
                <w:sz w:val="20"/>
                <w:szCs w:val="20"/>
                <w:color w:val="auto"/>
              </w:rPr>
            </w:pPr>
            <w:r>
              <w:rPr>
                <w:rFonts w:ascii="Arial" w:cs="Arial" w:eastAsia="Arial" w:hAnsi="Arial"/>
                <w:sz w:val="10"/>
                <w:szCs w:val="10"/>
                <w:b w:val="1"/>
                <w:bCs w:val="1"/>
                <w:color w:val="auto"/>
              </w:rPr>
              <w:t>Funds From Operations - Basic per Share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0.85</w:t>
            </w:r>
          </w:p>
        </w:tc>
        <w:tc>
          <w:tcPr>
            <w:tcW w:w="28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1.16</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1.43</w:t>
            </w:r>
          </w:p>
        </w:tc>
        <w:tc>
          <w:tcPr>
            <w:tcW w:w="0" w:type="dxa"/>
            <w:vAlign w:val="bottom"/>
          </w:tcPr>
          <w:p>
            <w:pPr>
              <w:spacing w:after="0"/>
              <w:rPr>
                <w:sz w:val="1"/>
                <w:szCs w:val="1"/>
                <w:color w:val="auto"/>
              </w:rPr>
            </w:pPr>
          </w:p>
        </w:tc>
      </w:tr>
      <w:tr>
        <w:trPr>
          <w:trHeight w:val="177"/>
        </w:trPr>
        <w:tc>
          <w:tcPr>
            <w:tcW w:w="3920" w:type="dxa"/>
            <w:vAlign w:val="bottom"/>
          </w:tcPr>
          <w:p>
            <w:pPr>
              <w:ind w:left="340"/>
              <w:spacing w:after="0"/>
              <w:rPr>
                <w:sz w:val="20"/>
                <w:szCs w:val="20"/>
                <w:color w:val="auto"/>
              </w:rPr>
            </w:pPr>
            <w:r>
              <w:rPr>
                <w:rFonts w:ascii="Arial" w:cs="Arial" w:eastAsia="Arial" w:hAnsi="Arial"/>
                <w:sz w:val="10"/>
                <w:szCs w:val="10"/>
                <w:b w:val="1"/>
                <w:bCs w:val="1"/>
                <w:color w:val="auto"/>
              </w:rPr>
              <w:t>Funds From Operations - Diluted per Share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0.84</w:t>
            </w:r>
          </w:p>
        </w:tc>
        <w:tc>
          <w:tcPr>
            <w:tcW w:w="28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1.13</w:t>
            </w:r>
          </w:p>
        </w:tc>
        <w:tc>
          <w:tcPr>
            <w:tcW w:w="20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1.40</w:t>
            </w:r>
          </w:p>
        </w:tc>
        <w:tc>
          <w:tcPr>
            <w:tcW w:w="0" w:type="dxa"/>
            <w:vAlign w:val="bottom"/>
          </w:tcPr>
          <w:p>
            <w:pPr>
              <w:spacing w:after="0"/>
              <w:rPr>
                <w:sz w:val="1"/>
                <w:szCs w:val="1"/>
                <w:color w:val="auto"/>
              </w:rPr>
            </w:pPr>
          </w:p>
        </w:tc>
      </w:tr>
      <w:tr>
        <w:trPr>
          <w:trHeight w:val="17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Funds Available for Distribution</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920" w:type="dxa"/>
            <w:vAlign w:val="bottom"/>
          </w:tcPr>
          <w:p>
            <w:pPr>
              <w:ind w:left="20"/>
              <w:spacing w:after="0"/>
              <w:rPr>
                <w:sz w:val="20"/>
                <w:szCs w:val="20"/>
                <w:color w:val="auto"/>
              </w:rPr>
            </w:pPr>
            <w:r>
              <w:rPr>
                <w:rFonts w:ascii="Arial" w:cs="Arial" w:eastAsia="Arial" w:hAnsi="Arial"/>
                <w:sz w:val="10"/>
                <w:szCs w:val="10"/>
                <w:color w:val="auto"/>
              </w:rPr>
              <w:t>FFO</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64,623</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86,229</w:t>
            </w:r>
          </w:p>
        </w:tc>
        <w:tc>
          <w:tcPr>
            <w:tcW w:w="20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106,511</w:t>
            </w:r>
          </w:p>
        </w:tc>
        <w:tc>
          <w:tcPr>
            <w:tcW w:w="0" w:type="dxa"/>
            <w:vAlign w:val="bottom"/>
          </w:tcPr>
          <w:p>
            <w:pPr>
              <w:spacing w:after="0"/>
              <w:rPr>
                <w:sz w:val="1"/>
                <w:szCs w:val="1"/>
                <w:color w:val="auto"/>
              </w:rPr>
            </w:pPr>
          </w:p>
        </w:tc>
      </w:tr>
      <w:tr>
        <w:trPr>
          <w:trHeight w:val="177"/>
        </w:trPr>
        <w:tc>
          <w:tcPr>
            <w:tcW w:w="3920" w:type="dxa"/>
            <w:vAlign w:val="bottom"/>
          </w:tcPr>
          <w:p>
            <w:pPr>
              <w:ind w:left="340"/>
              <w:spacing w:after="0"/>
              <w:rPr>
                <w:sz w:val="20"/>
                <w:szCs w:val="20"/>
                <w:color w:val="auto"/>
              </w:rPr>
            </w:pPr>
            <w:r>
              <w:rPr>
                <w:rFonts w:ascii="Arial" w:cs="Arial" w:eastAsia="Arial" w:hAnsi="Arial"/>
                <w:sz w:val="10"/>
                <w:szCs w:val="10"/>
                <w:color w:val="auto"/>
              </w:rPr>
              <w:t>Non real estate depreciation and amortization</w:t>
            </w:r>
          </w:p>
        </w:tc>
        <w:tc>
          <w:tcPr>
            <w:tcW w:w="140" w:type="dxa"/>
            <w:vAlign w:val="bottom"/>
          </w:tcPr>
          <w:p>
            <w:pPr>
              <w:spacing w:after="0"/>
              <w:rPr>
                <w:sz w:val="15"/>
                <w:szCs w:val="15"/>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1,503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1,526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1,263</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Amortization of deferred financing costs</w:t>
            </w: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2,802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1,901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1,687</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Non-cash deferred compensation</w:t>
            </w: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10,213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19,394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10,537</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FAD adjustment for joint ventures</w:t>
            </w: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(29,468)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color w:val="auto"/>
              </w:rPr>
              <w:t>(21,662)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(25,873)</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Straight-line rental income and other non-cash adjustments</w:t>
            </w: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(3,143)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color w:val="auto"/>
              </w:rPr>
              <w:t>(2,194)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3,207</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Non-cash fair value adjustments on mark-to-market derivatives</w:t>
            </w: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(1,960)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color w:val="auto"/>
              </w:rPr>
              <w:t>(83)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3,068</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Second cycle tenant improvements</w:t>
            </w: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(18,526)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color w:val="auto"/>
              </w:rPr>
              <w:t>(32,522)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(17,858)</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Second cycle leasing commissions</w:t>
            </w: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(9,578)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color w:val="auto"/>
              </w:rPr>
              <w:t>(9,926)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(4,246)</w:t>
            </w:r>
          </w:p>
        </w:tc>
        <w:tc>
          <w:tcPr>
            <w:tcW w:w="0" w:type="dxa"/>
            <w:vAlign w:val="bottom"/>
          </w:tcPr>
          <w:p>
            <w:pPr>
              <w:spacing w:after="0"/>
              <w:rPr>
                <w:sz w:val="1"/>
                <w:szCs w:val="1"/>
                <w:color w:val="auto"/>
              </w:rPr>
            </w:pPr>
          </w:p>
        </w:tc>
      </w:tr>
      <w:tr>
        <w:trPr>
          <w:trHeight w:val="142"/>
        </w:trPr>
        <w:tc>
          <w:tcPr>
            <w:tcW w:w="3920" w:type="dxa"/>
            <w:vAlign w:val="bottom"/>
          </w:tcPr>
          <w:p>
            <w:pPr>
              <w:ind w:left="340"/>
              <w:spacing w:after="0"/>
              <w:rPr>
                <w:sz w:val="20"/>
                <w:szCs w:val="20"/>
                <w:color w:val="auto"/>
              </w:rPr>
            </w:pPr>
            <w:r>
              <w:rPr>
                <w:rFonts w:ascii="Arial" w:cs="Arial" w:eastAsia="Arial" w:hAnsi="Arial"/>
                <w:sz w:val="10"/>
                <w:szCs w:val="10"/>
                <w:color w:val="auto"/>
              </w:rPr>
              <w:t>Recurring capital expenditures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(5,618)</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(17,971)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(4,767)</w:t>
            </w:r>
          </w:p>
        </w:tc>
        <w:tc>
          <w:tcPr>
            <w:tcW w:w="0" w:type="dxa"/>
            <w:vAlign w:val="bottom"/>
          </w:tcPr>
          <w:p>
            <w:pPr>
              <w:spacing w:after="0"/>
              <w:rPr>
                <w:sz w:val="1"/>
                <w:szCs w:val="1"/>
                <w:color w:val="auto"/>
              </w:rPr>
            </w:pPr>
          </w:p>
        </w:tc>
      </w:tr>
      <w:tr>
        <w:trPr>
          <w:trHeight w:val="132"/>
        </w:trPr>
        <w:tc>
          <w:tcPr>
            <w:tcW w:w="3920" w:type="dxa"/>
            <w:vAlign w:val="bottom"/>
          </w:tcPr>
          <w:p>
            <w:pPr>
              <w:ind w:left="20"/>
              <w:spacing w:after="0"/>
              <w:rPr>
                <w:sz w:val="20"/>
                <w:szCs w:val="20"/>
                <w:color w:val="auto"/>
              </w:rPr>
            </w:pPr>
            <w:r>
              <w:rPr>
                <w:rFonts w:ascii="Arial" w:cs="Arial" w:eastAsia="Arial" w:hAnsi="Arial"/>
                <w:sz w:val="10"/>
                <w:szCs w:val="10"/>
                <w:b w:val="1"/>
                <w:bCs w:val="1"/>
                <w:color w:val="auto"/>
              </w:rPr>
              <w:t>Reported Funds Available for Distribution</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10,848</w:t>
            </w:r>
          </w:p>
        </w:tc>
        <w:tc>
          <w:tcPr>
            <w:tcW w:w="1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24,692</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73,529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20" w:type="dxa"/>
            <w:vAlign w:val="bottom"/>
          </w:tcPr>
          <w:p>
            <w:pPr>
              <w:ind w:left="340"/>
              <w:spacing w:after="0"/>
              <w:rPr>
                <w:sz w:val="20"/>
                <w:szCs w:val="20"/>
                <w:color w:val="auto"/>
              </w:rPr>
            </w:pPr>
            <w:r>
              <w:rPr>
                <w:rFonts w:ascii="Arial" w:cs="Arial" w:eastAsia="Arial" w:hAnsi="Arial"/>
                <w:sz w:val="10"/>
                <w:szCs w:val="10"/>
                <w:color w:val="auto"/>
              </w:rPr>
              <w:t>First cycle tenant improvements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2,160</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1,663</w:t>
            </w:r>
          </w:p>
        </w:tc>
        <w:tc>
          <w:tcPr>
            <w:tcW w:w="2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64</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First cycle leasing commissions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17</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1,591</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128</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Development costs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325</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10,281</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10,638</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Redevelopment costs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9,083</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4,822</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2,710</w:t>
            </w:r>
          </w:p>
        </w:tc>
        <w:tc>
          <w:tcPr>
            <w:tcW w:w="0" w:type="dxa"/>
            <w:vAlign w:val="bottom"/>
          </w:tcPr>
          <w:p>
            <w:pPr>
              <w:spacing w:after="0"/>
              <w:rPr>
                <w:sz w:val="1"/>
                <w:szCs w:val="1"/>
                <w:color w:val="auto"/>
              </w:rPr>
            </w:pPr>
          </w:p>
        </w:tc>
      </w:tr>
      <w:tr>
        <w:trPr>
          <w:trHeight w:val="138"/>
        </w:trPr>
        <w:tc>
          <w:tcPr>
            <w:tcW w:w="3920" w:type="dxa"/>
            <w:vAlign w:val="bottom"/>
          </w:tcPr>
          <w:p>
            <w:pPr>
              <w:ind w:left="340"/>
              <w:spacing w:after="0"/>
              <w:rPr>
                <w:sz w:val="20"/>
                <w:szCs w:val="20"/>
                <w:color w:val="auto"/>
              </w:rPr>
            </w:pPr>
            <w:r>
              <w:rPr>
                <w:rFonts w:ascii="Arial" w:cs="Arial" w:eastAsia="Arial" w:hAnsi="Arial"/>
                <w:sz w:val="10"/>
                <w:szCs w:val="10"/>
                <w:color w:val="auto"/>
              </w:rPr>
              <w:t>Capitalized interest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8,669</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0"/>
                <w:szCs w:val="10"/>
                <w:color w:val="auto"/>
              </w:rPr>
              <w:t>8,244</w:t>
            </w:r>
          </w:p>
        </w:tc>
        <w:tc>
          <w:tcPr>
            <w:tcW w:w="2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11"/>
              <w:spacing w:after="0"/>
              <w:rPr>
                <w:sz w:val="20"/>
                <w:szCs w:val="20"/>
                <w:color w:val="auto"/>
              </w:rPr>
            </w:pPr>
            <w:r>
              <w:rPr>
                <w:rFonts w:ascii="Arial" w:cs="Arial" w:eastAsia="Arial" w:hAnsi="Arial"/>
                <w:sz w:val="10"/>
                <w:szCs w:val="10"/>
                <w:color w:val="auto"/>
              </w:rPr>
              <w:t>6,470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15</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304" w:right="141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CONSOLIDATED STATEMENT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77659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-21590</wp:posOffset>
            </wp:positionV>
            <wp:extent cx="1136650" cy="324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577659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14"/>
              <w:spacing w:after="0"/>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Series I</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14"/>
              <w:spacing w:after="0"/>
              <w:rPr>
                <w:sz w:val="20"/>
                <w:szCs w:val="20"/>
                <w:color w:val="auto"/>
              </w:rPr>
            </w:pPr>
            <w:r>
              <w:rPr>
                <w:rFonts w:ascii="Arial" w:cs="Arial" w:eastAsia="Arial" w:hAnsi="Arial"/>
                <w:sz w:val="9"/>
                <w:szCs w:val="9"/>
                <w:b w:val="1"/>
                <w:bCs w:val="1"/>
                <w:color w:val="auto"/>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10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6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11"/>
                <w:szCs w:val="11"/>
                <w:color w:val="auto"/>
              </w:rPr>
            </w:pPr>
          </w:p>
        </w:tc>
        <w:tc>
          <w:tcPr>
            <w:tcW w:w="620" w:type="dxa"/>
            <w:vAlign w:val="bottom"/>
          </w:tcPr>
          <w:p>
            <w:pPr>
              <w:jc w:val="center"/>
              <w:ind w:right="94"/>
              <w:spacing w:after="0"/>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Noncontrolling</w:t>
            </w:r>
          </w:p>
        </w:tc>
        <w:tc>
          <w:tcPr>
            <w:tcW w:w="60" w:type="dxa"/>
            <w:vAlign w:val="bottom"/>
          </w:tcPr>
          <w:p>
            <w:pPr>
              <w:spacing w:after="0"/>
              <w:rPr>
                <w:sz w:val="11"/>
                <w:szCs w:val="11"/>
                <w:color w:val="auto"/>
              </w:rPr>
            </w:pPr>
          </w:p>
        </w:tc>
        <w:tc>
          <w:tcPr>
            <w:tcW w:w="760" w:type="dxa"/>
            <w:vAlign w:val="bottom"/>
          </w:tcPr>
          <w:p>
            <w:pPr>
              <w:jc w:val="center"/>
              <w:ind w:right="14"/>
              <w:spacing w:after="0"/>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74"/>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54"/>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Paid-In Capital</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4"/>
              <w:spacing w:after="0"/>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9"/>
                <w:szCs w:val="9"/>
                <w:b w:val="1"/>
                <w:bCs w:val="1"/>
                <w:color w:val="auto"/>
              </w:rPr>
              <w:t>Interests</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9"/>
                <w:szCs w:val="9"/>
                <w:b w:val="1"/>
                <w:bCs w:val="1"/>
                <w:color w:val="auto"/>
              </w:rPr>
              <w:t>Loss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14"/>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9"/>
                <w:szCs w:val="9"/>
                <w:b w:val="1"/>
                <w:bCs w:val="1"/>
                <w:color w:val="auto"/>
              </w:rPr>
              <w:t>Balance at December 31, 2025</w:t>
            </w: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Pr>
          <w:p>
            <w:pPr>
              <w:jc w:val="right"/>
              <w:ind w:right="14"/>
              <w:spacing w:after="0"/>
              <w:rPr>
                <w:sz w:val="20"/>
                <w:szCs w:val="20"/>
                <w:color w:val="auto"/>
              </w:rPr>
            </w:pPr>
            <w:r>
              <w:rPr>
                <w:rFonts w:ascii="Arial" w:cs="Arial" w:eastAsia="Arial" w:hAnsi="Arial"/>
                <w:sz w:val="9"/>
                <w:szCs w:val="9"/>
                <w:b w:val="1"/>
                <w:bCs w:val="1"/>
                <w:color w:val="auto"/>
              </w:rPr>
              <w:t>221,932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Pr>
          <w:p>
            <w:pPr>
              <w:jc w:val="right"/>
              <w:ind w:right="14"/>
              <w:spacing w:after="0"/>
              <w:rPr>
                <w:sz w:val="20"/>
                <w:szCs w:val="20"/>
                <w:color w:val="auto"/>
              </w:rPr>
            </w:pPr>
            <w:r>
              <w:rPr>
                <w:rFonts w:ascii="Arial" w:cs="Arial" w:eastAsia="Arial" w:hAnsi="Arial"/>
                <w:sz w:val="9"/>
                <w:szCs w:val="9"/>
                <w:b w:val="1"/>
                <w:bCs w:val="1"/>
                <w:color w:val="auto"/>
              </w:rPr>
              <w:t>711</w:t>
            </w:r>
          </w:p>
        </w:tc>
        <w:tc>
          <w:tcPr>
            <w:tcW w:w="1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Pr>
          <w:p>
            <w:pPr>
              <w:jc w:val="right"/>
              <w:ind w:right="14"/>
              <w:spacing w:after="0"/>
              <w:rPr>
                <w:sz w:val="20"/>
                <w:szCs w:val="20"/>
                <w:color w:val="auto"/>
              </w:rPr>
            </w:pPr>
            <w:r>
              <w:rPr>
                <w:rFonts w:ascii="Arial" w:cs="Arial" w:eastAsia="Arial" w:hAnsi="Arial"/>
                <w:sz w:val="9"/>
                <w:szCs w:val="9"/>
                <w:b w:val="1"/>
                <w:bCs w:val="1"/>
                <w:color w:val="auto"/>
              </w:rPr>
              <w:t>4,212,590</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rPr>
              <w:t>—</w:t>
            </w:r>
          </w:p>
        </w:tc>
        <w:tc>
          <w:tcPr>
            <w:tcW w:w="120" w:type="dxa"/>
            <w:vAlign w:val="bottom"/>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b w:val="1"/>
                <w:bCs w:val="1"/>
                <w:color w:val="auto"/>
              </w:rPr>
              <w:t>(741,880)</w:t>
            </w:r>
          </w:p>
        </w:tc>
        <w:tc>
          <w:tcPr>
            <w:tcW w:w="160" w:type="dxa"/>
            <w:vAlign w:val="bottom"/>
            <w:gridSpan w:val="2"/>
          </w:tcPr>
          <w:p>
            <w:pPr>
              <w:jc w:val="right"/>
              <w:spacing w:after="0"/>
              <w:rPr>
                <w:sz w:val="20"/>
                <w:szCs w:val="20"/>
                <w:color w:val="auto"/>
              </w:rPr>
            </w:pPr>
            <w:r>
              <w:rPr>
                <w:rFonts w:ascii="Arial" w:cs="Arial" w:eastAsia="Arial" w:hAnsi="Arial"/>
                <w:sz w:val="9"/>
                <w:szCs w:val="9"/>
                <w:b w:val="1"/>
                <w:bCs w:val="1"/>
                <w:color w:val="auto"/>
              </w:rPr>
              <w:t>$</w:t>
            </w:r>
          </w:p>
        </w:tc>
        <w:tc>
          <w:tcPr>
            <w:tcW w:w="720" w:type="dxa"/>
            <w:vAlign w:val="bottom"/>
          </w:tcPr>
          <w:p>
            <w:pPr>
              <w:jc w:val="right"/>
              <w:ind w:right="14"/>
              <w:spacing w:after="0"/>
              <w:rPr>
                <w:sz w:val="20"/>
                <w:szCs w:val="20"/>
                <w:color w:val="auto"/>
              </w:rPr>
            </w:pPr>
            <w:r>
              <w:rPr>
                <w:rFonts w:ascii="Arial" w:cs="Arial" w:eastAsia="Arial" w:hAnsi="Arial"/>
                <w:sz w:val="9"/>
                <w:szCs w:val="9"/>
                <w:b w:val="1"/>
                <w:bCs w:val="1"/>
                <w:color w:val="auto"/>
              </w:rPr>
              <w:t>241,293</w:t>
            </w:r>
          </w:p>
        </w:tc>
        <w:tc>
          <w:tcPr>
            <w:tcW w:w="1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(22,198)</w:t>
            </w:r>
          </w:p>
        </w:tc>
        <w:tc>
          <w:tcPr>
            <w:tcW w:w="26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w:t>
            </w:r>
          </w:p>
        </w:tc>
        <w:tc>
          <w:tcPr>
            <w:tcW w:w="560" w:type="dxa"/>
            <w:vAlign w:val="bottom"/>
          </w:tcPr>
          <w:p>
            <w:pPr>
              <w:jc w:val="right"/>
              <w:ind w:right="14"/>
              <w:spacing w:after="0"/>
              <w:rPr>
                <w:sz w:val="20"/>
                <w:szCs w:val="20"/>
                <w:color w:val="auto"/>
              </w:rPr>
            </w:pPr>
            <w:r>
              <w:rPr>
                <w:rFonts w:ascii="Arial" w:cs="Arial" w:eastAsia="Arial" w:hAnsi="Arial"/>
                <w:sz w:val="9"/>
                <w:szCs w:val="9"/>
                <w:b w:val="1"/>
                <w:bCs w:val="1"/>
                <w:color w:val="auto"/>
              </w:rPr>
              <w:t>3,912,448</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9"/>
                <w:szCs w:val="9"/>
                <w:color w:val="auto"/>
              </w:rPr>
              <w:t>Net loss</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(80,653)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14"/>
              <w:spacing w:after="0"/>
              <w:rPr>
                <w:sz w:val="20"/>
                <w:szCs w:val="20"/>
                <w:color w:val="auto"/>
              </w:rPr>
            </w:pPr>
            <w:r>
              <w:rPr>
                <w:rFonts w:ascii="Arial" w:cs="Arial" w:eastAsia="Arial" w:hAnsi="Arial"/>
                <w:sz w:val="9"/>
                <w:szCs w:val="9"/>
                <w:color w:val="auto"/>
              </w:rPr>
              <w:t>7,734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(72,919)</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9"/>
                <w:szCs w:val="9"/>
                <w:color w:val="auto"/>
              </w:rPr>
              <w:t>Other comprehensive income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14"/>
              <w:spacing w:after="0"/>
              <w:rPr>
                <w:sz w:val="20"/>
                <w:szCs w:val="20"/>
                <w:color w:val="auto"/>
              </w:rPr>
            </w:pPr>
            <w:r>
              <w:rPr>
                <w:rFonts w:ascii="Arial" w:cs="Arial" w:eastAsia="Arial" w:hAnsi="Arial"/>
                <w:sz w:val="9"/>
                <w:szCs w:val="9"/>
                <w:color w:val="auto"/>
              </w:rPr>
              <w:t>14,911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Arial" w:cs="Arial" w:eastAsia="Arial" w:hAnsi="Arial"/>
                <w:sz w:val="9"/>
                <w:szCs w:val="9"/>
                <w:b w:val="1"/>
                <w:bCs w:val="1"/>
                <w:color w:val="auto"/>
              </w:rPr>
              <w:t>14,911</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9"/>
                <w:szCs w:val="9"/>
                <w:color w:val="auto"/>
              </w:rPr>
              <w:t>Perpetual preferred stock dividends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(3,738)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(3,738)</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9"/>
                <w:szCs w:val="9"/>
                <w:color w:val="auto"/>
              </w:rPr>
              <w:t>DRSPP proceeds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720" w:type="dxa"/>
            <w:vAlign w:val="bottom"/>
          </w:tcPr>
          <w:p>
            <w:pPr>
              <w:jc w:val="right"/>
              <w:ind w:right="14"/>
              <w:spacing w:after="0"/>
              <w:rPr>
                <w:sz w:val="20"/>
                <w:szCs w:val="20"/>
                <w:color w:val="auto"/>
              </w:rPr>
            </w:pPr>
            <w:r>
              <w:rPr>
                <w:rFonts w:ascii="Arial" w:cs="Arial" w:eastAsia="Arial" w:hAnsi="Arial"/>
                <w:sz w:val="9"/>
                <w:szCs w:val="9"/>
                <w:color w:val="auto"/>
              </w:rPr>
              <w:t>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Arial" w:cs="Arial" w:eastAsia="Arial" w:hAnsi="Arial"/>
                <w:sz w:val="9"/>
                <w:szCs w:val="9"/>
                <w:b w:val="1"/>
                <w:bCs w:val="1"/>
                <w:color w:val="auto"/>
              </w:rPr>
              <w:t>62</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Arial" w:cs="Arial" w:eastAsia="Arial" w:hAnsi="Arial"/>
                <w:sz w:val="9"/>
                <w:szCs w:val="9"/>
                <w:color w:val="auto"/>
              </w:rPr>
              <w:t>Measurement adjustment for redeemable</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(22,901)</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20"/>
                <w:szCs w:val="20"/>
                <w:color w:val="auto"/>
              </w:rPr>
            </w:pPr>
            <w:r>
              <w:rPr>
                <w:rFonts w:ascii="Arial" w:cs="Arial" w:eastAsia="Arial" w:hAnsi="Arial"/>
                <w:sz w:val="9"/>
                <w:szCs w:val="9"/>
                <w:color w:val="auto"/>
              </w:rPr>
              <w:t>noncontrolling interest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(22,901)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20"/>
                <w:szCs w:val="20"/>
                <w:color w:val="auto"/>
              </w:rPr>
            </w:pPr>
            <w:r>
              <w:rPr>
                <w:rFonts w:ascii="Arial" w:cs="Arial" w:eastAsia="Arial" w:hAnsi="Arial"/>
                <w:sz w:val="9"/>
                <w:szCs w:val="9"/>
                <w:color w:val="auto"/>
              </w:rPr>
              <w:t>Deferred compensation plan and stock awards, net of</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14"/>
              <w:spacing w:after="0"/>
              <w:rPr>
                <w:sz w:val="20"/>
                <w:szCs w:val="20"/>
                <w:color w:val="auto"/>
              </w:rPr>
            </w:pPr>
            <w:r>
              <w:rPr>
                <w:rFonts w:ascii="Arial" w:cs="Arial" w:eastAsia="Arial" w:hAnsi="Arial"/>
                <w:sz w:val="9"/>
                <w:szCs w:val="9"/>
                <w:b w:val="1"/>
                <w:bCs w:val="1"/>
                <w:color w:val="auto"/>
              </w:rPr>
              <w:t>1,670</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20"/>
                <w:szCs w:val="20"/>
                <w:color w:val="auto"/>
              </w:rPr>
            </w:pPr>
            <w:r>
              <w:rPr>
                <w:rFonts w:ascii="Arial" w:cs="Arial" w:eastAsia="Arial" w:hAnsi="Arial"/>
                <w:sz w:val="9"/>
                <w:szCs w:val="9"/>
                <w:color w:val="auto"/>
              </w:rPr>
              <w:t>forfeitures and tax withholdings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720" w:type="dxa"/>
            <w:vAlign w:val="bottom"/>
          </w:tcPr>
          <w:p>
            <w:pPr>
              <w:jc w:val="right"/>
              <w:ind w:right="14"/>
              <w:spacing w:after="0"/>
              <w:rPr>
                <w:sz w:val="20"/>
                <w:szCs w:val="20"/>
                <w:color w:val="auto"/>
              </w:rPr>
            </w:pPr>
            <w:r>
              <w:rPr>
                <w:rFonts w:ascii="Arial" w:cs="Arial" w:eastAsia="Arial" w:hAnsi="Arial"/>
                <w:sz w:val="9"/>
                <w:szCs w:val="9"/>
                <w:color w:val="auto"/>
              </w:rPr>
              <w:t>1,204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ind w:right="14"/>
              <w:spacing w:after="0"/>
              <w:rPr>
                <w:sz w:val="20"/>
                <w:szCs w:val="20"/>
                <w:color w:val="auto"/>
              </w:rPr>
            </w:pPr>
            <w:r>
              <w:rPr>
                <w:rFonts w:ascii="Arial" w:cs="Arial" w:eastAsia="Arial" w:hAnsi="Arial"/>
                <w:sz w:val="9"/>
                <w:szCs w:val="9"/>
                <w:color w:val="auto"/>
              </w:rPr>
              <w:t>466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9"/>
                <w:szCs w:val="9"/>
                <w:color w:val="auto"/>
              </w:rPr>
              <w:t>Contributions to consolidated joint venture interests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4"/>
              <w:spacing w:after="0"/>
              <w:rPr>
                <w:sz w:val="20"/>
                <w:szCs w:val="20"/>
                <w:color w:val="auto"/>
              </w:rPr>
            </w:pPr>
            <w:r>
              <w:rPr>
                <w:rFonts w:ascii="Arial" w:cs="Arial" w:eastAsia="Arial" w:hAnsi="Arial"/>
                <w:sz w:val="9"/>
                <w:szCs w:val="9"/>
                <w:color w:val="auto"/>
              </w:rPr>
              <w:t>40,399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Arial" w:cs="Arial" w:eastAsia="Arial" w:hAnsi="Arial"/>
                <w:sz w:val="9"/>
                <w:szCs w:val="9"/>
                <w:b w:val="1"/>
                <w:bCs w:val="1"/>
                <w:color w:val="auto"/>
              </w:rPr>
              <w:t>40,399</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9"/>
                <w:szCs w:val="9"/>
                <w:color w:val="auto"/>
              </w:rPr>
              <w:t>Contributions to debt fund investments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4"/>
              <w:spacing w:after="0"/>
              <w:rPr>
                <w:sz w:val="20"/>
                <w:szCs w:val="20"/>
                <w:color w:val="auto"/>
              </w:rPr>
            </w:pPr>
            <w:r>
              <w:rPr>
                <w:rFonts w:ascii="Arial" w:cs="Arial" w:eastAsia="Arial" w:hAnsi="Arial"/>
                <w:sz w:val="9"/>
                <w:szCs w:val="9"/>
                <w:color w:val="auto"/>
              </w:rPr>
              <w:t>81,725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Arial" w:cs="Arial" w:eastAsia="Arial" w:hAnsi="Arial"/>
                <w:sz w:val="9"/>
                <w:szCs w:val="9"/>
                <w:b w:val="1"/>
                <w:bCs w:val="1"/>
                <w:color w:val="auto"/>
              </w:rPr>
              <w:t>81,725</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9"/>
                <w:szCs w:val="9"/>
                <w:color w:val="auto"/>
              </w:rPr>
              <w:t>Cash distributions to noncontrolling interests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(8,320)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(8,320)</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20"/>
                <w:szCs w:val="20"/>
                <w:color w:val="auto"/>
              </w:rPr>
            </w:pPr>
            <w:r>
              <w:rPr>
                <w:rFonts w:ascii="Arial" w:cs="Arial" w:eastAsia="Arial" w:hAnsi="Arial"/>
                <w:sz w:val="9"/>
                <w:szCs w:val="9"/>
                <w:color w:val="auto"/>
              </w:rPr>
              <w:t>Distributions from debt fund investments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(1,821)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(1,821)</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Arial" w:cs="Arial" w:eastAsia="Arial" w:hAnsi="Arial"/>
                <w:sz w:val="9"/>
                <w:szCs w:val="9"/>
                <w:color w:val="auto"/>
              </w:rPr>
              <w:t>Cash distributions ($0.62 per common share, none of</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line="91" w:lineRule="exact"/>
              <w:rPr>
                <w:sz w:val="20"/>
                <w:szCs w:val="20"/>
                <w:color w:val="auto"/>
              </w:rPr>
            </w:pPr>
            <w:r>
              <w:rPr>
                <w:rFonts w:ascii="Arial" w:cs="Arial" w:eastAsia="Arial" w:hAnsi="Arial"/>
                <w:sz w:val="9"/>
                <w:szCs w:val="9"/>
                <w:color w:val="auto"/>
              </w:rPr>
              <w:t>which represented a return of capital for federal income</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(43,718)</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(43,718)</w:t>
            </w:r>
          </w:p>
        </w:tc>
        <w:tc>
          <w:tcPr>
            <w:tcW w:w="0" w:type="dxa"/>
            <w:vAlign w:val="bottom"/>
          </w:tcPr>
          <w:p>
            <w:pPr>
              <w:spacing w:after="0"/>
              <w:rPr>
                <w:sz w:val="1"/>
                <w:szCs w:val="1"/>
                <w:color w:val="auto"/>
              </w:rPr>
            </w:pPr>
          </w:p>
        </w:tc>
      </w:tr>
      <w:tr>
        <w:trPr>
          <w:trHeight w:val="123"/>
        </w:trPr>
        <w:tc>
          <w:tcPr>
            <w:tcW w:w="2360" w:type="dxa"/>
            <w:vAlign w:val="bottom"/>
          </w:tcPr>
          <w:p>
            <w:pPr>
              <w:spacing w:after="0"/>
              <w:rPr>
                <w:sz w:val="20"/>
                <w:szCs w:val="20"/>
                <w:color w:val="auto"/>
              </w:rPr>
            </w:pPr>
            <w:r>
              <w:rPr>
                <w:rFonts w:ascii="Arial" w:cs="Arial" w:eastAsia="Arial" w:hAnsi="Arial"/>
                <w:sz w:val="9"/>
                <w:szCs w:val="9"/>
                <w:color w:val="auto"/>
              </w:rPr>
              <w:t>tax purposes)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360" w:type="dxa"/>
            <w:vAlign w:val="bottom"/>
          </w:tcPr>
          <w:p>
            <w:pPr>
              <w:spacing w:after="0"/>
              <w:rPr>
                <w:sz w:val="20"/>
                <w:szCs w:val="20"/>
                <w:color w:val="auto"/>
              </w:rPr>
            </w:pPr>
            <w:r>
              <w:rPr>
                <w:rFonts w:ascii="Arial" w:cs="Arial" w:eastAsia="Arial" w:hAnsi="Arial"/>
                <w:sz w:val="9"/>
                <w:szCs w:val="9"/>
                <w:b w:val="1"/>
                <w:bCs w:val="1"/>
                <w:color w:val="auto"/>
              </w:rPr>
              <w:t>Balance at March 31, 2026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221,932</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711</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4,213,856</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(892,890)</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361,476</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(7,287)</w:t>
            </w:r>
          </w:p>
        </w:tc>
        <w:tc>
          <w:tcPr>
            <w:tcW w:w="2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9"/>
                <w:szCs w:val="9"/>
                <w:b w:val="1"/>
                <w:bCs w:val="1"/>
                <w:color w:val="auto"/>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3,897,798</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80" w:type="dxa"/>
            <w:vAlign w:val="bottom"/>
            <w:gridSpan w:val="7"/>
          </w:tcPr>
          <w:p>
            <w:pPr>
              <w:spacing w:after="0"/>
              <w:rPr>
                <w:sz w:val="20"/>
                <w:szCs w:val="20"/>
                <w:color w:val="auto"/>
              </w:rPr>
            </w:pPr>
            <w:r>
              <w:rPr>
                <w:rFonts w:ascii="Arial" w:cs="Arial" w:eastAsia="Arial" w:hAnsi="Arial"/>
                <w:sz w:val="9"/>
                <w:szCs w:val="9"/>
                <w:b w:val="1"/>
                <w:bCs w:val="1"/>
                <w:color w:val="auto"/>
              </w:rPr>
              <w:t>RECONCILIATION OF SHARES AND UNITS OUTSTANDING, AND DILUTION COMPUTATION</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2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tcPr>
          <w:p>
            <w:pPr>
              <w:spacing w:after="0"/>
              <w:rPr>
                <w:sz w:val="19"/>
                <w:szCs w:val="1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9"/>
                <w:szCs w:val="19"/>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OP Units</w:t>
            </w:r>
          </w:p>
        </w:tc>
        <w:tc>
          <w:tcPr>
            <w:tcW w:w="60" w:type="dxa"/>
            <w:vAlign w:val="bottom"/>
          </w:tcPr>
          <w:p>
            <w:pPr>
              <w:spacing w:after="0"/>
              <w:rPr>
                <w:sz w:val="19"/>
                <w:szCs w:val="1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8"/>
              </w:rPr>
              <w:t>Stock-Based</w:t>
            </w:r>
          </w:p>
        </w:tc>
        <w:tc>
          <w:tcPr>
            <w:tcW w:w="80" w:type="dxa"/>
            <w:vAlign w:val="bottom"/>
          </w:tcPr>
          <w:p>
            <w:pPr>
              <w:spacing w:after="0"/>
              <w:rPr>
                <w:sz w:val="19"/>
                <w:szCs w:val="19"/>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Contingently</w:t>
            </w:r>
          </w:p>
        </w:tc>
        <w:tc>
          <w:tcPr>
            <w:tcW w:w="740" w:type="dxa"/>
            <w:vAlign w:val="bottom"/>
            <w:gridSpan w:val="2"/>
            <w:vMerge w:val="restart"/>
          </w:tcPr>
          <w:p>
            <w:pPr>
              <w:jc w:val="center"/>
              <w:spacing w:after="0"/>
              <w:rPr>
                <w:sz w:val="20"/>
                <w:szCs w:val="20"/>
                <w:color w:val="auto"/>
              </w:rPr>
            </w:pPr>
            <w:r>
              <w:rPr>
                <w:rFonts w:ascii="Arial" w:cs="Arial" w:eastAsia="Arial" w:hAnsi="Arial"/>
                <w:sz w:val="9"/>
                <w:szCs w:val="9"/>
                <w:b w:val="1"/>
                <w:bCs w:val="1"/>
                <w:color w:val="auto"/>
              </w:rPr>
              <w:t>Diluted Shares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rPr>
              <w:t>Compensation</w:t>
            </w: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rPr>
              <w:t>Issuable Shares</w:t>
            </w: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360" w:type="dxa"/>
            <w:vAlign w:val="bottom"/>
          </w:tcPr>
          <w:p>
            <w:pPr>
              <w:spacing w:after="0"/>
              <w:rPr>
                <w:sz w:val="20"/>
                <w:szCs w:val="20"/>
                <w:color w:val="auto"/>
              </w:rPr>
            </w:pPr>
            <w:r>
              <w:rPr>
                <w:rFonts w:ascii="Arial" w:cs="Arial" w:eastAsia="Arial" w:hAnsi="Arial"/>
                <w:sz w:val="9"/>
                <w:szCs w:val="9"/>
                <w:b w:val="1"/>
                <w:bCs w:val="1"/>
                <w:color w:val="auto"/>
              </w:rPr>
              <w:t>Share and Unit Count at</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9"/>
                <w:szCs w:val="9"/>
                <w:b w:val="1"/>
                <w:bCs w:val="1"/>
                <w:color w:val="auto"/>
              </w:rPr>
              <w:t>71,158,530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9"/>
                <w:szCs w:val="9"/>
                <w:b w:val="1"/>
                <w:bCs w:val="1"/>
                <w:color w:val="auto"/>
              </w:rPr>
              <w:t>4,877,891</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9"/>
                <w:szCs w:val="9"/>
                <w:b w:val="1"/>
                <w:bCs w:val="1"/>
                <w:color w:val="auto"/>
              </w:rPr>
              <w:t>76,036,421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360" w:type="dxa"/>
            <w:vAlign w:val="bottom"/>
          </w:tcPr>
          <w:p>
            <w:pPr>
              <w:spacing w:after="0"/>
              <w:rPr>
                <w:sz w:val="20"/>
                <w:szCs w:val="20"/>
                <w:color w:val="auto"/>
              </w:rPr>
            </w:pPr>
            <w:r>
              <w:rPr>
                <w:rFonts w:ascii="Arial" w:cs="Arial" w:eastAsia="Arial" w:hAnsi="Arial"/>
                <w:sz w:val="9"/>
                <w:szCs w:val="9"/>
                <w:b w:val="1"/>
                <w:bCs w:val="1"/>
                <w:color w:val="auto"/>
              </w:rPr>
              <w:t>December 31, 2025</w:t>
            </w: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r>
              <w:rPr>
                <w:rFonts w:ascii="Arial" w:cs="Arial" w:eastAsia="Arial" w:hAnsi="Arial"/>
                <w:sz w:val="9"/>
                <w:szCs w:val="9"/>
                <w:color w:val="auto"/>
              </w:rPr>
              <w:t>YTD activity</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(34,546)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9"/>
                <w:szCs w:val="9"/>
                <w:color w:val="auto"/>
              </w:rPr>
              <w:t>1,000,427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0"/>
                <w:szCs w:val="20"/>
                <w:color w:val="auto"/>
              </w:rPr>
            </w:pPr>
          </w:p>
        </w:tc>
        <w:tc>
          <w:tcPr>
            <w:tcW w:w="620" w:type="dxa"/>
            <w:vAlign w:val="bottom"/>
          </w:tcPr>
          <w:p>
            <w:pPr>
              <w:jc w:val="right"/>
              <w:ind w:right="14"/>
              <w:spacing w:after="0"/>
              <w:rPr>
                <w:sz w:val="20"/>
                <w:szCs w:val="20"/>
                <w:color w:val="auto"/>
              </w:rPr>
            </w:pPr>
            <w:r>
              <w:rPr>
                <w:rFonts w:ascii="Arial" w:cs="Arial" w:eastAsia="Arial" w:hAnsi="Arial"/>
                <w:sz w:val="9"/>
                <w:szCs w:val="9"/>
                <w:color w:val="auto"/>
              </w:rPr>
              <w:t>965,881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2360" w:type="dxa"/>
            <w:vAlign w:val="bottom"/>
          </w:tcPr>
          <w:p>
            <w:pPr>
              <w:spacing w:after="0"/>
              <w:rPr>
                <w:sz w:val="20"/>
                <w:szCs w:val="20"/>
                <w:color w:val="auto"/>
              </w:rPr>
            </w:pPr>
            <w:r>
              <w:rPr>
                <w:rFonts w:ascii="Arial" w:cs="Arial" w:eastAsia="Arial" w:hAnsi="Arial"/>
                <w:sz w:val="9"/>
                <w:szCs w:val="9"/>
                <w:b w:val="1"/>
                <w:bCs w:val="1"/>
                <w:color w:val="auto"/>
              </w:rPr>
              <w:t>Share and Unit Count at March 31, 2026</w:t>
            </w: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71,123,984</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5,878,318</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77,002,302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9"/>
                <w:szCs w:val="9"/>
                <w:b w:val="1"/>
                <w:bCs w:val="1"/>
                <w:color w:val="auto"/>
              </w:rPr>
              <w:t>Weighted Average Share and Unit Count at March</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9"/>
                <w:szCs w:val="9"/>
                <w:b w:val="1"/>
                <w:bCs w:val="1"/>
                <w:color w:val="auto"/>
              </w:rPr>
              <w:t>70,687,291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4"/>
              <w:spacing w:after="0"/>
              <w:rPr>
                <w:sz w:val="20"/>
                <w:szCs w:val="20"/>
                <w:color w:val="auto"/>
              </w:rPr>
            </w:pPr>
            <w:r>
              <w:rPr>
                <w:rFonts w:ascii="Arial" w:cs="Arial" w:eastAsia="Arial" w:hAnsi="Arial"/>
                <w:sz w:val="9"/>
                <w:szCs w:val="9"/>
                <w:b w:val="1"/>
                <w:bCs w:val="1"/>
                <w:color w:val="auto"/>
              </w:rPr>
              <w:t>4,979,989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15"/>
                <w:szCs w:val="15"/>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9"/>
                <w:szCs w:val="9"/>
                <w:b w:val="1"/>
                <w:bCs w:val="1"/>
                <w:color w:val="auto"/>
              </w:rPr>
              <w:t>75,667,280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360" w:type="dxa"/>
            <w:vAlign w:val="bottom"/>
          </w:tcPr>
          <w:p>
            <w:pPr>
              <w:spacing w:after="0"/>
              <w:rPr>
                <w:sz w:val="20"/>
                <w:szCs w:val="20"/>
                <w:color w:val="auto"/>
              </w:rPr>
            </w:pPr>
            <w:r>
              <w:rPr>
                <w:rFonts w:ascii="Arial" w:cs="Arial" w:eastAsia="Arial" w:hAnsi="Arial"/>
                <w:sz w:val="9"/>
                <w:szCs w:val="9"/>
                <w:b w:val="1"/>
                <w:bCs w:val="1"/>
                <w:color w:val="auto"/>
              </w:rPr>
              <w:t>31, 2026 - Basic</w:t>
            </w: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360" w:type="dxa"/>
            <w:vAlign w:val="bottom"/>
          </w:tcPr>
          <w:p>
            <w:pPr>
              <w:spacing w:after="0"/>
              <w:rPr>
                <w:sz w:val="20"/>
                <w:szCs w:val="20"/>
                <w:color w:val="auto"/>
              </w:rPr>
            </w:pPr>
            <w:r>
              <w:rPr>
                <w:rFonts w:ascii="Arial" w:cs="Arial" w:eastAsia="Arial" w:hAnsi="Arial"/>
                <w:sz w:val="9"/>
                <w:szCs w:val="9"/>
                <w:color w:val="auto"/>
              </w:rPr>
              <w:t>Dilution</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9"/>
                <w:szCs w:val="9"/>
                <w:color w:val="auto"/>
              </w:rPr>
              <w:t>727,403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9"/>
                <w:szCs w:val="9"/>
                <w:color w:val="auto"/>
              </w:rPr>
              <w:t>854,993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14"/>
              <w:spacing w:after="0"/>
              <w:rPr>
                <w:sz w:val="20"/>
                <w:szCs w:val="20"/>
                <w:color w:val="auto"/>
              </w:rPr>
            </w:pPr>
            <w:r>
              <w:rPr>
                <w:rFonts w:ascii="Arial" w:cs="Arial" w:eastAsia="Arial" w:hAnsi="Arial"/>
                <w:sz w:val="9"/>
                <w:szCs w:val="9"/>
                <w:color w:val="auto"/>
              </w:rPr>
              <w:t>1,582,396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2360" w:type="dxa"/>
            <w:vAlign w:val="bottom"/>
          </w:tcPr>
          <w:p>
            <w:pPr>
              <w:spacing w:after="0" w:line="96" w:lineRule="exact"/>
              <w:rPr>
                <w:sz w:val="20"/>
                <w:szCs w:val="20"/>
                <w:color w:val="auto"/>
              </w:rPr>
            </w:pPr>
            <w:r>
              <w:rPr>
                <w:rFonts w:ascii="Arial" w:cs="Arial" w:eastAsia="Arial" w:hAnsi="Arial"/>
                <w:sz w:val="9"/>
                <w:szCs w:val="9"/>
                <w:b w:val="1"/>
                <w:bCs w:val="1"/>
                <w:color w:val="auto"/>
              </w:rPr>
              <w:t>Weighted Average Share and Unit Count at March</w:t>
            </w: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9"/>
                <w:szCs w:val="9"/>
                <w:b w:val="1"/>
                <w:bCs w:val="1"/>
                <w:color w:val="auto"/>
              </w:rPr>
              <w:t>70,687,291</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9"/>
                <w:szCs w:val="9"/>
                <w:b w:val="1"/>
                <w:bCs w:val="1"/>
                <w:color w:val="auto"/>
              </w:rPr>
              <w:t>4,979,989</w:t>
            </w: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9"/>
                <w:szCs w:val="9"/>
                <w:b w:val="1"/>
                <w:bCs w:val="1"/>
                <w:color w:val="auto"/>
              </w:rPr>
              <w:t>727,403</w:t>
            </w: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9"/>
                <w:szCs w:val="9"/>
                <w:b w:val="1"/>
                <w:bCs w:val="1"/>
                <w:color w:val="auto"/>
              </w:rPr>
              <w:t>854,993</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9"/>
                <w:szCs w:val="9"/>
                <w:b w:val="1"/>
                <w:bCs w:val="1"/>
                <w:color w:val="auto"/>
              </w:rPr>
              <w:t>77,249,676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20"/>
                <w:szCs w:val="20"/>
                <w:color w:val="auto"/>
              </w:rPr>
            </w:pPr>
            <w:r>
              <w:rPr>
                <w:rFonts w:ascii="Arial" w:cs="Arial" w:eastAsia="Arial" w:hAnsi="Arial"/>
                <w:sz w:val="9"/>
                <w:szCs w:val="9"/>
                <w:b w:val="1"/>
                <w:bCs w:val="1"/>
                <w:color w:val="auto"/>
              </w:rPr>
              <w:t>31, 2026 - Diluted</w:t>
            </w: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360" w:type="dxa"/>
            <w:vAlign w:val="bottom"/>
          </w:tcPr>
          <w:p>
            <w:pPr>
              <w:spacing w:after="0"/>
              <w:rPr>
                <w:sz w:val="20"/>
                <w:szCs w:val="20"/>
                <w:color w:val="auto"/>
              </w:rPr>
            </w:pPr>
            <w:r>
              <w:rPr>
                <w:rFonts w:ascii="Arial" w:cs="Arial" w:eastAsia="Arial" w:hAnsi="Arial"/>
                <w:sz w:val="9"/>
                <w:szCs w:val="9"/>
                <w:color w:val="auto"/>
              </w:rPr>
              <w:t>Supplemental Information</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ind w:right="134"/>
              <w:spacing w:after="0"/>
              <w:rPr>
                <w:sz w:val="20"/>
                <w:szCs w:val="20"/>
                <w:color w:val="auto"/>
              </w:rPr>
            </w:pPr>
            <w:r>
              <w:rPr>
                <w:rFonts w:ascii="Arial" w:cs="Arial" w:eastAsia="Arial" w:hAnsi="Arial"/>
                <w:sz w:val="9"/>
                <w:szCs w:val="9"/>
                <w:color w:val="auto"/>
              </w:rPr>
              <w:t>16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9"/>
                <w:szCs w:val="9"/>
                <w:color w:val="auto"/>
              </w:rPr>
              <w:t>First Quarter 2026</w:t>
            </w:r>
          </w:p>
        </w:tc>
        <w:tc>
          <w:tcPr>
            <w:tcW w:w="0" w:type="dxa"/>
            <w:vAlign w:val="bottom"/>
          </w:tcPr>
          <w:p>
            <w:pPr>
              <w:spacing w:after="0"/>
              <w:rPr>
                <w:sz w:val="1"/>
                <w:szCs w:val="1"/>
                <w:color w:val="auto"/>
              </w:rPr>
            </w:pPr>
          </w:p>
        </w:tc>
      </w:tr>
    </w:tbl>
    <w:p>
      <w:pPr>
        <w:sectPr>
          <w:pgSz w:w="11900" w:h="16838" w:orient="portrait"/>
          <w:cols w:equalWidth="0" w:num="1">
            <w:col w:w="9080"/>
          </w:cols>
          <w:pgMar w:left="1400" w:top="304" w:right="141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JOINT VENTURE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Balance Sheet for Unconsolidated Joint Ventures</w:t>
      </w:r>
    </w:p>
    <w:p>
      <w:pPr>
        <w:spacing w:after="0" w:line="227"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3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As of</w:t>
            </w: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7"/>
          </w:tcPr>
          <w:p>
            <w:pPr>
              <w:ind w:left="220"/>
              <w:spacing w:after="0"/>
              <w:rPr>
                <w:sz w:val="20"/>
                <w:szCs w:val="20"/>
                <w:color w:val="auto"/>
              </w:rPr>
            </w:pPr>
            <w:r>
              <w:rPr>
                <w:rFonts w:ascii="Arial" w:cs="Arial" w:eastAsia="Arial" w:hAnsi="Arial"/>
                <w:sz w:val="10"/>
                <w:szCs w:val="10"/>
                <w:b w:val="1"/>
                <w:bCs w:val="1"/>
                <w:color w:val="auto"/>
              </w:rPr>
              <w:t>March 31, 2026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7"/>
          </w:tcPr>
          <w:p>
            <w:pPr>
              <w:ind w:left="120"/>
              <w:spacing w:after="0"/>
              <w:rPr>
                <w:sz w:val="20"/>
                <w:szCs w:val="20"/>
                <w:color w:val="auto"/>
              </w:rPr>
            </w:pPr>
            <w:r>
              <w:rPr>
                <w:rFonts w:ascii="Arial" w:cs="Arial" w:eastAsia="Arial" w:hAnsi="Arial"/>
                <w:sz w:val="10"/>
                <w:szCs w:val="10"/>
                <w:b w:val="1"/>
                <w:bCs w:val="1"/>
                <w:color w:val="auto"/>
              </w:rPr>
              <w:t>December 31, 2025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7"/>
          </w:tcPr>
          <w:p>
            <w:pPr>
              <w:jc w:val="right"/>
              <w:ind w:right="420"/>
              <w:spacing w:after="0"/>
              <w:rPr>
                <w:sz w:val="20"/>
                <w:szCs w:val="20"/>
                <w:color w:val="auto"/>
              </w:rPr>
            </w:pPr>
            <w:r>
              <w:rPr>
                <w:rFonts w:ascii="Arial" w:cs="Arial" w:eastAsia="Arial" w:hAnsi="Arial"/>
                <w:sz w:val="10"/>
                <w:szCs w:val="10"/>
                <w:b w:val="1"/>
                <w:bCs w:val="1"/>
                <w:color w:val="auto"/>
              </w:rPr>
              <w:t>September 30, 2025</w:t>
            </w:r>
          </w:p>
        </w:tc>
      </w:tr>
      <w:tr>
        <w:trPr>
          <w:trHeight w:val="190"/>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4"/>
          </w:tcPr>
          <w:p>
            <w:pPr>
              <w:ind w:left="140"/>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rPr>
              <w:t>SLG Share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rPr>
              <w:t>SLG Share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SLG Share</w:t>
            </w:r>
          </w:p>
        </w:tc>
      </w:tr>
      <w:tr>
        <w:trPr>
          <w:trHeight w:val="146"/>
        </w:trPr>
        <w:tc>
          <w:tcPr>
            <w:tcW w:w="3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Assets</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20"/>
        </w:trPr>
        <w:tc>
          <w:tcPr>
            <w:tcW w:w="3380" w:type="dxa"/>
            <w:vAlign w:val="bottom"/>
          </w:tcPr>
          <w:p>
            <w:pPr>
              <w:spacing w:after="0"/>
              <w:rPr>
                <w:sz w:val="20"/>
                <w:szCs w:val="20"/>
                <w:color w:val="auto"/>
              </w:rPr>
            </w:pPr>
            <w:r>
              <w:rPr>
                <w:rFonts w:ascii="Arial" w:cs="Arial" w:eastAsia="Arial" w:hAnsi="Arial"/>
                <w:sz w:val="10"/>
                <w:szCs w:val="10"/>
                <w:color w:val="auto"/>
              </w:rPr>
              <w:t>Commercial real estate properties, at cost: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8"/>
        </w:trPr>
        <w:tc>
          <w:tcPr>
            <w:tcW w:w="3380" w:type="dxa"/>
            <w:vAlign w:val="bottom"/>
          </w:tcPr>
          <w:p>
            <w:pPr>
              <w:ind w:left="160"/>
              <w:spacing w:after="0"/>
              <w:rPr>
                <w:sz w:val="20"/>
                <w:szCs w:val="20"/>
                <w:color w:val="auto"/>
              </w:rPr>
            </w:pPr>
            <w:r>
              <w:rPr>
                <w:rFonts w:ascii="Arial" w:cs="Arial" w:eastAsia="Arial" w:hAnsi="Arial"/>
                <w:sz w:val="10"/>
                <w:szCs w:val="10"/>
                <w:color w:val="auto"/>
              </w:rPr>
              <w:t>Land and land interests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4,302,573</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2,057,636</w:t>
            </w:r>
          </w:p>
        </w:tc>
        <w:tc>
          <w:tcPr>
            <w:tcW w:w="22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4,302,573</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2,057,636</w:t>
            </w:r>
          </w:p>
        </w:tc>
        <w:tc>
          <w:tcPr>
            <w:tcW w:w="20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4,137,556</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1,978,678</w:t>
            </w:r>
          </w:p>
        </w:tc>
      </w:tr>
      <w:tr>
        <w:trPr>
          <w:trHeight w:val="138"/>
        </w:trPr>
        <w:tc>
          <w:tcPr>
            <w:tcW w:w="3380" w:type="dxa"/>
            <w:vAlign w:val="bottom"/>
          </w:tcPr>
          <w:p>
            <w:pPr>
              <w:ind w:left="160"/>
              <w:spacing w:after="0"/>
              <w:rPr>
                <w:sz w:val="20"/>
                <w:szCs w:val="20"/>
                <w:color w:val="auto"/>
              </w:rPr>
            </w:pPr>
            <w:r>
              <w:rPr>
                <w:rFonts w:ascii="Arial" w:cs="Arial" w:eastAsia="Arial" w:hAnsi="Arial"/>
                <w:sz w:val="10"/>
                <w:szCs w:val="10"/>
                <w:color w:val="auto"/>
              </w:rPr>
              <w:t>Building and improvements</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13,597,440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6,408,880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13,507,121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6,373,604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13,535,671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6,423,255</w:t>
            </w:r>
          </w:p>
        </w:tc>
      </w:tr>
      <w:tr>
        <w:trPr>
          <w:trHeight w:val="142"/>
        </w:trPr>
        <w:tc>
          <w:tcPr>
            <w:tcW w:w="3380" w:type="dxa"/>
            <w:vAlign w:val="bottom"/>
          </w:tcPr>
          <w:p>
            <w:pPr>
              <w:ind w:left="160"/>
              <w:spacing w:after="0"/>
              <w:rPr>
                <w:sz w:val="20"/>
                <w:szCs w:val="20"/>
                <w:color w:val="auto"/>
              </w:rPr>
            </w:pPr>
            <w:r>
              <w:rPr>
                <w:rFonts w:ascii="Arial" w:cs="Arial" w:eastAsia="Arial" w:hAnsi="Arial"/>
                <w:sz w:val="10"/>
                <w:szCs w:val="10"/>
                <w:color w:val="auto"/>
              </w:rPr>
              <w:t>Building leasehold and improvements</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286,233</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192,372</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283,579</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color w:val="auto"/>
              </w:rPr>
              <w:t>189,850</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281,413</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187,793</w:t>
            </w:r>
          </w:p>
        </w:tc>
      </w:tr>
      <w:tr>
        <w:trPr>
          <w:trHeight w:val="123"/>
        </w:trPr>
        <w:tc>
          <w:tcPr>
            <w:tcW w:w="3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18,186,246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8,658,888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18,093,273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8,621,090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17,954,640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8,589,726</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Less: accumulated depreciation</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color w:val="auto"/>
                <w:w w:val="97"/>
              </w:rPr>
              <w:t>(2,757,938)</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(1,404,182)</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(2,659,031)</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(1,355,798)</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color w:val="auto"/>
              </w:rPr>
              <w:t>(2,702,777)</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color w:val="auto"/>
              </w:rPr>
              <w:t>(1,394,565)</w:t>
            </w:r>
          </w:p>
        </w:tc>
      </w:tr>
      <w:tr>
        <w:trPr>
          <w:trHeight w:val="128"/>
        </w:trPr>
        <w:tc>
          <w:tcPr>
            <w:tcW w:w="3380" w:type="dxa"/>
            <w:vAlign w:val="bottom"/>
          </w:tcPr>
          <w:p>
            <w:pPr>
              <w:spacing w:after="0"/>
              <w:rPr>
                <w:sz w:val="20"/>
                <w:szCs w:val="20"/>
                <w:color w:val="auto"/>
              </w:rPr>
            </w:pPr>
            <w:r>
              <w:rPr>
                <w:rFonts w:ascii="Arial" w:cs="Arial" w:eastAsia="Arial" w:hAnsi="Arial"/>
                <w:sz w:val="10"/>
                <w:szCs w:val="10"/>
                <w:color w:val="auto"/>
              </w:rPr>
              <w:t>Net real estate</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15,428,308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7,254,706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15,434,242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7,265,292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15,251,863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7,195,161</w:t>
            </w:r>
          </w:p>
        </w:tc>
      </w:tr>
      <w:tr>
        <w:trPr>
          <w:trHeight w:val="216"/>
        </w:trPr>
        <w:tc>
          <w:tcPr>
            <w:tcW w:w="3380" w:type="dxa"/>
            <w:vAlign w:val="bottom"/>
          </w:tcPr>
          <w:p>
            <w:pPr>
              <w:spacing w:after="0"/>
              <w:rPr>
                <w:sz w:val="20"/>
                <w:szCs w:val="20"/>
                <w:color w:val="auto"/>
              </w:rPr>
            </w:pPr>
            <w:r>
              <w:rPr>
                <w:rFonts w:ascii="Arial" w:cs="Arial" w:eastAsia="Arial" w:hAnsi="Arial"/>
                <w:sz w:val="10"/>
                <w:szCs w:val="10"/>
                <w:color w:val="auto"/>
              </w:rPr>
              <w:t>Other real estate investments: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38"/>
        </w:trPr>
        <w:tc>
          <w:tcPr>
            <w:tcW w:w="3380" w:type="dxa"/>
            <w:vAlign w:val="bottom"/>
          </w:tcPr>
          <w:p>
            <w:pPr>
              <w:ind w:left="160"/>
              <w:spacing w:after="0"/>
              <w:rPr>
                <w:sz w:val="20"/>
                <w:szCs w:val="20"/>
                <w:color w:val="auto"/>
              </w:rPr>
            </w:pPr>
            <w:r>
              <w:rPr>
                <w:rFonts w:ascii="Arial" w:cs="Arial" w:eastAsia="Arial" w:hAnsi="Arial"/>
                <w:sz w:val="10"/>
                <w:szCs w:val="10"/>
                <w:color w:val="auto"/>
              </w:rPr>
              <w:t>Debt and preferred equity investments, net</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256,444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12,824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247,964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12,400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239,441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119,718</w:t>
            </w:r>
          </w:p>
        </w:tc>
      </w:tr>
      <w:tr>
        <w:trPr>
          <w:trHeight w:val="256"/>
        </w:trPr>
        <w:tc>
          <w:tcPr>
            <w:tcW w:w="3380" w:type="dxa"/>
            <w:vAlign w:val="bottom"/>
          </w:tcPr>
          <w:p>
            <w:pPr>
              <w:spacing w:after="0"/>
              <w:rPr>
                <w:sz w:val="20"/>
                <w:szCs w:val="20"/>
                <w:color w:val="auto"/>
              </w:rPr>
            </w:pPr>
            <w:r>
              <w:rPr>
                <w:rFonts w:ascii="Arial" w:cs="Arial" w:eastAsia="Arial" w:hAnsi="Arial"/>
                <w:sz w:val="10"/>
                <w:szCs w:val="10"/>
                <w:color w:val="auto"/>
              </w:rPr>
              <w:t>Cash and cash equivalents</w:t>
            </w:r>
          </w:p>
        </w:tc>
        <w:tc>
          <w:tcPr>
            <w:tcW w:w="160" w:type="dxa"/>
            <w:vAlign w:val="bottom"/>
          </w:tcPr>
          <w:p>
            <w:pPr>
              <w:spacing w:after="0"/>
              <w:rPr>
                <w:sz w:val="22"/>
                <w:szCs w:val="2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274,721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111,394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295,847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124,021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246,097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94,571</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Restricted cash</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502,645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223,541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351,566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182,893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355,651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185,257</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Tenant and other receivables</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78,298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48,917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58,588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36,256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39,889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26,184</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Deferred rents receivable</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734,859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365,624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712,535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356,519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695,615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351,082</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Deferred costs, net</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415,094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200,549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402,783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193,650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394,218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191,250</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Right-of-use assets - financing leases</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739,301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516,884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741,693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518,403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744,203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520,033</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Right-of-use assets - operating leases</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80,803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42,490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82,395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43,436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83,979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44,378</w:t>
            </w:r>
          </w:p>
        </w:tc>
      </w:tr>
      <w:tr>
        <w:trPr>
          <w:trHeight w:val="142"/>
        </w:trPr>
        <w:tc>
          <w:tcPr>
            <w:tcW w:w="3380" w:type="dxa"/>
            <w:vAlign w:val="bottom"/>
          </w:tcPr>
          <w:p>
            <w:pPr>
              <w:spacing w:after="0"/>
              <w:rPr>
                <w:sz w:val="20"/>
                <w:szCs w:val="20"/>
                <w:color w:val="auto"/>
              </w:rPr>
            </w:pPr>
            <w:r>
              <w:rPr>
                <w:rFonts w:ascii="Arial" w:cs="Arial" w:eastAsia="Arial" w:hAnsi="Arial"/>
                <w:sz w:val="10"/>
                <w:szCs w:val="10"/>
                <w:color w:val="auto"/>
              </w:rPr>
              <w:t>Other assets</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1,221,296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568,209</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1,282,576</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color w:val="auto"/>
              </w:rPr>
              <w:t>594,434</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1,217,177</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561,239</w:t>
            </w:r>
          </w:p>
        </w:tc>
      </w:tr>
      <w:tr>
        <w:trPr>
          <w:trHeight w:val="160"/>
        </w:trPr>
        <w:tc>
          <w:tcPr>
            <w:tcW w:w="3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Assets</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19,731,769</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9,345,138</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19,610,189</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9,327,304</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19,268,133</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9,288,873</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55"/>
        </w:trPr>
        <w:tc>
          <w:tcPr>
            <w:tcW w:w="3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Liabilities and Equity</w:t>
            </w: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r>
      <w:tr>
        <w:trPr>
          <w:trHeight w:val="121"/>
        </w:trPr>
        <w:tc>
          <w:tcPr>
            <w:tcW w:w="3380" w:type="dxa"/>
            <w:vAlign w:val="bottom"/>
          </w:tcPr>
          <w:p>
            <w:pPr>
              <w:spacing w:after="0"/>
              <w:rPr>
                <w:sz w:val="20"/>
                <w:szCs w:val="20"/>
                <w:color w:val="auto"/>
              </w:rPr>
            </w:pPr>
            <w:r>
              <w:rPr>
                <w:rFonts w:ascii="Arial" w:cs="Arial" w:eastAsia="Arial" w:hAnsi="Arial"/>
                <w:sz w:val="10"/>
                <w:szCs w:val="10"/>
                <w:color w:val="auto"/>
              </w:rPr>
              <w:t>Mortgage and other loans payable, net of deferred financing costs of</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12,810,512</w:t>
            </w:r>
          </w:p>
        </w:tc>
        <w:tc>
          <w:tcPr>
            <w:tcW w:w="100" w:type="dxa"/>
            <w:vAlign w:val="bottom"/>
          </w:tcPr>
          <w:p>
            <w:pPr>
              <w:spacing w:after="0"/>
              <w:rPr>
                <w:sz w:val="10"/>
                <w:szCs w:val="10"/>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5,944,078</w:t>
            </w:r>
          </w:p>
        </w:tc>
        <w:tc>
          <w:tcPr>
            <w:tcW w:w="220" w:type="dxa"/>
            <w:vAlign w:val="bottom"/>
          </w:tcPr>
          <w:p>
            <w:pPr>
              <w:spacing w:after="0"/>
              <w:rPr>
                <w:sz w:val="10"/>
                <w:szCs w:val="10"/>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12,378,150</w:t>
            </w:r>
          </w:p>
        </w:tc>
        <w:tc>
          <w:tcPr>
            <w:tcW w:w="80" w:type="dxa"/>
            <w:vAlign w:val="bottom"/>
          </w:tcPr>
          <w:p>
            <w:pPr>
              <w:spacing w:after="0"/>
              <w:rPr>
                <w:sz w:val="10"/>
                <w:szCs w:val="10"/>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5,846,722</w:t>
            </w:r>
          </w:p>
        </w:tc>
        <w:tc>
          <w:tcPr>
            <w:tcW w:w="200" w:type="dxa"/>
            <w:vAlign w:val="bottom"/>
          </w:tcPr>
          <w:p>
            <w:pPr>
              <w:spacing w:after="0"/>
              <w:rPr>
                <w:sz w:val="10"/>
                <w:szCs w:val="10"/>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12,145,070</w:t>
            </w:r>
          </w:p>
        </w:tc>
        <w:tc>
          <w:tcPr>
            <w:tcW w:w="1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5,753,383</w:t>
            </w:r>
          </w:p>
        </w:tc>
      </w:tr>
      <w:tr>
        <w:trPr>
          <w:trHeight w:val="127"/>
        </w:trPr>
        <w:tc>
          <w:tcPr>
            <w:tcW w:w="3380" w:type="dxa"/>
            <w:vAlign w:val="bottom"/>
          </w:tcPr>
          <w:p>
            <w:pPr>
              <w:spacing w:after="0"/>
              <w:rPr>
                <w:sz w:val="20"/>
                <w:szCs w:val="20"/>
                <w:color w:val="auto"/>
              </w:rPr>
            </w:pPr>
            <w:r>
              <w:rPr>
                <w:rFonts w:ascii="Arial" w:cs="Arial" w:eastAsia="Arial" w:hAnsi="Arial"/>
                <w:sz w:val="10"/>
                <w:szCs w:val="10"/>
                <w:color w:val="auto"/>
              </w:rPr>
              <w:t>$110,972 at 3/31/2026, of which $53,333 is SLG share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3380" w:type="dxa"/>
            <w:vAlign w:val="bottom"/>
          </w:tcPr>
          <w:p>
            <w:pPr>
              <w:spacing w:after="0"/>
              <w:rPr>
                <w:sz w:val="20"/>
                <w:szCs w:val="20"/>
                <w:color w:val="auto"/>
              </w:rPr>
            </w:pPr>
            <w:r>
              <w:rPr>
                <w:rFonts w:ascii="Arial" w:cs="Arial" w:eastAsia="Arial" w:hAnsi="Arial"/>
                <w:sz w:val="10"/>
                <w:szCs w:val="10"/>
                <w:color w:val="auto"/>
              </w:rPr>
              <w:t>Accrued interest payable</w:t>
            </w:r>
          </w:p>
        </w:tc>
        <w:tc>
          <w:tcPr>
            <w:tcW w:w="16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77,149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29,667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62,978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24,356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57,281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22,642</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Accounts payable and accrued expenses</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273,811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156,662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283,909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157,467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246,095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131,572</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Deferred revenue</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841,807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380,817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852,035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383,414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879,137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398,071</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Lease liability - financing leases</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812,663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554,571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812,881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555,399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813,101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556,224</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Lease liability - operating leases</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95,145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48,681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96,107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49,233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97,060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49,779</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Security deposits</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47,017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20,127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48,190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20,383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45,429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19,903</w:t>
            </w:r>
          </w:p>
        </w:tc>
      </w:tr>
      <w:tr>
        <w:trPr>
          <w:trHeight w:val="138"/>
        </w:trPr>
        <w:tc>
          <w:tcPr>
            <w:tcW w:w="3380" w:type="dxa"/>
            <w:vAlign w:val="bottom"/>
          </w:tcPr>
          <w:p>
            <w:pPr>
              <w:spacing w:after="0"/>
              <w:rPr>
                <w:sz w:val="20"/>
                <w:szCs w:val="20"/>
                <w:color w:val="auto"/>
              </w:rPr>
            </w:pPr>
            <w:r>
              <w:rPr>
                <w:rFonts w:ascii="Arial" w:cs="Arial" w:eastAsia="Arial" w:hAnsi="Arial"/>
                <w:sz w:val="10"/>
                <w:szCs w:val="10"/>
                <w:color w:val="auto"/>
              </w:rPr>
              <w:t>Other liabilities</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73,390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37,069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89,722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45,366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0"/>
                <w:szCs w:val="10"/>
                <w:color w:val="auto"/>
              </w:rPr>
              <w:t>85,956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44,399</w:t>
            </w:r>
          </w:p>
        </w:tc>
      </w:tr>
      <w:tr>
        <w:trPr>
          <w:trHeight w:val="142"/>
        </w:trPr>
        <w:tc>
          <w:tcPr>
            <w:tcW w:w="3380" w:type="dxa"/>
            <w:vAlign w:val="bottom"/>
          </w:tcPr>
          <w:p>
            <w:pPr>
              <w:spacing w:after="0"/>
              <w:rPr>
                <w:sz w:val="20"/>
                <w:szCs w:val="20"/>
                <w:color w:val="auto"/>
              </w:rPr>
            </w:pPr>
            <w:r>
              <w:rPr>
                <w:rFonts w:ascii="Arial" w:cs="Arial" w:eastAsia="Arial" w:hAnsi="Arial"/>
                <w:sz w:val="10"/>
                <w:szCs w:val="10"/>
                <w:color w:val="auto"/>
              </w:rPr>
              <w:t>Equity</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4,700,275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2,173,466</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4,986,217</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color w:val="auto"/>
              </w:rPr>
              <w:t>2,244,964</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4,899,004</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2,312,900</w:t>
            </w:r>
          </w:p>
        </w:tc>
      </w:tr>
      <w:tr>
        <w:trPr>
          <w:trHeight w:val="160"/>
        </w:trPr>
        <w:tc>
          <w:tcPr>
            <w:tcW w:w="3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Total Liabilities and Equity</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19,731,769</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9,345,138</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19,610,189</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9,327,304</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19,268,133</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9,288,873</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442"/>
        </w:trPr>
        <w:tc>
          <w:tcPr>
            <w:tcW w:w="3380" w:type="dxa"/>
            <w:vAlign w:val="bottom"/>
          </w:tcPr>
          <w:p>
            <w:pPr>
              <w:spacing w:after="0"/>
              <w:rPr>
                <w:sz w:val="20"/>
                <w:szCs w:val="20"/>
                <w:color w:val="auto"/>
              </w:rPr>
            </w:pPr>
            <w:r>
              <w:rPr>
                <w:rFonts w:ascii="Arial" w:cs="Arial" w:eastAsia="Arial" w:hAnsi="Arial"/>
                <w:sz w:val="9"/>
                <w:szCs w:val="9"/>
                <w:color w:val="auto"/>
              </w:rPr>
              <w:t>Supplemental Information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9"/>
                <w:szCs w:val="9"/>
                <w:color w:val="auto"/>
              </w:rPr>
              <w:t>17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9"/>
                <w:szCs w:val="9"/>
                <w:color w:val="auto"/>
              </w:rPr>
              <w:t>First Quarter 2026</w:t>
            </w:r>
          </w:p>
        </w:tc>
      </w:tr>
    </w:tbl>
    <w:p>
      <w:pPr>
        <w:sectPr>
          <w:pgSz w:w="11900" w:h="16838" w:orient="portrait"/>
          <w:cols w:equalWidth="0" w:num="1">
            <w:col w:w="9080"/>
          </w:cols>
          <w:pgMar w:left="1400" w:top="297" w:right="141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JOINT VENTURE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-117475</wp:posOffset>
            </wp:positionV>
            <wp:extent cx="577088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-17780</wp:posOffset>
            </wp:positionV>
            <wp:extent cx="1136650" cy="324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ind w:right="5380"/>
        <w:spacing w:after="0" w:line="216" w:lineRule="auto"/>
        <w:rPr>
          <w:sz w:val="20"/>
          <w:szCs w:val="20"/>
          <w:color w:val="auto"/>
        </w:rPr>
      </w:pPr>
      <w:r>
        <w:rPr>
          <w:rFonts w:ascii="Arial" w:cs="Arial" w:eastAsia="Arial" w:hAnsi="Arial"/>
          <w:sz w:val="13"/>
          <w:szCs w:val="13"/>
          <w:b w:val="1"/>
          <w:bCs w:val="1"/>
          <w:color w:val="auto"/>
        </w:rPr>
        <w:t>Statement of Operations for Unconsolidated Joint Ventures 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130810</wp:posOffset>
            </wp:positionV>
            <wp:extent cx="577088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106045</wp:posOffset>
            </wp:positionV>
            <wp:extent cx="577088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10"/>
                <w:szCs w:val="10"/>
                <w:b w:val="1"/>
                <w:bCs w:val="1"/>
                <w:color w:val="auto"/>
                <w:w w:val="97"/>
              </w:rPr>
              <w:t>Three Months Ended</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8"/>
          </w:tcPr>
          <w:p>
            <w:pPr>
              <w:ind w:left="220"/>
              <w:spacing w:after="0"/>
              <w:rPr>
                <w:sz w:val="20"/>
                <w:szCs w:val="20"/>
                <w:color w:val="auto"/>
              </w:rPr>
            </w:pPr>
            <w:r>
              <w:rPr>
                <w:rFonts w:ascii="Arial" w:cs="Arial" w:eastAsia="Arial" w:hAnsi="Arial"/>
                <w:sz w:val="10"/>
                <w:szCs w:val="10"/>
                <w:b w:val="1"/>
                <w:bCs w:val="1"/>
                <w:color w:val="auto"/>
              </w:rPr>
              <w:t>March 31, 2026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8"/>
          </w:tcPr>
          <w:p>
            <w:pPr>
              <w:jc w:val="center"/>
              <w:ind w:right="500"/>
              <w:spacing w:after="0"/>
              <w:rPr>
                <w:sz w:val="20"/>
                <w:szCs w:val="20"/>
                <w:color w:val="auto"/>
              </w:rPr>
            </w:pPr>
            <w:r>
              <w:rPr>
                <w:rFonts w:ascii="Arial" w:cs="Arial" w:eastAsia="Arial" w:hAnsi="Arial"/>
                <w:sz w:val="10"/>
                <w:szCs w:val="10"/>
                <w:b w:val="1"/>
                <w:bCs w:val="1"/>
                <w:color w:val="auto"/>
                <w:w w:val="97"/>
              </w:rPr>
              <w:t>December 31, 2025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6"/>
          </w:tcPr>
          <w:p>
            <w:pPr>
              <w:jc w:val="right"/>
              <w:ind w:right="471"/>
              <w:spacing w:after="0"/>
              <w:rPr>
                <w:sz w:val="20"/>
                <w:szCs w:val="20"/>
                <w:color w:val="auto"/>
              </w:rPr>
            </w:pPr>
            <w:r>
              <w:rPr>
                <w:rFonts w:ascii="Arial" w:cs="Arial" w:eastAsia="Arial" w:hAnsi="Arial"/>
                <w:sz w:val="10"/>
                <w:szCs w:val="10"/>
                <w:b w:val="1"/>
                <w:bCs w:val="1"/>
                <w:color w:val="auto"/>
              </w:rPr>
              <w:t>March 31, 2025</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4"/>
          </w:tcPr>
          <w:p>
            <w:pPr>
              <w:ind w:left="12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6"/>
                <w:szCs w:val="16"/>
                <w:color w:val="auto"/>
              </w:rPr>
            </w:pPr>
          </w:p>
        </w:tc>
        <w:tc>
          <w:tcPr>
            <w:tcW w:w="940" w:type="dxa"/>
            <w:vAlign w:val="bottom"/>
            <w:gridSpan w:val="4"/>
          </w:tcPr>
          <w:p>
            <w:pPr>
              <w:ind w:left="60"/>
              <w:spacing w:after="0"/>
              <w:rPr>
                <w:sz w:val="20"/>
                <w:szCs w:val="20"/>
                <w:color w:val="auto"/>
              </w:rPr>
            </w:pPr>
            <w:r>
              <w:rPr>
                <w:rFonts w:ascii="Arial" w:cs="Arial" w:eastAsia="Arial" w:hAnsi="Arial"/>
                <w:sz w:val="10"/>
                <w:szCs w:val="10"/>
                <w:b w:val="1"/>
                <w:bCs w:val="1"/>
                <w:color w:val="auto"/>
              </w:rPr>
              <w:t>SLG Share</w:t>
            </w:r>
          </w:p>
        </w:tc>
        <w:tc>
          <w:tcPr>
            <w:tcW w:w="180" w:type="dxa"/>
            <w:vAlign w:val="bottom"/>
          </w:tcPr>
          <w:p>
            <w:pPr>
              <w:spacing w:after="0"/>
              <w:rPr>
                <w:sz w:val="16"/>
                <w:szCs w:val="16"/>
                <w:color w:val="auto"/>
              </w:rPr>
            </w:pPr>
          </w:p>
        </w:tc>
        <w:tc>
          <w:tcPr>
            <w:tcW w:w="740" w:type="dxa"/>
            <w:vAlign w:val="bottom"/>
            <w:gridSpan w:val="4"/>
          </w:tcPr>
          <w:p>
            <w:pPr>
              <w:ind w:left="12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6"/>
                <w:szCs w:val="16"/>
                <w:color w:val="auto"/>
              </w:rPr>
            </w:pPr>
          </w:p>
        </w:tc>
        <w:tc>
          <w:tcPr>
            <w:tcW w:w="920" w:type="dxa"/>
            <w:vAlign w:val="bottom"/>
            <w:gridSpan w:val="4"/>
          </w:tcPr>
          <w:p>
            <w:pPr>
              <w:ind w:left="40"/>
              <w:spacing w:after="0"/>
              <w:rPr>
                <w:sz w:val="20"/>
                <w:szCs w:val="20"/>
                <w:color w:val="auto"/>
              </w:rPr>
            </w:pPr>
            <w:r>
              <w:rPr>
                <w:rFonts w:ascii="Arial" w:cs="Arial" w:eastAsia="Arial" w:hAnsi="Arial"/>
                <w:sz w:val="10"/>
                <w:szCs w:val="10"/>
                <w:b w:val="1"/>
                <w:bCs w:val="1"/>
                <w:color w:val="auto"/>
              </w:rPr>
              <w:t>SLG Share</w:t>
            </w:r>
          </w:p>
        </w:tc>
        <w:tc>
          <w:tcPr>
            <w:tcW w:w="180" w:type="dxa"/>
            <w:vAlign w:val="bottom"/>
          </w:tcPr>
          <w:p>
            <w:pPr>
              <w:spacing w:after="0"/>
              <w:rPr>
                <w:sz w:val="16"/>
                <w:szCs w:val="16"/>
                <w:color w:val="auto"/>
              </w:rPr>
            </w:pPr>
          </w:p>
        </w:tc>
        <w:tc>
          <w:tcPr>
            <w:tcW w:w="740" w:type="dxa"/>
            <w:vAlign w:val="bottom"/>
            <w:gridSpan w:val="4"/>
          </w:tcPr>
          <w:p>
            <w:pPr>
              <w:ind w:left="120"/>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6"/>
                <w:szCs w:val="16"/>
                <w:color w:val="auto"/>
              </w:rPr>
            </w:pPr>
          </w:p>
        </w:tc>
        <w:tc>
          <w:tcPr>
            <w:tcW w:w="660" w:type="dxa"/>
            <w:vAlign w:val="bottom"/>
            <w:gridSpan w:val="2"/>
          </w:tcPr>
          <w:p>
            <w:pPr>
              <w:jc w:val="right"/>
              <w:ind w:right="111"/>
              <w:spacing w:after="0"/>
              <w:rPr>
                <w:sz w:val="20"/>
                <w:szCs w:val="20"/>
                <w:color w:val="auto"/>
              </w:rPr>
            </w:pPr>
            <w:r>
              <w:rPr>
                <w:rFonts w:ascii="Arial" w:cs="Arial" w:eastAsia="Arial" w:hAnsi="Arial"/>
                <w:sz w:val="10"/>
                <w:szCs w:val="10"/>
                <w:b w:val="1"/>
                <w:bCs w:val="1"/>
                <w:color w:val="auto"/>
                <w:w w:val="93"/>
              </w:rPr>
              <w:t>SLG Share</w:t>
            </w:r>
          </w:p>
        </w:tc>
        <w:tc>
          <w:tcPr>
            <w:tcW w:w="0" w:type="dxa"/>
            <w:vAlign w:val="bottom"/>
          </w:tcPr>
          <w:p>
            <w:pPr>
              <w:spacing w:after="0"/>
              <w:rPr>
                <w:sz w:val="1"/>
                <w:szCs w:val="1"/>
                <w:color w:val="auto"/>
              </w:rPr>
            </w:pPr>
          </w:p>
        </w:tc>
      </w:tr>
      <w:tr>
        <w:trPr>
          <w:trHeight w:val="146"/>
        </w:trPr>
        <w:tc>
          <w:tcPr>
            <w:tcW w:w="3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Revenues</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Arial" w:cs="Arial" w:eastAsia="Arial" w:hAnsi="Arial"/>
                <w:sz w:val="10"/>
                <w:szCs w:val="10"/>
                <w:color w:val="auto"/>
              </w:rPr>
              <w:t>Rental revenue, net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321,758</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163,062</w:t>
            </w:r>
          </w:p>
        </w:tc>
        <w:tc>
          <w:tcPr>
            <w:tcW w:w="200" w:type="dxa"/>
            <w:vAlign w:val="bottom"/>
          </w:tcPr>
          <w:p>
            <w:pPr>
              <w:spacing w:after="0"/>
              <w:rPr>
                <w:sz w:val="10"/>
                <w:szCs w:val="10"/>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313,352</w:t>
            </w:r>
          </w:p>
        </w:tc>
        <w:tc>
          <w:tcPr>
            <w:tcW w:w="8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159,254</w:t>
            </w:r>
          </w:p>
        </w:tc>
        <w:tc>
          <w:tcPr>
            <w:tcW w:w="200" w:type="dxa"/>
            <w:vAlign w:val="bottom"/>
          </w:tcPr>
          <w:p>
            <w:pPr>
              <w:spacing w:after="0"/>
              <w:rPr>
                <w:sz w:val="10"/>
                <w:szCs w:val="10"/>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301,123</w:t>
            </w:r>
          </w:p>
        </w:tc>
        <w:tc>
          <w:tcPr>
            <w:tcW w:w="80" w:type="dxa"/>
            <w:vAlign w:val="bottom"/>
          </w:tcPr>
          <w:p>
            <w:pPr>
              <w:spacing w:after="0"/>
              <w:rPr>
                <w:sz w:val="10"/>
                <w:szCs w:val="10"/>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153,205</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Escalation and reimbursement revenues</w:t>
            </w:r>
          </w:p>
        </w:tc>
        <w:tc>
          <w:tcPr>
            <w:tcW w:w="18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68,539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35,857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66,475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34,908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62,938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33,859</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Investment income</w:t>
            </w:r>
          </w:p>
        </w:tc>
        <w:tc>
          <w:tcPr>
            <w:tcW w:w="18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8,480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424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8,523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426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5,409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4,918</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Other income</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11,601</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5,382</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13,581</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color w:val="auto"/>
              </w:rPr>
              <w:t>6,501</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2,456</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color w:val="auto"/>
              </w:rPr>
              <w:t>1,320</w:t>
            </w:r>
          </w:p>
        </w:tc>
        <w:tc>
          <w:tcPr>
            <w:tcW w:w="0" w:type="dxa"/>
            <w:vAlign w:val="bottom"/>
          </w:tcPr>
          <w:p>
            <w:pPr>
              <w:spacing w:after="0"/>
              <w:rPr>
                <w:sz w:val="1"/>
                <w:szCs w:val="1"/>
                <w:color w:val="auto"/>
              </w:rPr>
            </w:pPr>
          </w:p>
        </w:tc>
      </w:tr>
      <w:tr>
        <w:trPr>
          <w:trHeight w:val="134"/>
        </w:trPr>
        <w:tc>
          <w:tcPr>
            <w:tcW w:w="3420" w:type="dxa"/>
            <w:vAlign w:val="bottom"/>
          </w:tcPr>
          <w:p>
            <w:pPr>
              <w:spacing w:after="0"/>
              <w:rPr>
                <w:sz w:val="20"/>
                <w:szCs w:val="20"/>
                <w:color w:val="auto"/>
              </w:rPr>
            </w:pPr>
            <w:r>
              <w:rPr>
                <w:rFonts w:ascii="Arial" w:cs="Arial" w:eastAsia="Arial" w:hAnsi="Arial"/>
                <w:sz w:val="10"/>
                <w:szCs w:val="10"/>
                <w:b w:val="1"/>
                <w:bCs w:val="1"/>
                <w:color w:val="auto"/>
              </w:rPr>
              <w:t>Total Revenues</w:t>
            </w:r>
          </w:p>
        </w:tc>
        <w:tc>
          <w:tcPr>
            <w:tcW w:w="18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410,378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204,725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401,931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201,089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371,926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b w:val="1"/>
                <w:bCs w:val="1"/>
                <w:color w:val="auto"/>
              </w:rPr>
              <w:t>193,302</w:t>
            </w: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0"/>
                <w:szCs w:val="20"/>
                <w:color w:val="auto"/>
              </w:rPr>
            </w:pPr>
            <w:r>
              <w:rPr>
                <w:rFonts w:ascii="Arial" w:cs="Arial" w:eastAsia="Arial" w:hAnsi="Arial"/>
                <w:sz w:val="10"/>
                <w:szCs w:val="10"/>
                <w:color w:val="auto"/>
              </w:rPr>
              <w:t>Loss on early extinguishment of debt</w:t>
            </w:r>
            <w:r>
              <w:rPr>
                <w:rFonts w:ascii="Arial" w:cs="Arial" w:eastAsia="Arial" w:hAnsi="Arial"/>
                <w:sz w:val="12"/>
                <w:szCs w:val="12"/>
                <w:color w:val="auto"/>
                <w:vertAlign w:val="superscript"/>
              </w:rPr>
              <w:t>(1)</w:t>
            </w:r>
          </w:p>
        </w:tc>
        <w:tc>
          <w:tcPr>
            <w:tcW w:w="18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0"/>
                <w:szCs w:val="10"/>
                <w:color w:val="auto"/>
              </w:rPr>
              <w:t>(9,497)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0"/>
                <w:szCs w:val="10"/>
                <w:color w:val="auto"/>
              </w:rPr>
              <w:t>(4,796)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jc w:val="right"/>
              <w:ind w:right="11"/>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Expenses</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Arial" w:cs="Arial" w:eastAsia="Arial" w:hAnsi="Arial"/>
                <w:sz w:val="10"/>
                <w:szCs w:val="10"/>
                <w:color w:val="auto"/>
              </w:rPr>
              <w:t>Operating expenses</w:t>
            </w:r>
          </w:p>
        </w:tc>
        <w:tc>
          <w:tcPr>
            <w:tcW w:w="180" w:type="dxa"/>
            <w:vAlign w:val="bottom"/>
          </w:tcPr>
          <w:p>
            <w:pPr>
              <w:spacing w:after="0"/>
              <w:rPr>
                <w:sz w:val="10"/>
                <w:szCs w:val="1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75,836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38,356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68,389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34,697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68,015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34,814</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Real estate taxes</w:t>
            </w:r>
          </w:p>
        </w:tc>
        <w:tc>
          <w:tcPr>
            <w:tcW w:w="18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76,755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38,966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74,624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37,957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71,504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36,718</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Operating lease rent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2,995</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1,656</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2,995</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color w:val="auto"/>
              </w:rPr>
              <w:t>1,656</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6,581</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color w:val="auto"/>
              </w:rPr>
              <w:t>1,656</w:t>
            </w:r>
          </w:p>
        </w:tc>
        <w:tc>
          <w:tcPr>
            <w:tcW w:w="0" w:type="dxa"/>
            <w:vAlign w:val="bottom"/>
          </w:tcPr>
          <w:p>
            <w:pPr>
              <w:spacing w:after="0"/>
              <w:rPr>
                <w:sz w:val="1"/>
                <w:szCs w:val="1"/>
                <w:color w:val="auto"/>
              </w:rPr>
            </w:pPr>
          </w:p>
        </w:tc>
      </w:tr>
      <w:tr>
        <w:trPr>
          <w:trHeight w:val="134"/>
        </w:trPr>
        <w:tc>
          <w:tcPr>
            <w:tcW w:w="3420" w:type="dxa"/>
            <w:vAlign w:val="bottom"/>
          </w:tcPr>
          <w:p>
            <w:pPr>
              <w:spacing w:after="0"/>
              <w:rPr>
                <w:sz w:val="20"/>
                <w:szCs w:val="20"/>
                <w:color w:val="auto"/>
              </w:rPr>
            </w:pPr>
            <w:r>
              <w:rPr>
                <w:rFonts w:ascii="Arial" w:cs="Arial" w:eastAsia="Arial" w:hAnsi="Arial"/>
                <w:sz w:val="10"/>
                <w:szCs w:val="10"/>
                <w:b w:val="1"/>
                <w:bCs w:val="1"/>
                <w:color w:val="auto"/>
              </w:rPr>
              <w:t>Total Operating Expenses</w:t>
            </w:r>
          </w:p>
        </w:tc>
        <w:tc>
          <w:tcPr>
            <w:tcW w:w="18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155,586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78,978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146,008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74,310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146,100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b w:val="1"/>
                <w:bCs w:val="1"/>
                <w:color w:val="auto"/>
              </w:rPr>
              <w:t>73,188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0"/>
                <w:szCs w:val="10"/>
                <w:b w:val="1"/>
                <w:bCs w:val="1"/>
                <w:color w:val="auto"/>
              </w:rPr>
              <w:t>Operating Income</w:t>
            </w:r>
          </w:p>
        </w:tc>
        <w:tc>
          <w:tcPr>
            <w:tcW w:w="1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245,295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120,951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255,923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126,779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225,826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b w:val="1"/>
                <w:bCs w:val="1"/>
                <w:color w:val="auto"/>
              </w:rPr>
              <w:t>120,114</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0"/>
                <w:szCs w:val="10"/>
                <w:color w:val="auto"/>
              </w:rPr>
              <w:t>Interest expense, net of interest income</w:t>
            </w:r>
          </w:p>
        </w:tc>
        <w:tc>
          <w:tcPr>
            <w:tcW w:w="1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139,898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70,132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137,444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68,827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128,896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62,965</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Amortization of deferred financing costs</w:t>
            </w:r>
          </w:p>
        </w:tc>
        <w:tc>
          <w:tcPr>
            <w:tcW w:w="18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8,491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4,456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11,365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5,882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6,019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3,191</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Depreciation and amortization</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132,612</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67,639</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126,599</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color w:val="auto"/>
              </w:rPr>
              <w:t>64,654</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121,305</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color w:val="auto"/>
              </w:rPr>
              <w:t>63,075</w:t>
            </w:r>
          </w:p>
        </w:tc>
        <w:tc>
          <w:tcPr>
            <w:tcW w:w="0" w:type="dxa"/>
            <w:vAlign w:val="bottom"/>
          </w:tcPr>
          <w:p>
            <w:pPr>
              <w:spacing w:after="0"/>
              <w:rPr>
                <w:sz w:val="1"/>
                <w:szCs w:val="1"/>
                <w:color w:val="auto"/>
              </w:rPr>
            </w:pPr>
          </w:p>
        </w:tc>
      </w:tr>
      <w:tr>
        <w:trPr>
          <w:trHeight w:val="134"/>
        </w:trPr>
        <w:tc>
          <w:tcPr>
            <w:tcW w:w="3420" w:type="dxa"/>
            <w:vAlign w:val="bottom"/>
          </w:tcPr>
          <w:p>
            <w:pPr>
              <w:spacing w:after="0"/>
              <w:rPr>
                <w:sz w:val="20"/>
                <w:szCs w:val="20"/>
                <w:color w:val="auto"/>
              </w:rPr>
            </w:pPr>
            <w:r>
              <w:rPr>
                <w:rFonts w:ascii="Arial" w:cs="Arial" w:eastAsia="Arial" w:hAnsi="Arial"/>
                <w:sz w:val="10"/>
                <w:szCs w:val="10"/>
                <w:b w:val="1"/>
                <w:bCs w:val="1"/>
                <w:color w:val="auto"/>
              </w:rPr>
              <w:t>Net Loss</w:t>
            </w:r>
          </w:p>
        </w:tc>
        <w:tc>
          <w:tcPr>
            <w:tcW w:w="180" w:type="dxa"/>
            <w:vAlign w:val="bottom"/>
          </w:tcPr>
          <w:p>
            <w:pPr>
              <w:spacing w:after="0"/>
              <w:rPr>
                <w:sz w:val="11"/>
                <w:szCs w:val="1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(35,706)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(21,276)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(19,485)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spacing w:after="0"/>
              <w:rPr>
                <w:sz w:val="20"/>
                <w:szCs w:val="20"/>
                <w:color w:val="auto"/>
              </w:rPr>
            </w:pPr>
            <w:r>
              <w:rPr>
                <w:rFonts w:ascii="Arial" w:cs="Arial" w:eastAsia="Arial" w:hAnsi="Arial"/>
                <w:sz w:val="10"/>
                <w:szCs w:val="10"/>
                <w:b w:val="1"/>
                <w:bCs w:val="1"/>
                <w:color w:val="auto"/>
              </w:rPr>
              <w:t>(12,584)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(30,394)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b w:val="1"/>
                <w:bCs w:val="1"/>
                <w:color w:val="auto"/>
              </w:rPr>
              <w:t>(9,117)</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20"/>
                <w:szCs w:val="20"/>
                <w:color w:val="auto"/>
              </w:rPr>
            </w:pPr>
            <w:r>
              <w:rPr>
                <w:rFonts w:ascii="Arial" w:cs="Arial" w:eastAsia="Arial" w:hAnsi="Arial"/>
                <w:sz w:val="10"/>
                <w:szCs w:val="10"/>
                <w:color w:val="auto"/>
              </w:rPr>
              <w:t>Real estate depreciation</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132,611</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67,638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126,597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color w:val="auto"/>
              </w:rPr>
              <w:t>64,654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121,304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color w:val="auto"/>
              </w:rPr>
              <w:t>63,074</w:t>
            </w:r>
          </w:p>
        </w:tc>
        <w:tc>
          <w:tcPr>
            <w:tcW w:w="0" w:type="dxa"/>
            <w:vAlign w:val="bottom"/>
          </w:tcPr>
          <w:p>
            <w:pPr>
              <w:spacing w:after="0"/>
              <w:rPr>
                <w:sz w:val="1"/>
                <w:szCs w:val="1"/>
                <w:color w:val="auto"/>
              </w:rPr>
            </w:pPr>
          </w:p>
        </w:tc>
      </w:tr>
      <w:tr>
        <w:trPr>
          <w:trHeight w:val="132"/>
        </w:trPr>
        <w:tc>
          <w:tcPr>
            <w:tcW w:w="3420" w:type="dxa"/>
            <w:vAlign w:val="bottom"/>
          </w:tcPr>
          <w:p>
            <w:pPr>
              <w:spacing w:after="0"/>
              <w:rPr>
                <w:sz w:val="20"/>
                <w:szCs w:val="20"/>
                <w:color w:val="auto"/>
              </w:rPr>
            </w:pPr>
            <w:r>
              <w:rPr>
                <w:rFonts w:ascii="Arial" w:cs="Arial" w:eastAsia="Arial" w:hAnsi="Arial"/>
                <w:sz w:val="10"/>
                <w:szCs w:val="10"/>
                <w:b w:val="1"/>
                <w:bCs w:val="1"/>
                <w:color w:val="auto"/>
              </w:rPr>
              <w:t>FFO Contribution</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96,905</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46,362</w:t>
            </w:r>
          </w:p>
        </w:tc>
        <w:tc>
          <w:tcPr>
            <w:tcW w:w="200" w:type="dxa"/>
            <w:vAlign w:val="bottom"/>
          </w:tcPr>
          <w:p>
            <w:pPr>
              <w:spacing w:after="0"/>
              <w:rPr>
                <w:sz w:val="11"/>
                <w:szCs w:val="11"/>
                <w:color w:val="auto"/>
              </w:rPr>
            </w:pPr>
          </w:p>
        </w:tc>
        <w:tc>
          <w:tcPr>
            <w:tcW w:w="1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107,112</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52,070</w:t>
            </w:r>
          </w:p>
        </w:tc>
        <w:tc>
          <w:tcPr>
            <w:tcW w:w="20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90,910</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b w:val="1"/>
                <w:bCs w:val="1"/>
                <w:color w:val="auto"/>
              </w:rPr>
              <w:t>53,957</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0"/>
                <w:szCs w:val="10"/>
                <w:b w:val="1"/>
                <w:bCs w:val="1"/>
                <w:color w:val="auto"/>
              </w:rPr>
              <w:t>FAD Adjustments:</w:t>
            </w: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420" w:type="dxa"/>
            <w:vAlign w:val="bottom"/>
          </w:tcPr>
          <w:p>
            <w:pPr>
              <w:spacing w:after="0"/>
              <w:rPr>
                <w:sz w:val="20"/>
                <w:szCs w:val="20"/>
                <w:color w:val="auto"/>
              </w:rPr>
            </w:pPr>
            <w:r>
              <w:rPr>
                <w:rFonts w:ascii="Arial" w:cs="Arial" w:eastAsia="Arial" w:hAnsi="Arial"/>
                <w:sz w:val="10"/>
                <w:szCs w:val="10"/>
                <w:color w:val="auto"/>
              </w:rPr>
              <w:t>Non real estate depreciation and amortization</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10"/>
                <w:szCs w:val="10"/>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0"/>
                <w:szCs w:val="10"/>
                <w:color w:val="auto"/>
                <w:w w:val="79"/>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0"/>
                <w:szCs w:val="10"/>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Amortization of deferred financing costs</w:t>
            </w:r>
          </w:p>
        </w:tc>
        <w:tc>
          <w:tcPr>
            <w:tcW w:w="18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8,491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4,456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11,365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5,882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6,019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3,191</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Straight-line rental income and other non-cash adjustments</w:t>
            </w:r>
          </w:p>
        </w:tc>
        <w:tc>
          <w:tcPr>
            <w:tcW w:w="180" w:type="dxa"/>
            <w:vAlign w:val="bottom"/>
          </w:tcPr>
          <w:p>
            <w:pPr>
              <w:spacing w:after="0"/>
              <w:rPr>
                <w:sz w:val="11"/>
                <w:szCs w:val="1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0"/>
                <w:szCs w:val="10"/>
                <w:color w:val="auto"/>
              </w:rPr>
              <w:t>(39,514)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0"/>
                <w:szCs w:val="10"/>
                <w:color w:val="auto"/>
              </w:rPr>
              <w:t>(17,310)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(39,619)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spacing w:after="0"/>
              <w:rPr>
                <w:sz w:val="20"/>
                <w:szCs w:val="20"/>
                <w:color w:val="auto"/>
              </w:rPr>
            </w:pPr>
            <w:r>
              <w:rPr>
                <w:rFonts w:ascii="Arial" w:cs="Arial" w:eastAsia="Arial" w:hAnsi="Arial"/>
                <w:sz w:val="10"/>
                <w:szCs w:val="10"/>
                <w:color w:val="auto"/>
              </w:rPr>
              <w:t>(14,675)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(45,752)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(22,926)</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Second cycle tenant improvements</w:t>
            </w:r>
          </w:p>
        </w:tc>
        <w:tc>
          <w:tcPr>
            <w:tcW w:w="180" w:type="dxa"/>
            <w:vAlign w:val="bottom"/>
          </w:tcPr>
          <w:p>
            <w:pPr>
              <w:spacing w:after="0"/>
              <w:rPr>
                <w:sz w:val="11"/>
                <w:szCs w:val="1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0"/>
                <w:szCs w:val="10"/>
                <w:color w:val="auto"/>
              </w:rPr>
              <w:t>(19,364)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0"/>
                <w:szCs w:val="10"/>
                <w:color w:val="auto"/>
              </w:rPr>
              <w:t>(9,741)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(9,618)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spacing w:after="0"/>
              <w:rPr>
                <w:sz w:val="20"/>
                <w:szCs w:val="20"/>
                <w:color w:val="auto"/>
              </w:rPr>
            </w:pPr>
            <w:r>
              <w:rPr>
                <w:rFonts w:ascii="Arial" w:cs="Arial" w:eastAsia="Arial" w:hAnsi="Arial"/>
                <w:sz w:val="10"/>
                <w:szCs w:val="10"/>
                <w:color w:val="auto"/>
              </w:rPr>
              <w:t>(4,933)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(6,348)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(3,226)</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Second cycle leasing commissions</w:t>
            </w:r>
          </w:p>
        </w:tc>
        <w:tc>
          <w:tcPr>
            <w:tcW w:w="180" w:type="dxa"/>
            <w:vAlign w:val="bottom"/>
          </w:tcPr>
          <w:p>
            <w:pPr>
              <w:spacing w:after="0"/>
              <w:rPr>
                <w:sz w:val="11"/>
                <w:szCs w:val="1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0"/>
                <w:szCs w:val="10"/>
                <w:color w:val="auto"/>
              </w:rPr>
              <w:t>(9,883)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0"/>
                <w:szCs w:val="10"/>
                <w:color w:val="auto"/>
              </w:rPr>
              <w:t>(5,601)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(6,293)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spacing w:after="0"/>
              <w:rPr>
                <w:sz w:val="20"/>
                <w:szCs w:val="20"/>
                <w:color w:val="auto"/>
              </w:rPr>
            </w:pPr>
            <w:r>
              <w:rPr>
                <w:rFonts w:ascii="Arial" w:cs="Arial" w:eastAsia="Arial" w:hAnsi="Arial"/>
                <w:sz w:val="10"/>
                <w:szCs w:val="10"/>
                <w:color w:val="auto"/>
              </w:rPr>
              <w:t>(3,173)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(5,066)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(2,606)</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20"/>
                <w:szCs w:val="20"/>
                <w:color w:val="auto"/>
              </w:rPr>
            </w:pPr>
            <w:r>
              <w:rPr>
                <w:rFonts w:ascii="Arial" w:cs="Arial" w:eastAsia="Arial" w:hAnsi="Arial"/>
                <w:sz w:val="10"/>
                <w:szCs w:val="10"/>
                <w:color w:val="auto"/>
              </w:rPr>
              <w:t>Recurring capital expenditures</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(2,199)</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(1,273)</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(5,618)</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(4,763)</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(409)</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(307)</w:t>
            </w:r>
          </w:p>
        </w:tc>
        <w:tc>
          <w:tcPr>
            <w:tcW w:w="0" w:type="dxa"/>
            <w:vAlign w:val="bottom"/>
          </w:tcPr>
          <w:p>
            <w:pPr>
              <w:spacing w:after="0"/>
              <w:rPr>
                <w:sz w:val="1"/>
                <w:szCs w:val="1"/>
                <w:color w:val="auto"/>
              </w:rPr>
            </w:pPr>
          </w:p>
        </w:tc>
      </w:tr>
      <w:tr>
        <w:trPr>
          <w:trHeight w:val="136"/>
        </w:trPr>
        <w:tc>
          <w:tcPr>
            <w:tcW w:w="3420" w:type="dxa"/>
            <w:vAlign w:val="bottom"/>
          </w:tcPr>
          <w:p>
            <w:pPr>
              <w:spacing w:after="0"/>
              <w:rPr>
                <w:sz w:val="20"/>
                <w:szCs w:val="20"/>
                <w:color w:val="auto"/>
              </w:rPr>
            </w:pPr>
            <w:r>
              <w:rPr>
                <w:rFonts w:ascii="Arial" w:cs="Arial" w:eastAsia="Arial" w:hAnsi="Arial"/>
                <w:sz w:val="10"/>
                <w:szCs w:val="10"/>
                <w:color w:val="auto"/>
              </w:rPr>
              <w:t>Total FAD Adjustments</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(62,468)</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(29,468)</w:t>
            </w:r>
          </w:p>
        </w:tc>
        <w:tc>
          <w:tcPr>
            <w:tcW w:w="200" w:type="dxa"/>
            <w:vAlign w:val="bottom"/>
          </w:tcPr>
          <w:p>
            <w:pPr>
              <w:spacing w:after="0"/>
              <w:rPr>
                <w:sz w:val="11"/>
                <w:szCs w:val="11"/>
                <w:color w:val="auto"/>
              </w:rPr>
            </w:pPr>
          </w:p>
        </w:tc>
        <w:tc>
          <w:tcPr>
            <w:tcW w:w="1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(49,781)</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(21,662)</w:t>
            </w:r>
          </w:p>
        </w:tc>
        <w:tc>
          <w:tcPr>
            <w:tcW w:w="20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(51,555)</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(25,873)</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Arial" w:cs="Arial" w:eastAsia="Arial" w:hAnsi="Arial"/>
                <w:sz w:val="10"/>
                <w:szCs w:val="10"/>
                <w:color w:val="auto"/>
              </w:rPr>
              <w:t>First cycle tenant improvements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12,708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6,126</w:t>
            </w:r>
          </w:p>
        </w:tc>
        <w:tc>
          <w:tcPr>
            <w:tcW w:w="200" w:type="dxa"/>
            <w:vAlign w:val="bottom"/>
          </w:tcPr>
          <w:p>
            <w:pPr>
              <w:spacing w:after="0"/>
              <w:rPr>
                <w:sz w:val="16"/>
                <w:szCs w:val="16"/>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14,177</w:t>
            </w:r>
          </w:p>
        </w:tc>
        <w:tc>
          <w:tcPr>
            <w:tcW w:w="8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6,896</w:t>
            </w:r>
          </w:p>
        </w:tc>
        <w:tc>
          <w:tcPr>
            <w:tcW w:w="200" w:type="dxa"/>
            <w:vAlign w:val="bottom"/>
          </w:tcPr>
          <w:p>
            <w:pPr>
              <w:spacing w:after="0"/>
              <w:rPr>
                <w:sz w:val="16"/>
                <w:szCs w:val="16"/>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3,698</w:t>
            </w:r>
          </w:p>
        </w:tc>
        <w:tc>
          <w:tcPr>
            <w:tcW w:w="8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1,782</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First cycle leasing commissions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11,939</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5,981</w:t>
            </w:r>
          </w:p>
        </w:tc>
        <w:tc>
          <w:tcPr>
            <w:tcW w:w="20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9,596</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4,763</w:t>
            </w:r>
          </w:p>
        </w:tc>
        <w:tc>
          <w:tcPr>
            <w:tcW w:w="2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811</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219</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Development costs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18,318</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4,671</w:t>
            </w:r>
          </w:p>
        </w:tc>
        <w:tc>
          <w:tcPr>
            <w:tcW w:w="20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15,221</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3,985</w:t>
            </w:r>
          </w:p>
        </w:tc>
        <w:tc>
          <w:tcPr>
            <w:tcW w:w="2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11,005</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3,258</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Redevelopment costs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10,820</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5,315</w:t>
            </w:r>
          </w:p>
        </w:tc>
        <w:tc>
          <w:tcPr>
            <w:tcW w:w="20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29,843</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14,802</w:t>
            </w:r>
          </w:p>
        </w:tc>
        <w:tc>
          <w:tcPr>
            <w:tcW w:w="2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14,619</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7,102</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0"/>
                <w:szCs w:val="10"/>
                <w:color w:val="auto"/>
              </w:rPr>
              <w:t>Capitalized interest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ind w:right="60"/>
              <w:spacing w:after="0"/>
              <w:rPr>
                <w:sz w:val="20"/>
                <w:szCs w:val="20"/>
                <w:color w:val="auto"/>
              </w:rPr>
            </w:pPr>
            <w:r>
              <w:rPr>
                <w:rFonts w:ascii="Arial" w:cs="Arial" w:eastAsia="Arial" w:hAnsi="Arial"/>
                <w:sz w:val="10"/>
                <w:szCs w:val="10"/>
                <w:color w:val="auto"/>
              </w:rPr>
              <w:t>15,978</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7,279</w:t>
            </w:r>
          </w:p>
        </w:tc>
        <w:tc>
          <w:tcPr>
            <w:tcW w:w="20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16,079</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1"/>
              <w:spacing w:after="0"/>
              <w:rPr>
                <w:sz w:val="20"/>
                <w:szCs w:val="20"/>
                <w:color w:val="auto"/>
              </w:rPr>
            </w:pPr>
            <w:r>
              <w:rPr>
                <w:rFonts w:ascii="Arial" w:cs="Arial" w:eastAsia="Arial" w:hAnsi="Arial"/>
                <w:sz w:val="10"/>
                <w:szCs w:val="10"/>
                <w:color w:val="auto"/>
              </w:rPr>
              <w:t>7,212</w:t>
            </w:r>
          </w:p>
        </w:tc>
        <w:tc>
          <w:tcPr>
            <w:tcW w:w="2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1"/>
              <w:spacing w:after="0"/>
              <w:rPr>
                <w:sz w:val="20"/>
                <w:szCs w:val="20"/>
                <w:color w:val="auto"/>
              </w:rPr>
            </w:pPr>
            <w:r>
              <w:rPr>
                <w:rFonts w:ascii="Arial" w:cs="Arial" w:eastAsia="Arial" w:hAnsi="Arial"/>
                <w:sz w:val="10"/>
                <w:szCs w:val="10"/>
                <w:color w:val="auto"/>
              </w:rPr>
              <w:t>19,564</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1"/>
              <w:spacing w:after="0"/>
              <w:rPr>
                <w:sz w:val="20"/>
                <w:szCs w:val="20"/>
                <w:color w:val="auto"/>
              </w:rPr>
            </w:pPr>
            <w:r>
              <w:rPr>
                <w:rFonts w:ascii="Arial" w:cs="Arial" w:eastAsia="Arial" w:hAnsi="Arial"/>
                <w:sz w:val="10"/>
                <w:szCs w:val="10"/>
                <w:color w:val="auto"/>
              </w:rPr>
              <w:t>9,430</w:t>
            </w: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0"/>
                <w:szCs w:val="20"/>
                <w:color w:val="auto"/>
              </w:rPr>
            </w:pPr>
            <w:r>
              <w:rPr>
                <w:rFonts w:ascii="Arial" w:cs="Arial" w:eastAsia="Arial" w:hAnsi="Arial"/>
                <w:sz w:val="10"/>
                <w:szCs w:val="10"/>
                <w:color w:val="auto"/>
              </w:rPr>
              <w:t>(1) Includes the write-off of unamortized deferred financing costs.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0"/>
        </w:trPr>
        <w:tc>
          <w:tcPr>
            <w:tcW w:w="3420" w:type="dxa"/>
            <w:vAlign w:val="bottom"/>
          </w:tcPr>
          <w:p>
            <w:pPr>
              <w:spacing w:after="0"/>
              <w:rPr>
                <w:sz w:val="20"/>
                <w:szCs w:val="20"/>
                <w:color w:val="auto"/>
              </w:rPr>
            </w:pPr>
            <w:r>
              <w:rPr>
                <w:rFonts w:ascii="Arial" w:cs="Arial" w:eastAsia="Arial" w:hAnsi="Arial"/>
                <w:sz w:val="9"/>
                <w:szCs w:val="9"/>
                <w:color w:val="auto"/>
              </w:rPr>
              <w:t>Supplemental Information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9"/>
                <w:szCs w:val="9"/>
                <w:color w:val="auto"/>
              </w:rPr>
              <w:t>18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9"/>
                <w:szCs w:val="9"/>
                <w:color w:val="auto"/>
              </w:rPr>
              <w:t>First Quarter 2026</w:t>
            </w:r>
          </w:p>
        </w:tc>
        <w:tc>
          <w:tcPr>
            <w:tcW w:w="0" w:type="dxa"/>
            <w:vAlign w:val="bottom"/>
          </w:tcPr>
          <w:p>
            <w:pPr>
              <w:spacing w:after="0"/>
              <w:rPr>
                <w:sz w:val="1"/>
                <w:szCs w:val="1"/>
                <w:color w:val="auto"/>
              </w:rPr>
            </w:pPr>
          </w:p>
        </w:tc>
      </w:tr>
    </w:tbl>
    <w:p>
      <w:pPr>
        <w:sectPr>
          <w:pgSz w:w="11900" w:h="16838" w:orient="portrait"/>
          <w:cols w:equalWidth="0" w:num="1">
            <w:col w:w="9060"/>
          </w:cols>
          <w:pgMar w:left="1420" w:top="297" w:right="141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577659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-12700</wp:posOffset>
            </wp:positionV>
            <wp:extent cx="1136650" cy="324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88" w:lineRule="auto"/>
        <w:rPr>
          <w:sz w:val="20"/>
          <w:szCs w:val="20"/>
          <w:color w:val="auto"/>
        </w:rPr>
      </w:pPr>
      <w:r>
        <w:rPr>
          <w:rFonts w:ascii="Arial" w:cs="Arial" w:eastAsia="Arial" w:hAnsi="Arial"/>
          <w:sz w:val="12"/>
          <w:szCs w:val="12"/>
          <w:b w:val="1"/>
          <w:bCs w:val="1"/>
          <w:color w:val="auto"/>
        </w:rPr>
        <w:t>Net Operating Income</w:t>
      </w:r>
      <w:r>
        <w:rPr>
          <w:rFonts w:ascii="Arial" w:cs="Arial" w:eastAsia="Arial" w:hAnsi="Arial"/>
          <w:sz w:val="15"/>
          <w:szCs w:val="15"/>
          <w:b w:val="1"/>
          <w:bCs w:val="1"/>
          <w:color w:val="auto"/>
          <w:vertAlign w:val="superscript"/>
        </w:rPr>
        <w:t>(1)</w:t>
      </w:r>
    </w:p>
    <w:p>
      <w:pPr>
        <w:spacing w:after="0" w:line="228" w:lineRule="auto"/>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0"/>
                <w:szCs w:val="10"/>
                <w:b w:val="1"/>
                <w:bCs w:val="1"/>
                <w:color w:val="auto"/>
                <w:w w:val="99"/>
              </w:rPr>
              <w:t>Three Months Ended</w:t>
            </w: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5"/>
              </w:rPr>
              <w:t>March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w w:val="98"/>
              </w:rPr>
              <w:t>December 31,</w:t>
            </w:r>
          </w:p>
        </w:tc>
        <w:tc>
          <w:tcPr>
            <w:tcW w:w="140" w:type="dxa"/>
            <w:vAlign w:val="bottom"/>
          </w:tcPr>
          <w:p>
            <w:pPr>
              <w:spacing w:after="0"/>
              <w:rPr>
                <w:sz w:val="11"/>
                <w:szCs w:val="11"/>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2026</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8"/>
              </w:rPr>
              <w:t>2025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340" w:type="dxa"/>
            <w:vAlign w:val="bottom"/>
          </w:tcPr>
          <w:p>
            <w:pPr>
              <w:spacing w:after="0"/>
              <w:rPr>
                <w:sz w:val="20"/>
                <w:szCs w:val="20"/>
                <w:color w:val="auto"/>
              </w:rPr>
            </w:pPr>
            <w:r>
              <w:rPr>
                <w:rFonts w:ascii="Arial" w:cs="Arial" w:eastAsia="Arial" w:hAnsi="Arial"/>
                <w:sz w:val="10"/>
                <w:szCs w:val="10"/>
                <w:color w:val="auto"/>
              </w:rPr>
              <w:t xml:space="preserve">Net Operating Income </w:t>
            </w:r>
            <w:r>
              <w:rPr>
                <w:rFonts w:ascii="Arial" w:cs="Arial" w:eastAsia="Arial" w:hAnsi="Arial"/>
                <w:sz w:val="12"/>
                <w:szCs w:val="12"/>
                <w:color w:val="auto"/>
                <w:vertAlign w:val="superscript"/>
              </w:rPr>
              <w:t>(1)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91,863</w:t>
            </w:r>
          </w:p>
        </w:tc>
        <w:tc>
          <w:tcPr>
            <w:tcW w:w="3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0"/>
                <w:szCs w:val="10"/>
                <w:color w:val="auto"/>
              </w:rPr>
              <w:t>88,299</w:t>
            </w:r>
          </w:p>
        </w:tc>
        <w:tc>
          <w:tcPr>
            <w:tcW w:w="220" w:type="dxa"/>
            <w:vAlign w:val="bottom"/>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72,013</w:t>
            </w:r>
          </w:p>
        </w:tc>
        <w:tc>
          <w:tcPr>
            <w:tcW w:w="0" w:type="dxa"/>
            <w:vAlign w:val="bottom"/>
          </w:tcPr>
          <w:p>
            <w:pPr>
              <w:spacing w:after="0"/>
              <w:rPr>
                <w:sz w:val="1"/>
                <w:szCs w:val="1"/>
                <w:color w:val="auto"/>
              </w:rPr>
            </w:pPr>
          </w:p>
        </w:tc>
      </w:tr>
      <w:tr>
        <w:trPr>
          <w:trHeight w:val="127"/>
        </w:trPr>
        <w:tc>
          <w:tcPr>
            <w:tcW w:w="3340" w:type="dxa"/>
            <w:vAlign w:val="bottom"/>
          </w:tcPr>
          <w:p>
            <w:pPr>
              <w:spacing w:after="0"/>
              <w:rPr>
                <w:sz w:val="20"/>
                <w:szCs w:val="20"/>
                <w:color w:val="auto"/>
              </w:rPr>
            </w:pPr>
            <w:r>
              <w:rPr>
                <w:rFonts w:ascii="Arial" w:cs="Arial" w:eastAsia="Arial" w:hAnsi="Arial"/>
                <w:sz w:val="10"/>
                <w:szCs w:val="10"/>
                <w:color w:val="auto"/>
              </w:rPr>
              <w:t>SLG share of NOI from unconsolidated JVs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120,096</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119,635</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114,596</w:t>
            </w:r>
          </w:p>
        </w:tc>
        <w:tc>
          <w:tcPr>
            <w:tcW w:w="0" w:type="dxa"/>
            <w:vAlign w:val="bottom"/>
          </w:tcPr>
          <w:p>
            <w:pPr>
              <w:spacing w:after="0"/>
              <w:rPr>
                <w:sz w:val="1"/>
                <w:szCs w:val="1"/>
                <w:color w:val="auto"/>
              </w:rPr>
            </w:pPr>
          </w:p>
        </w:tc>
      </w:tr>
      <w:tr>
        <w:trPr>
          <w:trHeight w:val="134"/>
        </w:trPr>
        <w:tc>
          <w:tcPr>
            <w:tcW w:w="3340" w:type="dxa"/>
            <w:vAlign w:val="bottom"/>
          </w:tcPr>
          <w:p>
            <w:pPr>
              <w:spacing w:after="0"/>
              <w:rPr>
                <w:sz w:val="20"/>
                <w:szCs w:val="20"/>
                <w:color w:val="auto"/>
              </w:rPr>
            </w:pPr>
            <w:r>
              <w:rPr>
                <w:rFonts w:ascii="Arial" w:cs="Arial" w:eastAsia="Arial" w:hAnsi="Arial"/>
                <w:sz w:val="10"/>
                <w:szCs w:val="10"/>
                <w:b w:val="1"/>
                <w:bCs w:val="1"/>
                <w:color w:val="auto"/>
              </w:rPr>
              <w:t>NOI, including SLG share of unconsolidated JVs</w:t>
            </w:r>
          </w:p>
        </w:tc>
        <w:tc>
          <w:tcPr>
            <w:tcW w:w="14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211,959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207,934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186,609</w:t>
            </w:r>
          </w:p>
        </w:tc>
        <w:tc>
          <w:tcPr>
            <w:tcW w:w="0" w:type="dxa"/>
            <w:vAlign w:val="bottom"/>
          </w:tcPr>
          <w:p>
            <w:pPr>
              <w:spacing w:after="0"/>
              <w:rPr>
                <w:sz w:val="1"/>
                <w:szCs w:val="1"/>
                <w:color w:val="auto"/>
              </w:rPr>
            </w:pPr>
          </w:p>
        </w:tc>
      </w:tr>
      <w:tr>
        <w:trPr>
          <w:trHeight w:val="136"/>
        </w:trPr>
        <w:tc>
          <w:tcPr>
            <w:tcW w:w="3340" w:type="dxa"/>
            <w:vAlign w:val="bottom"/>
          </w:tcPr>
          <w:p>
            <w:pPr>
              <w:spacing w:after="0"/>
              <w:rPr>
                <w:sz w:val="20"/>
                <w:szCs w:val="20"/>
                <w:color w:val="auto"/>
              </w:rPr>
            </w:pPr>
            <w:r>
              <w:rPr>
                <w:rFonts w:ascii="Arial" w:cs="Arial" w:eastAsia="Arial" w:hAnsi="Arial"/>
                <w:sz w:val="10"/>
                <w:szCs w:val="10"/>
                <w:color w:val="auto"/>
              </w:rPr>
              <w:t>Partners' share of NOI - consolidated JVs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(12)</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color w:val="auto"/>
              </w:rPr>
              <w:t>(32)</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(1,563)</w:t>
            </w:r>
          </w:p>
        </w:tc>
        <w:tc>
          <w:tcPr>
            <w:tcW w:w="0" w:type="dxa"/>
            <w:vAlign w:val="bottom"/>
          </w:tcPr>
          <w:p>
            <w:pPr>
              <w:spacing w:after="0"/>
              <w:rPr>
                <w:sz w:val="1"/>
                <w:szCs w:val="1"/>
                <w:color w:val="auto"/>
              </w:rPr>
            </w:pPr>
          </w:p>
        </w:tc>
      </w:tr>
      <w:tr>
        <w:trPr>
          <w:trHeight w:val="132"/>
        </w:trPr>
        <w:tc>
          <w:tcPr>
            <w:tcW w:w="3340" w:type="dxa"/>
            <w:vAlign w:val="bottom"/>
          </w:tcPr>
          <w:p>
            <w:pPr>
              <w:spacing w:after="0"/>
              <w:rPr>
                <w:sz w:val="20"/>
                <w:szCs w:val="20"/>
                <w:color w:val="auto"/>
              </w:rPr>
            </w:pPr>
            <w:r>
              <w:rPr>
                <w:rFonts w:ascii="Arial" w:cs="Arial" w:eastAsia="Arial" w:hAnsi="Arial"/>
                <w:sz w:val="10"/>
                <w:szCs w:val="10"/>
                <w:b w:val="1"/>
                <w:bCs w:val="1"/>
                <w:color w:val="auto"/>
              </w:rPr>
              <w:t>NOI - SLG share</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211,947</w:t>
            </w: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207,902</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185,046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0"/>
                <w:szCs w:val="10"/>
                <w:b w:val="1"/>
                <w:bCs w:val="1"/>
                <w:color w:val="auto"/>
              </w:rPr>
              <w:t>NOI, including SLG share of unconsolidated JVs</w:t>
            </w: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211,959</w:t>
            </w:r>
          </w:p>
        </w:tc>
        <w:tc>
          <w:tcPr>
            <w:tcW w:w="3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0"/>
                <w:szCs w:val="10"/>
                <w:color w:val="auto"/>
              </w:rPr>
              <w:t>207,934</w:t>
            </w:r>
          </w:p>
        </w:tc>
        <w:tc>
          <w:tcPr>
            <w:tcW w:w="22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186,609</w:t>
            </w:r>
          </w:p>
        </w:tc>
        <w:tc>
          <w:tcPr>
            <w:tcW w:w="0" w:type="dxa"/>
            <w:vAlign w:val="bottom"/>
          </w:tcPr>
          <w:p>
            <w:pPr>
              <w:spacing w:after="0"/>
              <w:rPr>
                <w:sz w:val="1"/>
                <w:szCs w:val="1"/>
                <w:color w:val="auto"/>
              </w:rPr>
            </w:pPr>
          </w:p>
        </w:tc>
      </w:tr>
      <w:tr>
        <w:trPr>
          <w:trHeight w:val="132"/>
        </w:trPr>
        <w:tc>
          <w:tcPr>
            <w:tcW w:w="3340" w:type="dxa"/>
            <w:vAlign w:val="bottom"/>
          </w:tcPr>
          <w:p>
            <w:pPr>
              <w:spacing w:after="0"/>
              <w:rPr>
                <w:sz w:val="20"/>
                <w:szCs w:val="20"/>
                <w:color w:val="auto"/>
              </w:rPr>
            </w:pPr>
            <w:r>
              <w:rPr>
                <w:rFonts w:ascii="Arial" w:cs="Arial" w:eastAsia="Arial" w:hAnsi="Arial"/>
                <w:sz w:val="10"/>
                <w:szCs w:val="10"/>
                <w:color w:val="auto"/>
              </w:rPr>
              <w:t>Free rent (net of amortization)</w:t>
            </w:r>
          </w:p>
        </w:tc>
        <w:tc>
          <w:tcPr>
            <w:tcW w:w="140" w:type="dxa"/>
            <w:vAlign w:val="bottom"/>
          </w:tcPr>
          <w:p>
            <w:pPr>
              <w:spacing w:after="0"/>
              <w:rPr>
                <w:sz w:val="11"/>
                <w:szCs w:val="1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color w:val="auto"/>
              </w:rPr>
              <w:t>(5,772)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0"/>
                <w:szCs w:val="10"/>
                <w:color w:val="auto"/>
              </w:rPr>
              <w:t>(7,856)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color w:val="auto"/>
              </w:rPr>
              <w:t>(5,629)</w:t>
            </w:r>
          </w:p>
        </w:tc>
        <w:tc>
          <w:tcPr>
            <w:tcW w:w="0" w:type="dxa"/>
            <w:vAlign w:val="bottom"/>
          </w:tcPr>
          <w:p>
            <w:pPr>
              <w:spacing w:after="0"/>
              <w:rPr>
                <w:sz w:val="1"/>
                <w:szCs w:val="1"/>
                <w:color w:val="auto"/>
              </w:rPr>
            </w:pPr>
          </w:p>
        </w:tc>
      </w:tr>
      <w:tr>
        <w:trPr>
          <w:trHeight w:val="138"/>
        </w:trPr>
        <w:tc>
          <w:tcPr>
            <w:tcW w:w="3340" w:type="dxa"/>
            <w:vAlign w:val="bottom"/>
          </w:tcPr>
          <w:p>
            <w:pPr>
              <w:spacing w:after="0"/>
              <w:rPr>
                <w:sz w:val="20"/>
                <w:szCs w:val="20"/>
                <w:color w:val="auto"/>
              </w:rPr>
            </w:pPr>
            <w:r>
              <w:rPr>
                <w:rFonts w:ascii="Arial" w:cs="Arial" w:eastAsia="Arial" w:hAnsi="Arial"/>
                <w:sz w:val="10"/>
                <w:szCs w:val="10"/>
                <w:color w:val="auto"/>
              </w:rPr>
              <w:t>Straight-line revenue adjustment</w:t>
            </w:r>
          </w:p>
        </w:tc>
        <w:tc>
          <w:tcPr>
            <w:tcW w:w="140" w:type="dxa"/>
            <w:vAlign w:val="bottom"/>
          </w:tcPr>
          <w:p>
            <w:pPr>
              <w:spacing w:after="0"/>
              <w:rPr>
                <w:sz w:val="11"/>
                <w:szCs w:val="1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color w:val="auto"/>
              </w:rPr>
              <w:t>(9,639)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0"/>
                <w:szCs w:val="10"/>
                <w:color w:val="auto"/>
              </w:rPr>
              <w:t>(7,775)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color w:val="auto"/>
              </w:rPr>
              <w:t>(8,312)</w:t>
            </w:r>
          </w:p>
        </w:tc>
        <w:tc>
          <w:tcPr>
            <w:tcW w:w="0" w:type="dxa"/>
            <w:vAlign w:val="bottom"/>
          </w:tcPr>
          <w:p>
            <w:pPr>
              <w:spacing w:after="0"/>
              <w:rPr>
                <w:sz w:val="1"/>
                <w:szCs w:val="1"/>
                <w:color w:val="auto"/>
              </w:rPr>
            </w:pPr>
          </w:p>
        </w:tc>
      </w:tr>
      <w:tr>
        <w:trPr>
          <w:trHeight w:val="138"/>
        </w:trPr>
        <w:tc>
          <w:tcPr>
            <w:tcW w:w="3340" w:type="dxa"/>
            <w:vAlign w:val="bottom"/>
          </w:tcPr>
          <w:p>
            <w:pPr>
              <w:spacing w:after="0"/>
              <w:rPr>
                <w:sz w:val="20"/>
                <w:szCs w:val="20"/>
                <w:color w:val="auto"/>
              </w:rPr>
            </w:pPr>
            <w:r>
              <w:rPr>
                <w:rFonts w:ascii="Arial" w:cs="Arial" w:eastAsia="Arial" w:hAnsi="Arial"/>
                <w:sz w:val="10"/>
                <w:szCs w:val="10"/>
                <w:color w:val="auto"/>
              </w:rPr>
              <w:t>Amortization of acquired above and below-market leases, net</w:t>
            </w:r>
          </w:p>
        </w:tc>
        <w:tc>
          <w:tcPr>
            <w:tcW w:w="140" w:type="dxa"/>
            <w:vAlign w:val="bottom"/>
          </w:tcPr>
          <w:p>
            <w:pPr>
              <w:spacing w:after="0"/>
              <w:rPr>
                <w:sz w:val="11"/>
                <w:szCs w:val="1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color w:val="auto"/>
              </w:rPr>
              <w:t>(6,561)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0"/>
                <w:szCs w:val="10"/>
                <w:color w:val="auto"/>
              </w:rPr>
              <w:t>(5,820)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color w:val="auto"/>
              </w:rPr>
              <w:t>(5,435)</w:t>
            </w:r>
          </w:p>
        </w:tc>
        <w:tc>
          <w:tcPr>
            <w:tcW w:w="0" w:type="dxa"/>
            <w:vAlign w:val="bottom"/>
          </w:tcPr>
          <w:p>
            <w:pPr>
              <w:spacing w:after="0"/>
              <w:rPr>
                <w:sz w:val="1"/>
                <w:szCs w:val="1"/>
                <w:color w:val="auto"/>
              </w:rPr>
            </w:pPr>
          </w:p>
        </w:tc>
      </w:tr>
      <w:tr>
        <w:trPr>
          <w:trHeight w:val="138"/>
        </w:trPr>
        <w:tc>
          <w:tcPr>
            <w:tcW w:w="3340" w:type="dxa"/>
            <w:vAlign w:val="bottom"/>
          </w:tcPr>
          <w:p>
            <w:pPr>
              <w:spacing w:after="0"/>
              <w:rPr>
                <w:sz w:val="20"/>
                <w:szCs w:val="20"/>
                <w:color w:val="auto"/>
              </w:rPr>
            </w:pPr>
            <w:r>
              <w:rPr>
                <w:rFonts w:ascii="Arial" w:cs="Arial" w:eastAsia="Arial" w:hAnsi="Arial"/>
                <w:sz w:val="10"/>
                <w:szCs w:val="10"/>
                <w:color w:val="auto"/>
              </w:rPr>
              <w:t>Operating lease straight-line adjustment</w:t>
            </w:r>
          </w:p>
        </w:tc>
        <w:tc>
          <w:tcPr>
            <w:tcW w:w="14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605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0"/>
                <w:szCs w:val="10"/>
                <w:color w:val="auto"/>
              </w:rPr>
              <w:t>605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color w:val="auto"/>
              </w:rPr>
              <w:t>528</w:t>
            </w:r>
          </w:p>
        </w:tc>
        <w:tc>
          <w:tcPr>
            <w:tcW w:w="0" w:type="dxa"/>
            <w:vAlign w:val="bottom"/>
          </w:tcPr>
          <w:p>
            <w:pPr>
              <w:spacing w:after="0"/>
              <w:rPr>
                <w:sz w:val="1"/>
                <w:szCs w:val="1"/>
                <w:color w:val="auto"/>
              </w:rPr>
            </w:pPr>
          </w:p>
        </w:tc>
      </w:tr>
      <w:tr>
        <w:trPr>
          <w:trHeight w:val="138"/>
        </w:trPr>
        <w:tc>
          <w:tcPr>
            <w:tcW w:w="3340" w:type="dxa"/>
            <w:vAlign w:val="bottom"/>
          </w:tcPr>
          <w:p>
            <w:pPr>
              <w:spacing w:after="0"/>
              <w:rPr>
                <w:sz w:val="20"/>
                <w:szCs w:val="20"/>
                <w:color w:val="auto"/>
              </w:rPr>
            </w:pPr>
            <w:r>
              <w:rPr>
                <w:rFonts w:ascii="Arial" w:cs="Arial" w:eastAsia="Arial" w:hAnsi="Arial"/>
                <w:sz w:val="10"/>
                <w:szCs w:val="10"/>
                <w:color w:val="auto"/>
              </w:rPr>
              <w:t>Straight-line tenant credit loss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(188)</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272</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(437)</w:t>
            </w:r>
          </w:p>
        </w:tc>
        <w:tc>
          <w:tcPr>
            <w:tcW w:w="0" w:type="dxa"/>
            <w:vAlign w:val="bottom"/>
          </w:tcPr>
          <w:p>
            <w:pPr>
              <w:spacing w:after="0"/>
              <w:rPr>
                <w:sz w:val="1"/>
                <w:szCs w:val="1"/>
                <w:color w:val="auto"/>
              </w:rPr>
            </w:pPr>
          </w:p>
        </w:tc>
      </w:tr>
      <w:tr>
        <w:trPr>
          <w:trHeight w:val="134"/>
        </w:trPr>
        <w:tc>
          <w:tcPr>
            <w:tcW w:w="3340" w:type="dxa"/>
            <w:vAlign w:val="bottom"/>
          </w:tcPr>
          <w:p>
            <w:pPr>
              <w:spacing w:after="0"/>
              <w:rPr>
                <w:sz w:val="20"/>
                <w:szCs w:val="20"/>
                <w:color w:val="auto"/>
              </w:rPr>
            </w:pPr>
            <w:r>
              <w:rPr>
                <w:rFonts w:ascii="Arial" w:cs="Arial" w:eastAsia="Arial" w:hAnsi="Arial"/>
                <w:sz w:val="10"/>
                <w:szCs w:val="10"/>
                <w:b w:val="1"/>
                <w:bCs w:val="1"/>
                <w:color w:val="auto"/>
              </w:rPr>
              <w:t>Cash NOI, including SLG share of unconsolidated JVs</w:t>
            </w:r>
          </w:p>
        </w:tc>
        <w:tc>
          <w:tcPr>
            <w:tcW w:w="14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190,404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187,360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167,324</w:t>
            </w:r>
          </w:p>
        </w:tc>
        <w:tc>
          <w:tcPr>
            <w:tcW w:w="0" w:type="dxa"/>
            <w:vAlign w:val="bottom"/>
          </w:tcPr>
          <w:p>
            <w:pPr>
              <w:spacing w:after="0"/>
              <w:rPr>
                <w:sz w:val="1"/>
                <w:szCs w:val="1"/>
                <w:color w:val="auto"/>
              </w:rPr>
            </w:pPr>
          </w:p>
        </w:tc>
      </w:tr>
      <w:tr>
        <w:trPr>
          <w:trHeight w:val="136"/>
        </w:trPr>
        <w:tc>
          <w:tcPr>
            <w:tcW w:w="3340" w:type="dxa"/>
            <w:vAlign w:val="bottom"/>
          </w:tcPr>
          <w:p>
            <w:pPr>
              <w:spacing w:after="0"/>
              <w:rPr>
                <w:sz w:val="20"/>
                <w:szCs w:val="20"/>
                <w:color w:val="auto"/>
              </w:rPr>
            </w:pPr>
            <w:r>
              <w:rPr>
                <w:rFonts w:ascii="Arial" w:cs="Arial" w:eastAsia="Arial" w:hAnsi="Arial"/>
                <w:sz w:val="10"/>
                <w:szCs w:val="10"/>
                <w:color w:val="auto"/>
              </w:rPr>
              <w:t>Partners' share of cash NOI - consolidated JVs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(27)</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color w:val="auto"/>
              </w:rPr>
              <w:t>(43)</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rPr>
              <w:t>(1,219)</w:t>
            </w:r>
          </w:p>
        </w:tc>
        <w:tc>
          <w:tcPr>
            <w:tcW w:w="0" w:type="dxa"/>
            <w:vAlign w:val="bottom"/>
          </w:tcPr>
          <w:p>
            <w:pPr>
              <w:spacing w:after="0"/>
              <w:rPr>
                <w:sz w:val="1"/>
                <w:szCs w:val="1"/>
                <w:color w:val="auto"/>
              </w:rPr>
            </w:pPr>
          </w:p>
        </w:tc>
      </w:tr>
      <w:tr>
        <w:trPr>
          <w:trHeight w:val="132"/>
        </w:trPr>
        <w:tc>
          <w:tcPr>
            <w:tcW w:w="3340" w:type="dxa"/>
            <w:vAlign w:val="bottom"/>
          </w:tcPr>
          <w:p>
            <w:pPr>
              <w:spacing w:after="0"/>
              <w:rPr>
                <w:sz w:val="20"/>
                <w:szCs w:val="20"/>
                <w:color w:val="auto"/>
              </w:rPr>
            </w:pPr>
            <w:r>
              <w:rPr>
                <w:rFonts w:ascii="Arial" w:cs="Arial" w:eastAsia="Arial" w:hAnsi="Arial"/>
                <w:sz w:val="10"/>
                <w:szCs w:val="10"/>
                <w:b w:val="1"/>
                <w:bCs w:val="1"/>
                <w:color w:val="auto"/>
              </w:rPr>
              <w:t>Cash NOI - SLG share</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190,377</w:t>
            </w: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187,317</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166,105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320"/>
        <w:spacing w:after="0"/>
        <w:rPr>
          <w:sz w:val="20"/>
          <w:szCs w:val="20"/>
          <w:color w:val="auto"/>
        </w:rPr>
      </w:pPr>
      <w:r>
        <w:rPr>
          <w:rFonts w:ascii="Arial" w:cs="Arial" w:eastAsia="Arial" w:hAnsi="Arial"/>
          <w:sz w:val="9"/>
          <w:szCs w:val="9"/>
          <w:color w:val="auto"/>
        </w:rPr>
        <w:t>(1) Includes SL Green Management Corp. and Emerge 212. Excludes lease termination income.</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200" w:type="dxa"/>
            <w:vAlign w:val="bottom"/>
            <w:tcBorders>
              <w:right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440" w:type="dxa"/>
            <w:vAlign w:val="bottom"/>
            <w:tcBorders>
              <w:top w:val="single" w:sz="8" w:color="auto"/>
              <w:bottom w:val="single" w:sz="8" w:color="auto"/>
            </w:tcBorders>
            <w:gridSpan w:val="6"/>
          </w:tcPr>
          <w:p>
            <w:pPr>
              <w:jc w:val="center"/>
              <w:ind w:left="833"/>
              <w:spacing w:after="0"/>
              <w:rPr>
                <w:sz w:val="20"/>
                <w:szCs w:val="20"/>
                <w:color w:val="auto"/>
              </w:rPr>
            </w:pPr>
            <w:r>
              <w:rPr>
                <w:rFonts w:ascii="Arial" w:cs="Arial" w:eastAsia="Arial" w:hAnsi="Arial"/>
                <w:sz w:val="10"/>
                <w:szCs w:val="10"/>
                <w:b w:val="1"/>
                <w:bCs w:val="1"/>
                <w:color w:val="auto"/>
                <w:w w:val="97"/>
              </w:rPr>
              <w:t xml:space="preserve">NOI Summary by Portfolio </w:t>
            </w:r>
            <w:r>
              <w:rPr>
                <w:rFonts w:ascii="Arial" w:cs="Arial" w:eastAsia="Arial" w:hAnsi="Arial"/>
                <w:sz w:val="12"/>
                <w:szCs w:val="12"/>
                <w:b w:val="1"/>
                <w:bCs w:val="1"/>
                <w:color w:val="auto"/>
                <w:w w:val="97"/>
                <w:vertAlign w:val="superscript"/>
              </w:rPr>
              <w:t>(1)</w:t>
            </w:r>
            <w:r>
              <w:rPr>
                <w:rFonts w:ascii="Arial" w:cs="Arial" w:eastAsia="Arial" w:hAnsi="Arial"/>
                <w:sz w:val="10"/>
                <w:szCs w:val="10"/>
                <w:b w:val="1"/>
                <w:bCs w:val="1"/>
                <w:color w:val="auto"/>
                <w:w w:val="97"/>
              </w:rPr>
              <w:t xml:space="preserve"> - SLG Share</w:t>
            </w:r>
          </w:p>
        </w:tc>
        <w:tc>
          <w:tcPr>
            <w:tcW w:w="2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2160" w:type="dxa"/>
            <w:vAlign w:val="bottom"/>
          </w:tcPr>
          <w:p>
            <w:pPr>
              <w:spacing w:after="0"/>
              <w:rPr>
                <w:sz w:val="22"/>
                <w:szCs w:val="22"/>
                <w:color w:val="auto"/>
              </w:rPr>
            </w:pPr>
          </w:p>
        </w:tc>
      </w:tr>
      <w:tr>
        <w:trPr>
          <w:trHeight w:val="193"/>
        </w:trPr>
        <w:tc>
          <w:tcPr>
            <w:tcW w:w="2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5"/>
          </w:tcPr>
          <w:p>
            <w:pPr>
              <w:jc w:val="center"/>
              <w:ind w:left="71"/>
              <w:spacing w:after="0"/>
              <w:rPr>
                <w:sz w:val="20"/>
                <w:szCs w:val="20"/>
                <w:color w:val="auto"/>
              </w:rPr>
            </w:pPr>
            <w:r>
              <w:rPr>
                <w:rFonts w:ascii="Arial" w:cs="Arial" w:eastAsia="Arial" w:hAnsi="Arial"/>
                <w:sz w:val="10"/>
                <w:szCs w:val="10"/>
                <w:b w:val="1"/>
                <w:bCs w:val="1"/>
                <w:color w:val="auto"/>
                <w:w w:val="99"/>
              </w:rPr>
              <w:t>Three Months Ended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r>
      <w:tr>
        <w:trPr>
          <w:trHeight w:val="139"/>
        </w:trPr>
        <w:tc>
          <w:tcPr>
            <w:tcW w:w="2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8"/>
              </w:rPr>
              <w:t>March 31, 2026</w:t>
            </w: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160" w:type="dxa"/>
            <w:vAlign w:val="bottom"/>
          </w:tcPr>
          <w:p>
            <w:pPr>
              <w:spacing w:after="0"/>
              <w:rPr>
                <w:sz w:val="12"/>
                <w:szCs w:val="12"/>
                <w:color w:val="auto"/>
              </w:rPr>
            </w:pPr>
          </w:p>
        </w:tc>
      </w:tr>
      <w:tr>
        <w:trPr>
          <w:trHeight w:val="100"/>
        </w:trPr>
        <w:tc>
          <w:tcPr>
            <w:tcW w:w="22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3"/>
          </w:tcPr>
          <w:p>
            <w:pPr>
              <w:spacing w:after="0" w:line="100" w:lineRule="exact"/>
              <w:rPr>
                <w:sz w:val="20"/>
                <w:szCs w:val="20"/>
                <w:color w:val="auto"/>
              </w:rPr>
            </w:pPr>
            <w:r>
              <w:rPr>
                <w:rFonts w:ascii="Arial" w:cs="Arial" w:eastAsia="Arial" w:hAnsi="Arial"/>
                <w:sz w:val="10"/>
                <w:szCs w:val="10"/>
                <w:b w:val="1"/>
                <w:bCs w:val="1"/>
                <w:color w:val="auto"/>
              </w:rPr>
              <w:t>NOI</w:t>
            </w:r>
          </w:p>
        </w:tc>
        <w:tc>
          <w:tcPr>
            <w:tcW w:w="880" w:type="dxa"/>
            <w:vAlign w:val="bottom"/>
            <w:gridSpan w:val="4"/>
          </w:tcPr>
          <w:p>
            <w:pPr>
              <w:jc w:val="right"/>
              <w:ind w:right="220"/>
              <w:spacing w:after="0" w:line="100" w:lineRule="exact"/>
              <w:rPr>
                <w:sz w:val="20"/>
                <w:szCs w:val="20"/>
                <w:color w:val="auto"/>
              </w:rPr>
            </w:pPr>
            <w:r>
              <w:rPr>
                <w:rFonts w:ascii="Arial" w:cs="Arial" w:eastAsia="Arial" w:hAnsi="Arial"/>
                <w:sz w:val="10"/>
                <w:szCs w:val="10"/>
                <w:b w:val="1"/>
                <w:bCs w:val="1"/>
                <w:color w:val="auto"/>
              </w:rPr>
              <w:t>Cash NOI</w:t>
            </w:r>
          </w:p>
        </w:tc>
        <w:tc>
          <w:tcPr>
            <w:tcW w:w="220" w:type="dxa"/>
            <w:vAlign w:val="bottom"/>
            <w:tcBorders>
              <w:right w:val="single" w:sz="8" w:color="auto"/>
            </w:tcBorders>
          </w:tcPr>
          <w:p>
            <w:pPr>
              <w:spacing w:after="0"/>
              <w:rPr>
                <w:sz w:val="8"/>
                <w:szCs w:val="8"/>
                <w:color w:val="auto"/>
              </w:rPr>
            </w:pPr>
          </w:p>
        </w:tc>
        <w:tc>
          <w:tcPr>
            <w:tcW w:w="2160" w:type="dxa"/>
            <w:vAlign w:val="bottom"/>
          </w:tcPr>
          <w:p>
            <w:pPr>
              <w:spacing w:after="0"/>
              <w:rPr>
                <w:sz w:val="8"/>
                <w:szCs w:val="8"/>
                <w:color w:val="auto"/>
              </w:rPr>
            </w:pPr>
          </w:p>
        </w:tc>
      </w:tr>
      <w:tr>
        <w:trPr>
          <w:trHeight w:val="20"/>
        </w:trPr>
        <w:tc>
          <w:tcPr>
            <w:tcW w:w="2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7"/>
        </w:trPr>
        <w:tc>
          <w:tcPr>
            <w:tcW w:w="2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Manhattan Office</w:t>
            </w:r>
          </w:p>
        </w:tc>
        <w:tc>
          <w:tcPr>
            <w:tcW w:w="840" w:type="dxa"/>
            <w:vAlign w:val="bottom"/>
            <w:gridSpan w:val="2"/>
          </w:tcPr>
          <w:p>
            <w:pPr>
              <w:jc w:val="right"/>
              <w:ind w:right="2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1"/>
              <w:spacing w:after="0"/>
              <w:rPr>
                <w:sz w:val="20"/>
                <w:szCs w:val="20"/>
                <w:color w:val="auto"/>
              </w:rPr>
            </w:pPr>
            <w:r>
              <w:rPr>
                <w:rFonts w:ascii="Arial" w:cs="Arial" w:eastAsia="Arial" w:hAnsi="Arial"/>
                <w:sz w:val="10"/>
                <w:szCs w:val="10"/>
                <w:color w:val="auto"/>
              </w:rPr>
              <w:t>180,771</w:t>
            </w:r>
          </w:p>
        </w:tc>
        <w:tc>
          <w:tcPr>
            <w:tcW w:w="220" w:type="dxa"/>
            <w:vAlign w:val="bottom"/>
          </w:tcPr>
          <w:p>
            <w:pPr>
              <w:spacing w:after="0"/>
              <w:rPr>
                <w:sz w:val="15"/>
                <w:szCs w:val="15"/>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159,533</w:t>
            </w:r>
          </w:p>
        </w:tc>
        <w:tc>
          <w:tcPr>
            <w:tcW w:w="220" w:type="dxa"/>
            <w:vAlign w:val="bottom"/>
            <w:tcBorders>
              <w:right w:val="single" w:sz="8" w:color="auto"/>
            </w:tcBorders>
          </w:tcPr>
          <w:p>
            <w:pPr>
              <w:spacing w:after="0"/>
              <w:rPr>
                <w:sz w:val="15"/>
                <w:szCs w:val="15"/>
                <w:color w:val="auto"/>
              </w:rPr>
            </w:pPr>
          </w:p>
        </w:tc>
        <w:tc>
          <w:tcPr>
            <w:tcW w:w="2160" w:type="dxa"/>
            <w:vAlign w:val="bottom"/>
          </w:tcPr>
          <w:p>
            <w:pPr>
              <w:spacing w:after="0"/>
              <w:rPr>
                <w:sz w:val="15"/>
                <w:szCs w:val="15"/>
                <w:color w:val="auto"/>
              </w:rPr>
            </w:pPr>
          </w:p>
        </w:tc>
      </w:tr>
      <w:tr>
        <w:trPr>
          <w:trHeight w:val="138"/>
        </w:trPr>
        <w:tc>
          <w:tcPr>
            <w:tcW w:w="2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Development / Redevelopment</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11"/>
              <w:spacing w:after="0"/>
              <w:rPr>
                <w:sz w:val="20"/>
                <w:szCs w:val="20"/>
                <w:color w:val="auto"/>
              </w:rPr>
            </w:pPr>
            <w:r>
              <w:rPr>
                <w:rFonts w:ascii="Arial" w:cs="Arial" w:eastAsia="Arial" w:hAnsi="Arial"/>
                <w:sz w:val="10"/>
                <w:szCs w:val="10"/>
                <w:color w:val="auto"/>
              </w:rPr>
              <w:t>583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1,109</w:t>
            </w:r>
          </w:p>
        </w:tc>
        <w:tc>
          <w:tcPr>
            <w:tcW w:w="220" w:type="dxa"/>
            <w:vAlign w:val="bottom"/>
            <w:tcBorders>
              <w:right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r>
        <w:trPr>
          <w:trHeight w:val="138"/>
        </w:trPr>
        <w:tc>
          <w:tcPr>
            <w:tcW w:w="2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High Street Retail</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11"/>
              <w:spacing w:after="0"/>
              <w:rPr>
                <w:sz w:val="20"/>
                <w:szCs w:val="20"/>
                <w:color w:val="auto"/>
              </w:rPr>
            </w:pPr>
            <w:r>
              <w:rPr>
                <w:rFonts w:ascii="Arial" w:cs="Arial" w:eastAsia="Arial" w:hAnsi="Arial"/>
                <w:sz w:val="10"/>
                <w:szCs w:val="10"/>
                <w:color w:val="auto"/>
              </w:rPr>
              <w:t>5,362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5,032</w:t>
            </w:r>
          </w:p>
        </w:tc>
        <w:tc>
          <w:tcPr>
            <w:tcW w:w="220" w:type="dxa"/>
            <w:vAlign w:val="bottom"/>
            <w:tcBorders>
              <w:right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r>
        <w:trPr>
          <w:trHeight w:val="138"/>
        </w:trPr>
        <w:tc>
          <w:tcPr>
            <w:tcW w:w="2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Suburban</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11"/>
              <w:spacing w:after="0"/>
              <w:rPr>
                <w:sz w:val="20"/>
                <w:szCs w:val="20"/>
                <w:color w:val="auto"/>
              </w:rPr>
            </w:pPr>
            <w:r>
              <w:rPr>
                <w:rFonts w:ascii="Arial" w:cs="Arial" w:eastAsia="Arial" w:hAnsi="Arial"/>
                <w:sz w:val="10"/>
                <w:szCs w:val="10"/>
                <w:color w:val="auto"/>
              </w:rPr>
              <w:t>1,170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1,216</w:t>
            </w:r>
          </w:p>
        </w:tc>
        <w:tc>
          <w:tcPr>
            <w:tcW w:w="220" w:type="dxa"/>
            <w:vAlign w:val="bottom"/>
            <w:tcBorders>
              <w:right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r>
        <w:trPr>
          <w:trHeight w:val="138"/>
        </w:trPr>
        <w:tc>
          <w:tcPr>
            <w:tcW w:w="2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Residential</w:t>
            </w:r>
          </w:p>
        </w:tc>
        <w:tc>
          <w:tcPr>
            <w:tcW w:w="5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color w:val="auto"/>
              </w:rPr>
              <w:t>6,293</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6,016</w:t>
            </w:r>
          </w:p>
        </w:tc>
        <w:tc>
          <w:tcPr>
            <w:tcW w:w="220" w:type="dxa"/>
            <w:vAlign w:val="bottom"/>
            <w:tcBorders>
              <w:right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r>
        <w:trPr>
          <w:trHeight w:val="134"/>
        </w:trPr>
        <w:tc>
          <w:tcPr>
            <w:tcW w:w="2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20"/>
                <w:szCs w:val="20"/>
                <w:color w:val="auto"/>
              </w:rPr>
            </w:pPr>
            <w:r>
              <w:rPr>
                <w:rFonts w:ascii="Arial" w:cs="Arial" w:eastAsia="Arial" w:hAnsi="Arial"/>
                <w:sz w:val="10"/>
                <w:szCs w:val="10"/>
                <w:b w:val="1"/>
                <w:bCs w:val="1"/>
                <w:color w:val="auto"/>
              </w:rPr>
              <w:t>Total Operating and Development</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11"/>
              <w:spacing w:after="0"/>
              <w:rPr>
                <w:sz w:val="20"/>
                <w:szCs w:val="20"/>
                <w:color w:val="auto"/>
              </w:rPr>
            </w:pPr>
            <w:r>
              <w:rPr>
                <w:rFonts w:ascii="Arial" w:cs="Arial" w:eastAsia="Arial" w:hAnsi="Arial"/>
                <w:sz w:val="10"/>
                <w:szCs w:val="10"/>
                <w:b w:val="1"/>
                <w:bCs w:val="1"/>
                <w:color w:val="auto"/>
              </w:rPr>
              <w:t>194,179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172,906</w:t>
            </w:r>
          </w:p>
        </w:tc>
        <w:tc>
          <w:tcPr>
            <w:tcW w:w="220" w:type="dxa"/>
            <w:vAlign w:val="bottom"/>
            <w:tcBorders>
              <w:right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r>
        <w:trPr>
          <w:trHeight w:val="131"/>
        </w:trPr>
        <w:tc>
          <w:tcPr>
            <w:tcW w:w="2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Alternative Strategy Portfolio</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11"/>
              <w:spacing w:after="0"/>
              <w:rPr>
                <w:sz w:val="20"/>
                <w:szCs w:val="20"/>
                <w:color w:val="auto"/>
              </w:rPr>
            </w:pPr>
            <w:r>
              <w:rPr>
                <w:rFonts w:ascii="Arial" w:cs="Arial" w:eastAsia="Arial" w:hAnsi="Arial"/>
                <w:sz w:val="10"/>
                <w:szCs w:val="10"/>
                <w:color w:val="auto"/>
              </w:rPr>
              <w:t>11,582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11,058</w:t>
            </w:r>
          </w:p>
        </w:tc>
        <w:tc>
          <w:tcPr>
            <w:tcW w:w="220" w:type="dxa"/>
            <w:vAlign w:val="bottom"/>
            <w:tcBorders>
              <w:right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r>
        <w:trPr>
          <w:trHeight w:val="142"/>
        </w:trPr>
        <w:tc>
          <w:tcPr>
            <w:tcW w:w="2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 xml:space="preserve">Property Dispositions </w:t>
            </w:r>
            <w:r>
              <w:rPr>
                <w:rFonts w:ascii="Arial" w:cs="Arial" w:eastAsia="Arial" w:hAnsi="Arial"/>
                <w:sz w:val="12"/>
                <w:szCs w:val="12"/>
                <w:color w:val="auto"/>
                <w:vertAlign w:val="superscript"/>
              </w:rPr>
              <w:t>(2)</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(12)</w:t>
            </w:r>
          </w:p>
        </w:tc>
        <w:tc>
          <w:tcPr>
            <w:tcW w:w="220" w:type="dxa"/>
            <w:vAlign w:val="bottom"/>
            <w:tcBorders>
              <w:right w:val="single" w:sz="8" w:color="auto"/>
            </w:tcBorders>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2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 xml:space="preserve">Other </w:t>
            </w:r>
            <w:r>
              <w:rPr>
                <w:rFonts w:ascii="Arial" w:cs="Arial" w:eastAsia="Arial" w:hAnsi="Arial"/>
                <w:sz w:val="12"/>
                <w:szCs w:val="12"/>
                <w:color w:val="auto"/>
                <w:vertAlign w:val="superscript"/>
              </w:rPr>
              <w:t>(3)</w:t>
            </w:r>
          </w:p>
        </w:tc>
        <w:tc>
          <w:tcPr>
            <w:tcW w:w="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color w:val="auto"/>
              </w:rPr>
              <w:t>6,198</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6,425</w:t>
            </w:r>
          </w:p>
        </w:tc>
        <w:tc>
          <w:tcPr>
            <w:tcW w:w="220" w:type="dxa"/>
            <w:vAlign w:val="bottom"/>
            <w:tcBorders>
              <w:right w:val="single" w:sz="8" w:color="auto"/>
            </w:tcBorders>
          </w:tcPr>
          <w:p>
            <w:pPr>
              <w:spacing w:after="0"/>
              <w:rPr>
                <w:sz w:val="12"/>
                <w:szCs w:val="12"/>
                <w:color w:val="auto"/>
              </w:rPr>
            </w:pPr>
          </w:p>
        </w:tc>
        <w:tc>
          <w:tcPr>
            <w:tcW w:w="2160" w:type="dxa"/>
            <w:vAlign w:val="bottom"/>
          </w:tcPr>
          <w:p>
            <w:pPr>
              <w:spacing w:after="0"/>
              <w:rPr>
                <w:sz w:val="12"/>
                <w:szCs w:val="12"/>
                <w:color w:val="auto"/>
              </w:rPr>
            </w:pPr>
          </w:p>
        </w:tc>
      </w:tr>
      <w:tr>
        <w:trPr>
          <w:trHeight w:val="128"/>
        </w:trPr>
        <w:tc>
          <w:tcPr>
            <w:tcW w:w="2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20"/>
                <w:szCs w:val="20"/>
                <w:color w:val="auto"/>
              </w:rPr>
            </w:pPr>
            <w:r>
              <w:rPr>
                <w:rFonts w:ascii="Arial" w:cs="Arial" w:eastAsia="Arial" w:hAnsi="Arial"/>
                <w:sz w:val="10"/>
                <w:szCs w:val="10"/>
                <w:b w:val="1"/>
                <w:bCs w:val="1"/>
                <w:color w:val="auto"/>
              </w:rPr>
              <w:t>Total</w:t>
            </w:r>
          </w:p>
        </w:tc>
        <w:tc>
          <w:tcPr>
            <w:tcW w:w="50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b w:val="1"/>
                <w:bCs w:val="1"/>
                <w:color w:val="auto"/>
              </w:rPr>
              <w:t>211,947</w:t>
            </w:r>
          </w:p>
        </w:tc>
        <w:tc>
          <w:tcPr>
            <w:tcW w:w="22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190,377</w:t>
            </w:r>
          </w:p>
        </w:tc>
        <w:tc>
          <w:tcPr>
            <w:tcW w:w="220" w:type="dxa"/>
            <w:vAlign w:val="bottom"/>
            <w:tcBorders>
              <w:right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r>
        <w:trPr>
          <w:trHeight w:val="20"/>
        </w:trPr>
        <w:tc>
          <w:tcPr>
            <w:tcW w:w="2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53"/>
        </w:trPr>
        <w:tc>
          <w:tcPr>
            <w:tcW w:w="2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6"/>
          </w:tcPr>
          <w:p>
            <w:pPr>
              <w:spacing w:after="0"/>
              <w:rPr>
                <w:sz w:val="20"/>
                <w:szCs w:val="20"/>
                <w:color w:val="auto"/>
              </w:rPr>
            </w:pPr>
            <w:r>
              <w:rPr>
                <w:rFonts w:ascii="Arial" w:cs="Arial" w:eastAsia="Arial" w:hAnsi="Arial"/>
                <w:sz w:val="9"/>
                <w:szCs w:val="9"/>
                <w:color w:val="auto"/>
              </w:rPr>
              <w:t>(1) Portfolio composition consistent with the Selected Property Data tables.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160" w:type="dxa"/>
            <w:vAlign w:val="bottom"/>
          </w:tcPr>
          <w:p>
            <w:pPr>
              <w:spacing w:after="0"/>
              <w:rPr>
                <w:sz w:val="13"/>
                <w:szCs w:val="13"/>
                <w:color w:val="auto"/>
              </w:rPr>
            </w:pPr>
          </w:p>
        </w:tc>
      </w:tr>
      <w:tr>
        <w:trPr>
          <w:trHeight w:val="148"/>
        </w:trPr>
        <w:tc>
          <w:tcPr>
            <w:tcW w:w="2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40" w:type="dxa"/>
            <w:vAlign w:val="bottom"/>
            <w:gridSpan w:val="6"/>
          </w:tcPr>
          <w:p>
            <w:pPr>
              <w:spacing w:after="0"/>
              <w:rPr>
                <w:sz w:val="20"/>
                <w:szCs w:val="20"/>
                <w:color w:val="auto"/>
              </w:rPr>
            </w:pPr>
            <w:r>
              <w:rPr>
                <w:rFonts w:ascii="Arial" w:cs="Arial" w:eastAsia="Arial" w:hAnsi="Arial"/>
                <w:sz w:val="9"/>
                <w:szCs w:val="9"/>
                <w:color w:val="auto"/>
              </w:rPr>
              <w:t>(2) Includes properties sold or otherwise disposed of during the respective period.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160" w:type="dxa"/>
            <w:vAlign w:val="bottom"/>
          </w:tcPr>
          <w:p>
            <w:pPr>
              <w:spacing w:after="0"/>
              <w:rPr>
                <w:sz w:val="12"/>
                <w:szCs w:val="12"/>
                <w:color w:val="auto"/>
              </w:rPr>
            </w:pPr>
          </w:p>
        </w:tc>
      </w:tr>
      <w:tr>
        <w:trPr>
          <w:trHeight w:val="122"/>
        </w:trPr>
        <w:tc>
          <w:tcPr>
            <w:tcW w:w="22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540" w:type="dxa"/>
            <w:vAlign w:val="bottom"/>
            <w:tcBorders>
              <w:right w:val="single" w:sz="8" w:color="auto"/>
            </w:tcBorders>
            <w:gridSpan w:val="11"/>
          </w:tcPr>
          <w:p>
            <w:pPr>
              <w:spacing w:after="0"/>
              <w:rPr>
                <w:sz w:val="20"/>
                <w:szCs w:val="20"/>
                <w:color w:val="auto"/>
              </w:rPr>
            </w:pPr>
            <w:r>
              <w:rPr>
                <w:rFonts w:ascii="Arial" w:cs="Arial" w:eastAsia="Arial" w:hAnsi="Arial"/>
                <w:sz w:val="9"/>
                <w:szCs w:val="9"/>
                <w:color w:val="auto"/>
                <w:w w:val="98"/>
              </w:rPr>
              <w:t>(3) Includes SL Green Management Corp., Emerge 212, Belmont Insurance Company and Ticonderoga Insurance</w:t>
            </w:r>
          </w:p>
        </w:tc>
        <w:tc>
          <w:tcPr>
            <w:tcW w:w="2160" w:type="dxa"/>
            <w:vAlign w:val="bottom"/>
          </w:tcPr>
          <w:p>
            <w:pPr>
              <w:spacing w:after="0"/>
              <w:rPr>
                <w:sz w:val="10"/>
                <w:szCs w:val="10"/>
                <w:color w:val="auto"/>
              </w:rPr>
            </w:pPr>
          </w:p>
        </w:tc>
      </w:tr>
      <w:tr>
        <w:trPr>
          <w:trHeight w:val="111"/>
        </w:trPr>
        <w:tc>
          <w:tcPr>
            <w:tcW w:w="22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40" w:type="dxa"/>
            <w:vAlign w:val="bottom"/>
          </w:tcPr>
          <w:p>
            <w:pPr>
              <w:spacing w:after="0"/>
              <w:rPr>
                <w:sz w:val="20"/>
                <w:szCs w:val="20"/>
                <w:color w:val="auto"/>
              </w:rPr>
            </w:pPr>
            <w:r>
              <w:rPr>
                <w:rFonts w:ascii="Arial" w:cs="Arial" w:eastAsia="Arial" w:hAnsi="Arial"/>
                <w:sz w:val="9"/>
                <w:szCs w:val="9"/>
                <w:color w:val="auto"/>
              </w:rPr>
              <w:t>Company.</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160" w:type="dxa"/>
            <w:vAlign w:val="bottom"/>
          </w:tcPr>
          <w:p>
            <w:pPr>
              <w:spacing w:after="0"/>
              <w:rPr>
                <w:sz w:val="9"/>
                <w:szCs w:val="9"/>
                <w:color w:val="auto"/>
              </w:rPr>
            </w:pPr>
          </w:p>
        </w:tc>
      </w:tr>
      <w:tr>
        <w:trPr>
          <w:trHeight w:val="115"/>
        </w:trPr>
        <w:tc>
          <w:tcPr>
            <w:tcW w:w="2200" w:type="dxa"/>
            <w:vAlign w:val="bottom"/>
            <w:tcBorders>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2160" w:type="dxa"/>
            <w:vAlign w:val="bottom"/>
          </w:tcPr>
          <w:p>
            <w:pPr>
              <w:spacing w:after="0"/>
              <w:rPr>
                <w:sz w:val="10"/>
                <w:szCs w:val="10"/>
                <w:color w:val="auto"/>
              </w:rPr>
            </w:pPr>
          </w:p>
        </w:tc>
      </w:tr>
      <w:tr>
        <w:trPr>
          <w:trHeight w:val="451"/>
        </w:trPr>
        <w:tc>
          <w:tcPr>
            <w:tcW w:w="4200" w:type="dxa"/>
            <w:vAlign w:val="bottom"/>
            <w:gridSpan w:val="3"/>
          </w:tcPr>
          <w:p>
            <w:pPr>
              <w:spacing w:after="0"/>
              <w:rPr>
                <w:sz w:val="20"/>
                <w:szCs w:val="20"/>
                <w:color w:val="auto"/>
              </w:rPr>
            </w:pPr>
            <w:r>
              <w:rPr>
                <w:rFonts w:ascii="Arial" w:cs="Arial" w:eastAsia="Arial" w:hAnsi="Arial"/>
                <w:sz w:val="9"/>
                <w:szCs w:val="9"/>
                <w:color w:val="auto"/>
              </w:rPr>
              <w:t>Supplemental Information</w:t>
            </w:r>
          </w:p>
        </w:tc>
        <w:tc>
          <w:tcPr>
            <w:tcW w:w="500" w:type="dxa"/>
            <w:vAlign w:val="bottom"/>
          </w:tcPr>
          <w:p>
            <w:pPr>
              <w:jc w:val="right"/>
              <w:ind w:right="72"/>
              <w:spacing w:after="0"/>
              <w:rPr>
                <w:sz w:val="20"/>
                <w:szCs w:val="20"/>
                <w:color w:val="auto"/>
              </w:rPr>
            </w:pPr>
            <w:r>
              <w:rPr>
                <w:rFonts w:ascii="Arial" w:cs="Arial" w:eastAsia="Arial" w:hAnsi="Arial"/>
                <w:sz w:val="9"/>
                <w:szCs w:val="9"/>
                <w:color w:val="auto"/>
              </w:rPr>
              <w:t>19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ind w:left="1400"/>
              <w:spacing w:after="0"/>
              <w:rPr>
                <w:sz w:val="20"/>
                <w:szCs w:val="20"/>
                <w:color w:val="auto"/>
              </w:rPr>
            </w:pPr>
            <w:r>
              <w:rPr>
                <w:rFonts w:ascii="Arial" w:cs="Arial" w:eastAsia="Arial" w:hAnsi="Arial"/>
                <w:sz w:val="9"/>
                <w:szCs w:val="9"/>
                <w:color w:val="auto"/>
              </w:rPr>
              <w:t>First Quarter 2026</w:t>
            </w:r>
          </w:p>
        </w:tc>
      </w:tr>
    </w:tbl>
    <w:p>
      <w:pPr>
        <w:sectPr>
          <w:pgSz w:w="11900" w:h="16838" w:orient="portrait"/>
          <w:cols w:equalWidth="0" w:num="1">
            <w:col w:w="9080"/>
          </w:cols>
          <w:pgMar w:left="1400" w:top="290" w:right="141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ind w:right="4520"/>
        <w:spacing w:after="0" w:line="216" w:lineRule="auto"/>
        <w:rPr>
          <w:sz w:val="20"/>
          <w:szCs w:val="20"/>
          <w:color w:val="auto"/>
        </w:rPr>
      </w:pPr>
      <w:r>
        <w:rPr>
          <w:rFonts w:ascii="Arial" w:cs="Arial" w:eastAsia="Arial" w:hAnsi="Arial"/>
          <w:sz w:val="13"/>
          <w:szCs w:val="13"/>
          <w:b w:val="1"/>
          <w:bCs w:val="1"/>
          <w:color w:val="auto"/>
        </w:rPr>
        <w:t>Same Store Net Operating Income - Wholly Owned and Consolidated JVs 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820" w:type="dxa"/>
        <w:tblCellMar>
          <w:top w:w="0" w:type="dxa"/>
          <w:left w:w="0" w:type="dxa"/>
          <w:bottom w:w="0" w:type="dxa"/>
          <w:right w:w="0" w:type="dxa"/>
        </w:tblCellMar>
      </w:tblPr>
      <w:tr>
        <w:trPr>
          <w:trHeight w:val="137"/>
        </w:trPr>
        <w:tc>
          <w:tcPr>
            <w:tcW w:w="28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9"/>
          </w:tcPr>
          <w:p>
            <w:pPr>
              <w:ind w:left="20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4"/>
          </w:tcPr>
          <w:p>
            <w:pPr>
              <w:ind w:left="80"/>
              <w:spacing w:after="0"/>
              <w:rPr>
                <w:sz w:val="20"/>
                <w:szCs w:val="20"/>
                <w:color w:val="auto"/>
              </w:rPr>
            </w:pPr>
            <w:r>
              <w:rPr>
                <w:rFonts w:ascii="Arial" w:cs="Arial" w:eastAsia="Arial" w:hAnsi="Arial"/>
                <w:sz w:val="10"/>
                <w:szCs w:val="10"/>
                <w:b w:val="1"/>
                <w:bCs w:val="1"/>
                <w:color w:val="auto"/>
              </w:rPr>
              <w:t>March 31,</w:t>
            </w:r>
          </w:p>
        </w:tc>
        <w:tc>
          <w:tcPr>
            <w:tcW w:w="140" w:type="dxa"/>
            <w:vAlign w:val="bottom"/>
          </w:tcPr>
          <w:p>
            <w:pPr>
              <w:spacing w:after="0"/>
              <w:rPr>
                <w:sz w:val="11"/>
                <w:szCs w:val="11"/>
                <w:color w:val="auto"/>
              </w:rPr>
            </w:pPr>
          </w:p>
        </w:tc>
        <w:tc>
          <w:tcPr>
            <w:tcW w:w="740" w:type="dxa"/>
            <w:vAlign w:val="bottom"/>
            <w:gridSpan w:val="3"/>
          </w:tcPr>
          <w:p>
            <w:pPr>
              <w:jc w:val="right"/>
              <w:ind w:right="171"/>
              <w:spacing w:after="0"/>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tcPr>
          <w:p>
            <w:pPr>
              <w:ind w:left="2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1"/>
                <w:szCs w:val="11"/>
                <w:color w:val="auto"/>
              </w:rPr>
            </w:pPr>
          </w:p>
        </w:tc>
        <w:tc>
          <w:tcPr>
            <w:tcW w:w="800" w:type="dxa"/>
            <w:vAlign w:val="bottom"/>
            <w:gridSpan w:val="3"/>
          </w:tcPr>
          <w:p>
            <w:pPr>
              <w:jc w:val="center"/>
              <w:ind w:right="31"/>
              <w:spacing w:after="0"/>
              <w:rPr>
                <w:sz w:val="20"/>
                <w:szCs w:val="20"/>
                <w:color w:val="auto"/>
              </w:rPr>
            </w:pPr>
            <w:r>
              <w:rPr>
                <w:rFonts w:ascii="Arial" w:cs="Arial" w:eastAsia="Arial" w:hAnsi="Arial"/>
                <w:sz w:val="10"/>
                <w:szCs w:val="10"/>
                <w:b w:val="1"/>
                <w:bCs w:val="1"/>
                <w:color w:val="auto"/>
                <w:w w:val="99"/>
              </w:rPr>
              <w:t>September 30,</w:t>
            </w: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right"/>
              <w:ind w:right="291"/>
              <w:spacing w:after="0"/>
              <w:rPr>
                <w:sz w:val="20"/>
                <w:szCs w:val="20"/>
                <w:color w:val="auto"/>
              </w:rPr>
            </w:pPr>
            <w:r>
              <w:rPr>
                <w:rFonts w:ascii="Arial" w:cs="Arial" w:eastAsia="Arial" w:hAnsi="Arial"/>
                <w:sz w:val="10"/>
                <w:szCs w:val="10"/>
                <w:b w:val="1"/>
                <w:bCs w:val="1"/>
                <w:color w:val="auto"/>
              </w:rPr>
              <w:t>2026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right"/>
              <w:ind w:right="291"/>
              <w:spacing w:after="0"/>
              <w:rPr>
                <w:sz w:val="20"/>
                <w:szCs w:val="20"/>
                <w:color w:val="auto"/>
              </w:rPr>
            </w:pPr>
            <w:r>
              <w:rPr>
                <w:rFonts w:ascii="Arial" w:cs="Arial" w:eastAsia="Arial" w:hAnsi="Arial"/>
                <w:sz w:val="10"/>
                <w:szCs w:val="10"/>
                <w:b w:val="1"/>
                <w:bCs w:val="1"/>
                <w:color w:val="auto"/>
              </w:rPr>
              <w:t>2025</w:t>
            </w:r>
          </w:p>
        </w:tc>
        <w:tc>
          <w:tcPr>
            <w:tcW w:w="32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ind w:right="271"/>
              <w:spacing w:after="0"/>
              <w:rPr>
                <w:sz w:val="20"/>
                <w:szCs w:val="20"/>
                <w:color w:val="auto"/>
              </w:rPr>
            </w:pPr>
            <w:r>
              <w:rPr>
                <w:rFonts w:ascii="Arial" w:cs="Arial" w:eastAsia="Arial" w:hAnsi="Arial"/>
                <w:sz w:val="10"/>
                <w:szCs w:val="10"/>
                <w:b w:val="1"/>
                <w:bCs w:val="1"/>
                <w:color w:val="auto"/>
              </w:rPr>
              <w:t>2025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2025</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Revenues</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80"/>
              <w:spacing w:after="0"/>
              <w:rPr>
                <w:sz w:val="20"/>
                <w:szCs w:val="20"/>
                <w:color w:val="auto"/>
              </w:rPr>
            </w:pPr>
            <w:r>
              <w:rPr>
                <w:rFonts w:ascii="Arial" w:cs="Arial" w:eastAsia="Arial" w:hAnsi="Arial"/>
                <w:sz w:val="10"/>
                <w:szCs w:val="10"/>
                <w:color w:val="auto"/>
              </w:rPr>
              <w:t>Rental revenue, net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137,334</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137,547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71"/>
              <w:spacing w:after="0"/>
              <w:rPr>
                <w:sz w:val="20"/>
                <w:szCs w:val="20"/>
                <w:color w:val="auto"/>
              </w:rPr>
            </w:pPr>
            <w:r>
              <w:rPr>
                <w:rFonts w:ascii="Arial" w:cs="Arial" w:eastAsia="Arial" w:hAnsi="Arial"/>
                <w:sz w:val="10"/>
                <w:szCs w:val="10"/>
                <w:color w:val="auto"/>
              </w:rPr>
              <w:t>136,800</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139,001</w:t>
            </w:r>
          </w:p>
        </w:tc>
        <w:tc>
          <w:tcPr>
            <w:tcW w:w="0" w:type="dxa"/>
            <w:vAlign w:val="bottom"/>
          </w:tcPr>
          <w:p>
            <w:pPr>
              <w:spacing w:after="0"/>
              <w:rPr>
                <w:sz w:val="1"/>
                <w:szCs w:val="1"/>
                <w:color w:val="auto"/>
              </w:rPr>
            </w:pPr>
          </w:p>
        </w:tc>
      </w:tr>
      <w:tr>
        <w:trPr>
          <w:trHeight w:val="138"/>
        </w:trPr>
        <w:tc>
          <w:tcPr>
            <w:tcW w:w="2880" w:type="dxa"/>
            <w:vAlign w:val="bottom"/>
          </w:tcPr>
          <w:p>
            <w:pPr>
              <w:ind w:left="280"/>
              <w:spacing w:after="0"/>
              <w:rPr>
                <w:sz w:val="20"/>
                <w:szCs w:val="20"/>
                <w:color w:val="auto"/>
              </w:rPr>
            </w:pPr>
            <w:r>
              <w:rPr>
                <w:rFonts w:ascii="Arial" w:cs="Arial" w:eastAsia="Arial" w:hAnsi="Arial"/>
                <w:sz w:val="10"/>
                <w:szCs w:val="10"/>
                <w:color w:val="auto"/>
              </w:rPr>
              <w:t>Escalation &amp; reimbursement revenues</w:t>
            </w:r>
          </w:p>
        </w:tc>
        <w:tc>
          <w:tcPr>
            <w:tcW w:w="140" w:type="dxa"/>
            <w:vAlign w:val="bottom"/>
          </w:tcPr>
          <w:p>
            <w:pPr>
              <w:spacing w:after="0"/>
              <w:rPr>
                <w:sz w:val="11"/>
                <w:szCs w:val="11"/>
                <w:color w:val="auto"/>
              </w:rPr>
            </w:pP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18,267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17,217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71"/>
              <w:spacing w:after="0"/>
              <w:rPr>
                <w:sz w:val="20"/>
                <w:szCs w:val="20"/>
                <w:color w:val="auto"/>
              </w:rPr>
            </w:pPr>
            <w:r>
              <w:rPr>
                <w:rFonts w:ascii="Arial" w:cs="Arial" w:eastAsia="Arial" w:hAnsi="Arial"/>
                <w:sz w:val="10"/>
                <w:szCs w:val="10"/>
                <w:color w:val="auto"/>
              </w:rPr>
              <w:t>19,925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17,375</w:t>
            </w:r>
          </w:p>
        </w:tc>
        <w:tc>
          <w:tcPr>
            <w:tcW w:w="0" w:type="dxa"/>
            <w:vAlign w:val="bottom"/>
          </w:tcPr>
          <w:p>
            <w:pPr>
              <w:spacing w:after="0"/>
              <w:rPr>
                <w:sz w:val="1"/>
                <w:szCs w:val="1"/>
                <w:color w:val="auto"/>
              </w:rPr>
            </w:pPr>
          </w:p>
        </w:tc>
      </w:tr>
      <w:tr>
        <w:trPr>
          <w:trHeight w:val="138"/>
        </w:trPr>
        <w:tc>
          <w:tcPr>
            <w:tcW w:w="2880" w:type="dxa"/>
            <w:vAlign w:val="bottom"/>
          </w:tcPr>
          <w:p>
            <w:pPr>
              <w:ind w:left="280"/>
              <w:spacing w:after="0"/>
              <w:rPr>
                <w:sz w:val="20"/>
                <w:szCs w:val="20"/>
                <w:color w:val="auto"/>
              </w:rPr>
            </w:pPr>
            <w:r>
              <w:rPr>
                <w:rFonts w:ascii="Arial" w:cs="Arial" w:eastAsia="Arial" w:hAnsi="Arial"/>
                <w:sz w:val="10"/>
                <w:szCs w:val="10"/>
                <w:color w:val="auto"/>
              </w:rPr>
              <w:t>Other income</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(35)</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4,661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1,457</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715</w:t>
            </w:r>
          </w:p>
        </w:tc>
        <w:tc>
          <w:tcPr>
            <w:tcW w:w="0" w:type="dxa"/>
            <w:vAlign w:val="bottom"/>
          </w:tcPr>
          <w:p>
            <w:pPr>
              <w:spacing w:after="0"/>
              <w:rPr>
                <w:sz w:val="1"/>
                <w:szCs w:val="1"/>
                <w:color w:val="auto"/>
              </w:rPr>
            </w:pPr>
          </w:p>
        </w:tc>
      </w:tr>
      <w:tr>
        <w:trPr>
          <w:trHeight w:val="134"/>
        </w:trPr>
        <w:tc>
          <w:tcPr>
            <w:tcW w:w="2880" w:type="dxa"/>
            <w:vAlign w:val="bottom"/>
          </w:tcPr>
          <w:p>
            <w:pPr>
              <w:ind w:left="280"/>
              <w:spacing w:after="0"/>
              <w:rPr>
                <w:sz w:val="20"/>
                <w:szCs w:val="20"/>
                <w:color w:val="auto"/>
              </w:rPr>
            </w:pPr>
            <w:r>
              <w:rPr>
                <w:rFonts w:ascii="Arial" w:cs="Arial" w:eastAsia="Arial" w:hAnsi="Arial"/>
                <w:sz w:val="10"/>
                <w:szCs w:val="10"/>
                <w:b w:val="1"/>
                <w:bCs w:val="1"/>
                <w:color w:val="auto"/>
              </w:rPr>
              <w:t>Total Revenues</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155,566</w:t>
            </w:r>
          </w:p>
        </w:tc>
        <w:tc>
          <w:tcPr>
            <w:tcW w:w="16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159,425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158,182</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157,091</w:t>
            </w:r>
          </w:p>
        </w:tc>
        <w:tc>
          <w:tcPr>
            <w:tcW w:w="0" w:type="dxa"/>
            <w:vAlign w:val="bottom"/>
          </w:tcPr>
          <w:p>
            <w:pPr>
              <w:spacing w:after="0"/>
              <w:rPr>
                <w:sz w:val="1"/>
                <w:szCs w:val="1"/>
                <w:color w:val="auto"/>
              </w:rPr>
            </w:pPr>
          </w:p>
        </w:tc>
      </w:tr>
      <w:tr>
        <w:trPr>
          <w:trHeight w:val="257"/>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Expenses</w:t>
            </w: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80"/>
              <w:spacing w:after="0"/>
              <w:rPr>
                <w:sz w:val="20"/>
                <w:szCs w:val="20"/>
                <w:color w:val="auto"/>
              </w:rPr>
            </w:pPr>
            <w:r>
              <w:rPr>
                <w:rFonts w:ascii="Arial" w:cs="Arial" w:eastAsia="Arial" w:hAnsi="Arial"/>
                <w:sz w:val="10"/>
                <w:szCs w:val="10"/>
                <w:color w:val="auto"/>
              </w:rPr>
              <w:t>Operating expenses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44,010</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43,726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71"/>
              <w:spacing w:after="0"/>
              <w:rPr>
                <w:sz w:val="20"/>
                <w:szCs w:val="20"/>
                <w:color w:val="auto"/>
              </w:rPr>
            </w:pPr>
            <w:r>
              <w:rPr>
                <w:rFonts w:ascii="Arial" w:cs="Arial" w:eastAsia="Arial" w:hAnsi="Arial"/>
                <w:sz w:val="10"/>
                <w:szCs w:val="10"/>
                <w:color w:val="auto"/>
              </w:rPr>
              <w:t>43,976</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44,201</w:t>
            </w:r>
          </w:p>
        </w:tc>
        <w:tc>
          <w:tcPr>
            <w:tcW w:w="0" w:type="dxa"/>
            <w:vAlign w:val="bottom"/>
          </w:tcPr>
          <w:p>
            <w:pPr>
              <w:spacing w:after="0"/>
              <w:rPr>
                <w:sz w:val="1"/>
                <w:szCs w:val="1"/>
                <w:color w:val="auto"/>
              </w:rPr>
            </w:pPr>
          </w:p>
        </w:tc>
      </w:tr>
      <w:tr>
        <w:trPr>
          <w:trHeight w:val="138"/>
        </w:trPr>
        <w:tc>
          <w:tcPr>
            <w:tcW w:w="2880" w:type="dxa"/>
            <w:vAlign w:val="bottom"/>
          </w:tcPr>
          <w:p>
            <w:pPr>
              <w:ind w:left="280"/>
              <w:spacing w:after="0"/>
              <w:rPr>
                <w:sz w:val="20"/>
                <w:szCs w:val="20"/>
                <w:color w:val="auto"/>
              </w:rPr>
            </w:pPr>
            <w:r>
              <w:rPr>
                <w:rFonts w:ascii="Arial" w:cs="Arial" w:eastAsia="Arial" w:hAnsi="Arial"/>
                <w:sz w:val="10"/>
                <w:szCs w:val="10"/>
                <w:color w:val="auto"/>
              </w:rPr>
              <w:t>Real estate taxes</w:t>
            </w:r>
          </w:p>
        </w:tc>
        <w:tc>
          <w:tcPr>
            <w:tcW w:w="140" w:type="dxa"/>
            <w:vAlign w:val="bottom"/>
          </w:tcPr>
          <w:p>
            <w:pPr>
              <w:spacing w:after="0"/>
              <w:rPr>
                <w:sz w:val="11"/>
                <w:szCs w:val="11"/>
                <w:color w:val="auto"/>
              </w:rPr>
            </w:pP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35,351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35,113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71"/>
              <w:spacing w:after="0"/>
              <w:rPr>
                <w:sz w:val="20"/>
                <w:szCs w:val="20"/>
                <w:color w:val="auto"/>
              </w:rPr>
            </w:pPr>
            <w:r>
              <w:rPr>
                <w:rFonts w:ascii="Arial" w:cs="Arial" w:eastAsia="Arial" w:hAnsi="Arial"/>
                <w:sz w:val="10"/>
                <w:szCs w:val="10"/>
                <w:color w:val="auto"/>
              </w:rPr>
              <w:t>35,724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34,685</w:t>
            </w:r>
          </w:p>
        </w:tc>
        <w:tc>
          <w:tcPr>
            <w:tcW w:w="0" w:type="dxa"/>
            <w:vAlign w:val="bottom"/>
          </w:tcPr>
          <w:p>
            <w:pPr>
              <w:spacing w:after="0"/>
              <w:rPr>
                <w:sz w:val="1"/>
                <w:szCs w:val="1"/>
                <w:color w:val="auto"/>
              </w:rPr>
            </w:pPr>
          </w:p>
        </w:tc>
      </w:tr>
      <w:tr>
        <w:trPr>
          <w:trHeight w:val="138"/>
        </w:trPr>
        <w:tc>
          <w:tcPr>
            <w:tcW w:w="2880" w:type="dxa"/>
            <w:vAlign w:val="bottom"/>
          </w:tcPr>
          <w:p>
            <w:pPr>
              <w:ind w:left="280"/>
              <w:spacing w:after="0"/>
              <w:rPr>
                <w:sz w:val="20"/>
                <w:szCs w:val="20"/>
                <w:color w:val="auto"/>
              </w:rPr>
            </w:pPr>
            <w:r>
              <w:rPr>
                <w:rFonts w:ascii="Arial" w:cs="Arial" w:eastAsia="Arial" w:hAnsi="Arial"/>
                <w:sz w:val="10"/>
                <w:szCs w:val="10"/>
                <w:color w:val="auto"/>
              </w:rPr>
              <w:t>Operating lease rent</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6,106</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6,106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6,106</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6,106</w:t>
            </w:r>
          </w:p>
        </w:tc>
        <w:tc>
          <w:tcPr>
            <w:tcW w:w="0" w:type="dxa"/>
            <w:vAlign w:val="bottom"/>
          </w:tcPr>
          <w:p>
            <w:pPr>
              <w:spacing w:after="0"/>
              <w:rPr>
                <w:sz w:val="1"/>
                <w:szCs w:val="1"/>
                <w:color w:val="auto"/>
              </w:rPr>
            </w:pPr>
          </w:p>
        </w:tc>
      </w:tr>
      <w:tr>
        <w:trPr>
          <w:trHeight w:val="134"/>
        </w:trPr>
        <w:tc>
          <w:tcPr>
            <w:tcW w:w="2880" w:type="dxa"/>
            <w:vAlign w:val="bottom"/>
          </w:tcPr>
          <w:p>
            <w:pPr>
              <w:ind w:left="280"/>
              <w:spacing w:after="0"/>
              <w:rPr>
                <w:sz w:val="20"/>
                <w:szCs w:val="20"/>
                <w:color w:val="auto"/>
              </w:rPr>
            </w:pPr>
            <w:r>
              <w:rPr>
                <w:rFonts w:ascii="Arial" w:cs="Arial" w:eastAsia="Arial" w:hAnsi="Arial"/>
                <w:sz w:val="10"/>
                <w:szCs w:val="10"/>
                <w:b w:val="1"/>
                <w:bCs w:val="1"/>
                <w:color w:val="auto"/>
              </w:rPr>
              <w:t>Total Operating Expenses</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85,467</w:t>
            </w:r>
          </w:p>
        </w:tc>
        <w:tc>
          <w:tcPr>
            <w:tcW w:w="16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84,945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85,806</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84,992</w:t>
            </w:r>
          </w:p>
        </w:tc>
        <w:tc>
          <w:tcPr>
            <w:tcW w:w="0" w:type="dxa"/>
            <w:vAlign w:val="bottom"/>
          </w:tcPr>
          <w:p>
            <w:pPr>
              <w:spacing w:after="0"/>
              <w:rPr>
                <w:sz w:val="1"/>
                <w:szCs w:val="1"/>
                <w:color w:val="auto"/>
              </w:rPr>
            </w:pPr>
          </w:p>
        </w:tc>
      </w:tr>
      <w:tr>
        <w:trPr>
          <w:trHeight w:val="176"/>
        </w:trPr>
        <w:tc>
          <w:tcPr>
            <w:tcW w:w="2880" w:type="dxa"/>
            <w:vAlign w:val="bottom"/>
          </w:tcPr>
          <w:p>
            <w:pPr>
              <w:ind w:left="280"/>
              <w:spacing w:after="0"/>
              <w:rPr>
                <w:sz w:val="20"/>
                <w:szCs w:val="20"/>
                <w:color w:val="auto"/>
              </w:rPr>
            </w:pPr>
            <w:r>
              <w:rPr>
                <w:rFonts w:ascii="Arial" w:cs="Arial" w:eastAsia="Arial" w:hAnsi="Arial"/>
                <w:sz w:val="10"/>
                <w:szCs w:val="10"/>
                <w:b w:val="1"/>
                <w:bCs w:val="1"/>
                <w:color w:val="auto"/>
              </w:rPr>
              <w:t>Operating Income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70,099</w:t>
            </w:r>
          </w:p>
        </w:tc>
        <w:tc>
          <w:tcPr>
            <w:tcW w:w="16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74,480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72,376</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72,099</w:t>
            </w:r>
          </w:p>
        </w:tc>
        <w:tc>
          <w:tcPr>
            <w:tcW w:w="0" w:type="dxa"/>
            <w:vAlign w:val="bottom"/>
          </w:tcPr>
          <w:p>
            <w:pPr>
              <w:spacing w:after="0"/>
              <w:rPr>
                <w:sz w:val="1"/>
                <w:szCs w:val="1"/>
                <w:color w:val="auto"/>
              </w:rPr>
            </w:pPr>
          </w:p>
        </w:tc>
      </w:tr>
      <w:tr>
        <w:trPr>
          <w:trHeight w:val="171"/>
        </w:trPr>
        <w:tc>
          <w:tcPr>
            <w:tcW w:w="2880" w:type="dxa"/>
            <w:vAlign w:val="bottom"/>
          </w:tcPr>
          <w:p>
            <w:pPr>
              <w:ind w:left="280"/>
              <w:spacing w:after="0"/>
              <w:rPr>
                <w:sz w:val="20"/>
                <w:szCs w:val="20"/>
                <w:color w:val="auto"/>
              </w:rPr>
            </w:pPr>
            <w:r>
              <w:rPr>
                <w:rFonts w:ascii="Arial" w:cs="Arial" w:eastAsia="Arial" w:hAnsi="Arial"/>
                <w:sz w:val="10"/>
                <w:szCs w:val="10"/>
                <w:color w:val="auto"/>
              </w:rPr>
              <w:t>Interest expense &amp; amortization of financing costs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26,102</w:t>
            </w:r>
          </w:p>
        </w:tc>
        <w:tc>
          <w:tcPr>
            <w:tcW w:w="1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24,109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71"/>
              <w:spacing w:after="0"/>
              <w:rPr>
                <w:sz w:val="20"/>
                <w:szCs w:val="20"/>
                <w:color w:val="auto"/>
              </w:rPr>
            </w:pPr>
            <w:r>
              <w:rPr>
                <w:rFonts w:ascii="Arial" w:cs="Arial" w:eastAsia="Arial" w:hAnsi="Arial"/>
                <w:sz w:val="10"/>
                <w:szCs w:val="10"/>
                <w:color w:val="auto"/>
              </w:rPr>
              <w:t>25,410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25,384</w:t>
            </w:r>
          </w:p>
        </w:tc>
        <w:tc>
          <w:tcPr>
            <w:tcW w:w="0" w:type="dxa"/>
            <w:vAlign w:val="bottom"/>
          </w:tcPr>
          <w:p>
            <w:pPr>
              <w:spacing w:after="0"/>
              <w:rPr>
                <w:sz w:val="1"/>
                <w:szCs w:val="1"/>
                <w:color w:val="auto"/>
              </w:rPr>
            </w:pPr>
          </w:p>
        </w:tc>
      </w:tr>
      <w:tr>
        <w:trPr>
          <w:trHeight w:val="142"/>
        </w:trPr>
        <w:tc>
          <w:tcPr>
            <w:tcW w:w="2880" w:type="dxa"/>
            <w:vAlign w:val="bottom"/>
          </w:tcPr>
          <w:p>
            <w:pPr>
              <w:ind w:left="280"/>
              <w:spacing w:after="0"/>
              <w:rPr>
                <w:sz w:val="20"/>
                <w:szCs w:val="20"/>
                <w:color w:val="auto"/>
              </w:rPr>
            </w:pPr>
            <w:r>
              <w:rPr>
                <w:rFonts w:ascii="Arial" w:cs="Arial" w:eastAsia="Arial" w:hAnsi="Arial"/>
                <w:sz w:val="10"/>
                <w:szCs w:val="10"/>
                <w:color w:val="auto"/>
              </w:rPr>
              <w:t>Depreciation &amp; amortization</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50,810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53,783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51,673</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52,683</w:t>
            </w:r>
          </w:p>
        </w:tc>
        <w:tc>
          <w:tcPr>
            <w:tcW w:w="0" w:type="dxa"/>
            <w:vAlign w:val="bottom"/>
          </w:tcPr>
          <w:p>
            <w:pPr>
              <w:spacing w:after="0"/>
              <w:rPr>
                <w:sz w:val="1"/>
                <w:szCs w:val="1"/>
                <w:color w:val="auto"/>
              </w:rPr>
            </w:pPr>
          </w:p>
        </w:tc>
      </w:tr>
      <w:tr>
        <w:trPr>
          <w:trHeight w:val="192"/>
        </w:trPr>
        <w:tc>
          <w:tcPr>
            <w:tcW w:w="2880" w:type="dxa"/>
            <w:vAlign w:val="bottom"/>
          </w:tcPr>
          <w:p>
            <w:pPr>
              <w:ind w:left="280"/>
              <w:spacing w:after="0"/>
              <w:rPr>
                <w:sz w:val="20"/>
                <w:szCs w:val="20"/>
                <w:color w:val="auto"/>
              </w:rPr>
            </w:pPr>
            <w:r>
              <w:rPr>
                <w:rFonts w:ascii="Arial" w:cs="Arial" w:eastAsia="Arial" w:hAnsi="Arial"/>
                <w:sz w:val="10"/>
                <w:szCs w:val="10"/>
                <w:color w:val="auto"/>
              </w:rPr>
              <w:t>Loss before noncontrolling interest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(6,813)</w:t>
            </w:r>
          </w:p>
        </w:tc>
        <w:tc>
          <w:tcPr>
            <w:tcW w:w="160" w:type="dxa"/>
            <w:vAlign w:val="bottom"/>
          </w:tcPr>
          <w:p>
            <w:pPr>
              <w:spacing w:after="0"/>
              <w:rPr>
                <w:sz w:val="16"/>
                <w:szCs w:val="16"/>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51"/>
              <w:spacing w:after="0"/>
              <w:rPr>
                <w:sz w:val="20"/>
                <w:szCs w:val="20"/>
                <w:color w:val="auto"/>
              </w:rPr>
            </w:pPr>
            <w:r>
              <w:rPr>
                <w:rFonts w:ascii="Arial" w:cs="Arial" w:eastAsia="Arial" w:hAnsi="Arial"/>
                <w:sz w:val="10"/>
                <w:szCs w:val="10"/>
                <w:color w:val="auto"/>
              </w:rPr>
              <w:t>(3,412)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51"/>
              <w:spacing w:after="0"/>
              <w:rPr>
                <w:sz w:val="20"/>
                <w:szCs w:val="20"/>
                <w:color w:val="auto"/>
              </w:rPr>
            </w:pPr>
            <w:r>
              <w:rPr>
                <w:rFonts w:ascii="Arial" w:cs="Arial" w:eastAsia="Arial" w:hAnsi="Arial"/>
                <w:sz w:val="10"/>
                <w:szCs w:val="10"/>
                <w:color w:val="auto"/>
              </w:rPr>
              <w:t>(4,707)</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51"/>
              <w:spacing w:after="0"/>
              <w:rPr>
                <w:sz w:val="20"/>
                <w:szCs w:val="20"/>
                <w:color w:val="auto"/>
              </w:rPr>
            </w:pPr>
            <w:r>
              <w:rPr>
                <w:rFonts w:ascii="Arial" w:cs="Arial" w:eastAsia="Arial" w:hAnsi="Arial"/>
                <w:sz w:val="10"/>
                <w:szCs w:val="10"/>
                <w:color w:val="auto"/>
              </w:rPr>
              <w:t>(5,968)</w:t>
            </w:r>
          </w:p>
        </w:tc>
        <w:tc>
          <w:tcPr>
            <w:tcW w:w="0" w:type="dxa"/>
            <w:vAlign w:val="bottom"/>
          </w:tcPr>
          <w:p>
            <w:pPr>
              <w:spacing w:after="0"/>
              <w:rPr>
                <w:sz w:val="1"/>
                <w:szCs w:val="1"/>
                <w:color w:val="auto"/>
              </w:rPr>
            </w:pPr>
          </w:p>
        </w:tc>
      </w:tr>
      <w:tr>
        <w:trPr>
          <w:trHeight w:val="138"/>
        </w:trPr>
        <w:tc>
          <w:tcPr>
            <w:tcW w:w="2880" w:type="dxa"/>
            <w:vAlign w:val="bottom"/>
          </w:tcPr>
          <w:p>
            <w:pPr>
              <w:ind w:left="280"/>
              <w:spacing w:after="0"/>
              <w:rPr>
                <w:sz w:val="20"/>
                <w:szCs w:val="20"/>
                <w:color w:val="auto"/>
              </w:rPr>
            </w:pPr>
            <w:r>
              <w:rPr>
                <w:rFonts w:ascii="Arial" w:cs="Arial" w:eastAsia="Arial" w:hAnsi="Arial"/>
                <w:sz w:val="10"/>
                <w:szCs w:val="10"/>
                <w:color w:val="auto"/>
              </w:rPr>
              <w:t>Real estate depreciation &amp; amortization</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50,810</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53,783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51,673</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52,683</w:t>
            </w:r>
          </w:p>
        </w:tc>
        <w:tc>
          <w:tcPr>
            <w:tcW w:w="0" w:type="dxa"/>
            <w:vAlign w:val="bottom"/>
          </w:tcPr>
          <w:p>
            <w:pPr>
              <w:spacing w:after="0"/>
              <w:rPr>
                <w:sz w:val="1"/>
                <w:szCs w:val="1"/>
                <w:color w:val="auto"/>
              </w:rPr>
            </w:pPr>
          </w:p>
        </w:tc>
      </w:tr>
      <w:tr>
        <w:trPr>
          <w:trHeight w:val="134"/>
        </w:trPr>
        <w:tc>
          <w:tcPr>
            <w:tcW w:w="2880" w:type="dxa"/>
            <w:vAlign w:val="bottom"/>
          </w:tcPr>
          <w:p>
            <w:pPr>
              <w:ind w:left="280"/>
              <w:spacing w:after="0"/>
              <w:rPr>
                <w:sz w:val="20"/>
                <w:szCs w:val="20"/>
                <w:color w:val="auto"/>
              </w:rPr>
            </w:pPr>
            <w:r>
              <w:rPr>
                <w:rFonts w:ascii="Arial" w:cs="Arial" w:eastAsia="Arial" w:hAnsi="Arial"/>
                <w:sz w:val="10"/>
                <w:szCs w:val="10"/>
                <w:b w:val="1"/>
                <w:bCs w:val="1"/>
                <w:color w:val="auto"/>
              </w:rPr>
              <w:t>FFO Contribution</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43,997</w:t>
            </w:r>
          </w:p>
        </w:tc>
        <w:tc>
          <w:tcPr>
            <w:tcW w:w="16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50,371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46,966</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46,715</w:t>
            </w:r>
          </w:p>
        </w:tc>
        <w:tc>
          <w:tcPr>
            <w:tcW w:w="0" w:type="dxa"/>
            <w:vAlign w:val="bottom"/>
          </w:tcPr>
          <w:p>
            <w:pPr>
              <w:spacing w:after="0"/>
              <w:rPr>
                <w:sz w:val="1"/>
                <w:szCs w:val="1"/>
                <w:color w:val="auto"/>
              </w:rPr>
            </w:pPr>
          </w:p>
        </w:tc>
      </w:tr>
      <w:tr>
        <w:trPr>
          <w:trHeight w:val="210"/>
        </w:trPr>
        <w:tc>
          <w:tcPr>
            <w:tcW w:w="2880" w:type="dxa"/>
            <w:vAlign w:val="bottom"/>
          </w:tcPr>
          <w:p>
            <w:pPr>
              <w:ind w:left="280"/>
              <w:spacing w:after="0"/>
              <w:rPr>
                <w:sz w:val="20"/>
                <w:szCs w:val="20"/>
                <w:color w:val="auto"/>
              </w:rPr>
            </w:pPr>
            <w:r>
              <w:rPr>
                <w:rFonts w:ascii="Arial" w:cs="Arial" w:eastAsia="Arial" w:hAnsi="Arial"/>
                <w:sz w:val="10"/>
                <w:szCs w:val="10"/>
                <w:color w:val="auto"/>
              </w:rPr>
              <w:t>Non–building revenue</w:t>
            </w:r>
          </w:p>
        </w:tc>
        <w:tc>
          <w:tcPr>
            <w:tcW w:w="140" w:type="dxa"/>
            <w:vAlign w:val="bottom"/>
          </w:tcPr>
          <w:p>
            <w:pPr>
              <w:spacing w:after="0"/>
              <w:rPr>
                <w:sz w:val="18"/>
                <w:szCs w:val="18"/>
                <w:color w:val="auto"/>
              </w:rPr>
            </w:pP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51"/>
              <w:spacing w:after="0"/>
              <w:rPr>
                <w:sz w:val="20"/>
                <w:szCs w:val="20"/>
                <w:color w:val="auto"/>
              </w:rPr>
            </w:pPr>
            <w:r>
              <w:rPr>
                <w:rFonts w:ascii="Arial" w:cs="Arial" w:eastAsia="Arial" w:hAnsi="Arial"/>
                <w:sz w:val="10"/>
                <w:szCs w:val="10"/>
                <w:color w:val="auto"/>
              </w:rPr>
              <w:t>(253)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51"/>
              <w:spacing w:after="0"/>
              <w:rPr>
                <w:sz w:val="20"/>
                <w:szCs w:val="20"/>
                <w:color w:val="auto"/>
              </w:rPr>
            </w:pPr>
            <w:r>
              <w:rPr>
                <w:rFonts w:ascii="Arial" w:cs="Arial" w:eastAsia="Arial" w:hAnsi="Arial"/>
                <w:sz w:val="10"/>
                <w:szCs w:val="10"/>
                <w:color w:val="auto"/>
              </w:rPr>
              <w:t>(736)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51"/>
              <w:spacing w:after="0"/>
              <w:rPr>
                <w:sz w:val="20"/>
                <w:szCs w:val="20"/>
                <w:color w:val="auto"/>
              </w:rPr>
            </w:pPr>
            <w:r>
              <w:rPr>
                <w:rFonts w:ascii="Arial" w:cs="Arial" w:eastAsia="Arial" w:hAnsi="Arial"/>
                <w:sz w:val="10"/>
                <w:szCs w:val="10"/>
                <w:color w:val="auto"/>
              </w:rPr>
              <w:t>(426)</w:t>
            </w:r>
          </w:p>
        </w:tc>
        <w:tc>
          <w:tcPr>
            <w:tcW w:w="0" w:type="dxa"/>
            <w:vAlign w:val="bottom"/>
          </w:tcPr>
          <w:p>
            <w:pPr>
              <w:spacing w:after="0"/>
              <w:rPr>
                <w:sz w:val="1"/>
                <w:szCs w:val="1"/>
                <w:color w:val="auto"/>
              </w:rPr>
            </w:pPr>
          </w:p>
        </w:tc>
      </w:tr>
      <w:tr>
        <w:trPr>
          <w:trHeight w:val="216"/>
        </w:trPr>
        <w:tc>
          <w:tcPr>
            <w:tcW w:w="2880" w:type="dxa"/>
            <w:vAlign w:val="bottom"/>
          </w:tcPr>
          <w:p>
            <w:pPr>
              <w:ind w:left="280"/>
              <w:spacing w:after="0"/>
              <w:rPr>
                <w:sz w:val="20"/>
                <w:szCs w:val="20"/>
                <w:color w:val="auto"/>
              </w:rPr>
            </w:pPr>
            <w:r>
              <w:rPr>
                <w:rFonts w:ascii="Arial" w:cs="Arial" w:eastAsia="Arial" w:hAnsi="Arial"/>
                <w:sz w:val="10"/>
                <w:szCs w:val="10"/>
                <w:color w:val="auto"/>
              </w:rPr>
              <w:t>Interest expense &amp; amortization of financing costs</w:t>
            </w:r>
          </w:p>
        </w:tc>
        <w:tc>
          <w:tcPr>
            <w:tcW w:w="140" w:type="dxa"/>
            <w:vAlign w:val="bottom"/>
          </w:tcPr>
          <w:p>
            <w:pPr>
              <w:spacing w:after="0"/>
              <w:rPr>
                <w:sz w:val="18"/>
                <w:szCs w:val="18"/>
                <w:color w:val="auto"/>
              </w:rPr>
            </w:pP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26,102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24,109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71"/>
              <w:spacing w:after="0"/>
              <w:rPr>
                <w:sz w:val="20"/>
                <w:szCs w:val="20"/>
                <w:color w:val="auto"/>
              </w:rPr>
            </w:pPr>
            <w:r>
              <w:rPr>
                <w:rFonts w:ascii="Arial" w:cs="Arial" w:eastAsia="Arial" w:hAnsi="Arial"/>
                <w:sz w:val="10"/>
                <w:szCs w:val="10"/>
                <w:color w:val="auto"/>
              </w:rPr>
              <w:t>25,410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25,384</w:t>
            </w:r>
          </w:p>
        </w:tc>
        <w:tc>
          <w:tcPr>
            <w:tcW w:w="0" w:type="dxa"/>
            <w:vAlign w:val="bottom"/>
          </w:tcPr>
          <w:p>
            <w:pPr>
              <w:spacing w:after="0"/>
              <w:rPr>
                <w:sz w:val="1"/>
                <w:szCs w:val="1"/>
                <w:color w:val="auto"/>
              </w:rPr>
            </w:pPr>
          </w:p>
        </w:tc>
      </w:tr>
      <w:tr>
        <w:trPr>
          <w:trHeight w:val="138"/>
        </w:trPr>
        <w:tc>
          <w:tcPr>
            <w:tcW w:w="2880" w:type="dxa"/>
            <w:vAlign w:val="bottom"/>
          </w:tcPr>
          <w:p>
            <w:pPr>
              <w:ind w:left="280"/>
              <w:spacing w:after="0"/>
              <w:rPr>
                <w:sz w:val="20"/>
                <w:szCs w:val="20"/>
                <w:color w:val="auto"/>
              </w:rPr>
            </w:pPr>
            <w:r>
              <w:rPr>
                <w:rFonts w:ascii="Arial" w:cs="Arial" w:eastAsia="Arial" w:hAnsi="Arial"/>
                <w:sz w:val="10"/>
                <w:szCs w:val="10"/>
                <w:color w:val="auto"/>
              </w:rPr>
              <w:t>Non-real estate depreciation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880" w:type="dxa"/>
            <w:vAlign w:val="bottom"/>
          </w:tcPr>
          <w:p>
            <w:pPr>
              <w:jc w:val="right"/>
              <w:ind w:right="71"/>
              <w:spacing w:after="0"/>
              <w:rPr>
                <w:sz w:val="20"/>
                <w:szCs w:val="20"/>
                <w:color w:val="auto"/>
              </w:rPr>
            </w:pPr>
            <w:r>
              <w:rPr>
                <w:rFonts w:ascii="Arial" w:cs="Arial" w:eastAsia="Arial" w:hAnsi="Arial"/>
                <w:sz w:val="10"/>
                <w:szCs w:val="10"/>
                <w:b w:val="1"/>
                <w:bCs w:val="1"/>
                <w:color w:val="auto"/>
              </w:rPr>
              <w:t>NOI</w:t>
            </w: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69,797</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gridSpan w:val="3"/>
          </w:tcPr>
          <w:p>
            <w:pPr>
              <w:jc w:val="right"/>
              <w:ind w:right="71"/>
              <w:spacing w:after="0"/>
              <w:rPr>
                <w:sz w:val="20"/>
                <w:szCs w:val="20"/>
                <w:color w:val="auto"/>
              </w:rPr>
            </w:pPr>
            <w:r>
              <w:rPr>
                <w:rFonts w:ascii="Arial" w:cs="Arial" w:eastAsia="Arial" w:hAnsi="Arial"/>
                <w:sz w:val="10"/>
                <w:szCs w:val="10"/>
                <w:b w:val="1"/>
                <w:bCs w:val="1"/>
                <w:color w:val="auto"/>
              </w:rPr>
              <w:t>74,227</w:t>
            </w:r>
          </w:p>
        </w:tc>
        <w:tc>
          <w:tcPr>
            <w:tcW w:w="66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rPr>
              <w:t>(6.0)%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gridSpan w:val="3"/>
          </w:tcPr>
          <w:p>
            <w:pPr>
              <w:jc w:val="right"/>
              <w:ind w:right="71"/>
              <w:spacing w:after="0"/>
              <w:rPr>
                <w:sz w:val="20"/>
                <w:szCs w:val="20"/>
                <w:color w:val="auto"/>
              </w:rPr>
            </w:pPr>
            <w:r>
              <w:rPr>
                <w:rFonts w:ascii="Arial" w:cs="Arial" w:eastAsia="Arial" w:hAnsi="Arial"/>
                <w:sz w:val="10"/>
                <w:szCs w:val="10"/>
                <w:b w:val="1"/>
                <w:bCs w:val="1"/>
                <w:color w:val="auto"/>
              </w:rPr>
              <w:t>71,640</w:t>
            </w:r>
          </w:p>
        </w:tc>
        <w:tc>
          <w:tcPr>
            <w:tcW w:w="1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71,673</w:t>
            </w:r>
          </w:p>
        </w:tc>
        <w:tc>
          <w:tcPr>
            <w:tcW w:w="0" w:type="dxa"/>
            <w:vAlign w:val="bottom"/>
          </w:tcPr>
          <w:p>
            <w:pPr>
              <w:spacing w:after="0"/>
              <w:rPr>
                <w:sz w:val="1"/>
                <w:szCs w:val="1"/>
                <w:color w:val="auto"/>
              </w:rPr>
            </w:pPr>
          </w:p>
        </w:tc>
      </w:tr>
      <w:tr>
        <w:trPr>
          <w:trHeight w:val="208"/>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Cash Adjustments</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80"/>
              <w:spacing w:after="0"/>
              <w:rPr>
                <w:sz w:val="20"/>
                <w:szCs w:val="20"/>
                <w:color w:val="auto"/>
              </w:rPr>
            </w:pPr>
            <w:r>
              <w:rPr>
                <w:rFonts w:ascii="Arial" w:cs="Arial" w:eastAsia="Arial" w:hAnsi="Arial"/>
                <w:sz w:val="10"/>
                <w:szCs w:val="10"/>
                <w:color w:val="auto"/>
              </w:rPr>
              <w:t>Free rent (net of amortization)</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(4,581)</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51"/>
              <w:spacing w:after="0"/>
              <w:rPr>
                <w:sz w:val="20"/>
                <w:szCs w:val="20"/>
                <w:color w:val="auto"/>
              </w:rPr>
            </w:pPr>
            <w:r>
              <w:rPr>
                <w:rFonts w:ascii="Arial" w:cs="Arial" w:eastAsia="Arial" w:hAnsi="Arial"/>
                <w:sz w:val="10"/>
                <w:szCs w:val="10"/>
                <w:color w:val="auto"/>
              </w:rPr>
              <w:t>(1,271)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51"/>
              <w:spacing w:after="0"/>
              <w:rPr>
                <w:sz w:val="20"/>
                <w:szCs w:val="20"/>
                <w:color w:val="auto"/>
              </w:rPr>
            </w:pPr>
            <w:r>
              <w:rPr>
                <w:rFonts w:ascii="Arial" w:cs="Arial" w:eastAsia="Arial" w:hAnsi="Arial"/>
                <w:sz w:val="10"/>
                <w:szCs w:val="10"/>
                <w:color w:val="auto"/>
              </w:rPr>
              <w:t>(4,513)</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51"/>
              <w:spacing w:after="0"/>
              <w:rPr>
                <w:sz w:val="20"/>
                <w:szCs w:val="20"/>
                <w:color w:val="auto"/>
              </w:rPr>
            </w:pPr>
            <w:r>
              <w:rPr>
                <w:rFonts w:ascii="Arial" w:cs="Arial" w:eastAsia="Arial" w:hAnsi="Arial"/>
                <w:sz w:val="10"/>
                <w:szCs w:val="10"/>
                <w:color w:val="auto"/>
              </w:rPr>
              <w:t>(1,767)</w:t>
            </w:r>
          </w:p>
        </w:tc>
        <w:tc>
          <w:tcPr>
            <w:tcW w:w="0" w:type="dxa"/>
            <w:vAlign w:val="bottom"/>
          </w:tcPr>
          <w:p>
            <w:pPr>
              <w:spacing w:after="0"/>
              <w:rPr>
                <w:sz w:val="1"/>
                <w:szCs w:val="1"/>
                <w:color w:val="auto"/>
              </w:rPr>
            </w:pPr>
          </w:p>
        </w:tc>
      </w:tr>
      <w:tr>
        <w:trPr>
          <w:trHeight w:val="138"/>
        </w:trPr>
        <w:tc>
          <w:tcPr>
            <w:tcW w:w="2880" w:type="dxa"/>
            <w:vAlign w:val="bottom"/>
          </w:tcPr>
          <w:p>
            <w:pPr>
              <w:ind w:left="280"/>
              <w:spacing w:after="0"/>
              <w:rPr>
                <w:sz w:val="20"/>
                <w:szCs w:val="20"/>
                <w:color w:val="auto"/>
              </w:rPr>
            </w:pPr>
            <w:r>
              <w:rPr>
                <w:rFonts w:ascii="Arial" w:cs="Arial" w:eastAsia="Arial" w:hAnsi="Arial"/>
                <w:sz w:val="10"/>
                <w:szCs w:val="10"/>
                <w:color w:val="auto"/>
              </w:rPr>
              <w:t>Straight-line revenue adjustment</w:t>
            </w:r>
          </w:p>
        </w:tc>
        <w:tc>
          <w:tcPr>
            <w:tcW w:w="140" w:type="dxa"/>
            <w:vAlign w:val="bottom"/>
          </w:tcPr>
          <w:p>
            <w:pPr>
              <w:spacing w:after="0"/>
              <w:rPr>
                <w:sz w:val="11"/>
                <w:szCs w:val="11"/>
                <w:color w:val="auto"/>
              </w:rPr>
            </w:pP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1,339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4,495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71"/>
              <w:spacing w:after="0"/>
              <w:rPr>
                <w:sz w:val="20"/>
                <w:szCs w:val="20"/>
                <w:color w:val="auto"/>
              </w:rPr>
            </w:pPr>
            <w:r>
              <w:rPr>
                <w:rFonts w:ascii="Arial" w:cs="Arial" w:eastAsia="Arial" w:hAnsi="Arial"/>
                <w:sz w:val="10"/>
                <w:szCs w:val="10"/>
                <w:color w:val="auto"/>
              </w:rPr>
              <w:t>2,043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1,997</w:t>
            </w:r>
          </w:p>
        </w:tc>
        <w:tc>
          <w:tcPr>
            <w:tcW w:w="0" w:type="dxa"/>
            <w:vAlign w:val="bottom"/>
          </w:tcPr>
          <w:p>
            <w:pPr>
              <w:spacing w:after="0"/>
              <w:rPr>
                <w:sz w:val="1"/>
                <w:szCs w:val="1"/>
                <w:color w:val="auto"/>
              </w:rPr>
            </w:pPr>
          </w:p>
        </w:tc>
      </w:tr>
      <w:tr>
        <w:trPr>
          <w:trHeight w:val="109"/>
        </w:trPr>
        <w:tc>
          <w:tcPr>
            <w:tcW w:w="2880" w:type="dxa"/>
            <w:vAlign w:val="bottom"/>
          </w:tcPr>
          <w:p>
            <w:pPr>
              <w:ind w:left="280"/>
              <w:spacing w:after="0" w:line="109" w:lineRule="exact"/>
              <w:rPr>
                <w:sz w:val="20"/>
                <w:szCs w:val="20"/>
                <w:color w:val="auto"/>
              </w:rPr>
            </w:pPr>
            <w:r>
              <w:rPr>
                <w:rFonts w:ascii="Arial" w:cs="Arial" w:eastAsia="Arial" w:hAnsi="Arial"/>
                <w:sz w:val="10"/>
                <w:szCs w:val="10"/>
                <w:color w:val="auto"/>
              </w:rPr>
              <w:t>Amortization of acquired above and below-market</w:t>
            </w:r>
          </w:p>
        </w:tc>
        <w:tc>
          <w:tcPr>
            <w:tcW w:w="140" w:type="dxa"/>
            <w:vAlign w:val="bottom"/>
          </w:tcPr>
          <w:p>
            <w:pPr>
              <w:spacing w:after="0"/>
              <w:rPr>
                <w:sz w:val="9"/>
                <w:szCs w:val="9"/>
                <w:color w:val="auto"/>
              </w:rPr>
            </w:pPr>
          </w:p>
        </w:tc>
        <w:tc>
          <w:tcPr>
            <w:tcW w:w="760" w:type="dxa"/>
            <w:vAlign w:val="bottom"/>
            <w:gridSpan w:val="3"/>
            <w:vMerge w:val="restart"/>
          </w:tcPr>
          <w:p>
            <w:pPr>
              <w:jc w:val="right"/>
              <w:ind w:right="91"/>
              <w:spacing w:after="0"/>
              <w:rPr>
                <w:sz w:val="20"/>
                <w:szCs w:val="20"/>
                <w:color w:val="auto"/>
              </w:rPr>
            </w:pPr>
            <w:r>
              <w:rPr>
                <w:rFonts w:ascii="Arial" w:cs="Arial" w:eastAsia="Arial" w:hAnsi="Arial"/>
                <w:sz w:val="10"/>
                <w:szCs w:val="10"/>
                <w:color w:val="auto"/>
              </w:rPr>
              <w:t>1,147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vMerge w:val="restart"/>
          </w:tcPr>
          <w:p>
            <w:pPr>
              <w:jc w:val="right"/>
              <w:ind w:right="71"/>
              <w:spacing w:after="0"/>
              <w:rPr>
                <w:sz w:val="20"/>
                <w:szCs w:val="20"/>
                <w:color w:val="auto"/>
              </w:rPr>
            </w:pPr>
            <w:r>
              <w:rPr>
                <w:rFonts w:ascii="Arial" w:cs="Arial" w:eastAsia="Arial" w:hAnsi="Arial"/>
                <w:sz w:val="10"/>
                <w:szCs w:val="10"/>
                <w:color w:val="auto"/>
              </w:rPr>
              <w:t>912</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restart"/>
          </w:tcPr>
          <w:p>
            <w:pPr>
              <w:jc w:val="right"/>
              <w:ind w:right="71"/>
              <w:spacing w:after="0"/>
              <w:rPr>
                <w:sz w:val="20"/>
                <w:szCs w:val="20"/>
                <w:color w:val="auto"/>
              </w:rPr>
            </w:pPr>
            <w:r>
              <w:rPr>
                <w:rFonts w:ascii="Arial" w:cs="Arial" w:eastAsia="Arial" w:hAnsi="Arial"/>
                <w:sz w:val="10"/>
                <w:szCs w:val="10"/>
                <w:color w:val="auto"/>
              </w:rPr>
              <w:t>1,100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restart"/>
          </w:tcPr>
          <w:p>
            <w:pPr>
              <w:jc w:val="right"/>
              <w:ind w:right="91"/>
              <w:spacing w:after="0"/>
              <w:rPr>
                <w:sz w:val="20"/>
                <w:szCs w:val="20"/>
                <w:color w:val="auto"/>
              </w:rPr>
            </w:pPr>
            <w:r>
              <w:rPr>
                <w:rFonts w:ascii="Arial" w:cs="Arial" w:eastAsia="Arial" w:hAnsi="Arial"/>
                <w:sz w:val="10"/>
                <w:szCs w:val="10"/>
                <w:color w:val="auto"/>
              </w:rPr>
              <w:t>942</w:t>
            </w:r>
          </w:p>
        </w:tc>
        <w:tc>
          <w:tcPr>
            <w:tcW w:w="0" w:type="dxa"/>
            <w:vAlign w:val="bottom"/>
          </w:tcPr>
          <w:p>
            <w:pPr>
              <w:spacing w:after="0"/>
              <w:rPr>
                <w:sz w:val="1"/>
                <w:szCs w:val="1"/>
                <w:color w:val="auto"/>
              </w:rPr>
            </w:pPr>
          </w:p>
        </w:tc>
      </w:tr>
      <w:tr>
        <w:trPr>
          <w:trHeight w:val="78"/>
        </w:trPr>
        <w:tc>
          <w:tcPr>
            <w:tcW w:w="2880" w:type="dxa"/>
            <w:vAlign w:val="bottom"/>
            <w:vMerge w:val="restart"/>
          </w:tcPr>
          <w:p>
            <w:pPr>
              <w:ind w:left="280"/>
              <w:spacing w:after="0"/>
              <w:rPr>
                <w:sz w:val="20"/>
                <w:szCs w:val="20"/>
                <w:color w:val="auto"/>
              </w:rPr>
            </w:pPr>
            <w:r>
              <w:rPr>
                <w:rFonts w:ascii="Arial" w:cs="Arial" w:eastAsia="Arial" w:hAnsi="Arial"/>
                <w:sz w:val="10"/>
                <w:szCs w:val="10"/>
                <w:color w:val="auto"/>
              </w:rPr>
              <w:t>leases, net</w:t>
            </w:r>
          </w:p>
        </w:tc>
        <w:tc>
          <w:tcPr>
            <w:tcW w:w="1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8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880" w:type="dxa"/>
            <w:vAlign w:val="bottom"/>
          </w:tcPr>
          <w:p>
            <w:pPr>
              <w:ind w:left="280"/>
              <w:spacing w:after="0"/>
              <w:rPr>
                <w:sz w:val="20"/>
                <w:szCs w:val="20"/>
                <w:color w:val="auto"/>
              </w:rPr>
            </w:pPr>
            <w:r>
              <w:rPr>
                <w:rFonts w:ascii="Arial" w:cs="Arial" w:eastAsia="Arial" w:hAnsi="Arial"/>
                <w:sz w:val="10"/>
                <w:szCs w:val="10"/>
                <w:color w:val="auto"/>
              </w:rPr>
              <w:t>Operating lease straight-line adjustment</w:t>
            </w:r>
          </w:p>
        </w:tc>
        <w:tc>
          <w:tcPr>
            <w:tcW w:w="140" w:type="dxa"/>
            <w:vAlign w:val="bottom"/>
          </w:tcPr>
          <w:p>
            <w:pPr>
              <w:spacing w:after="0"/>
              <w:rPr>
                <w:sz w:val="11"/>
                <w:szCs w:val="11"/>
                <w:color w:val="auto"/>
              </w:rPr>
            </w:pP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204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204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71"/>
              <w:spacing w:after="0"/>
              <w:rPr>
                <w:sz w:val="20"/>
                <w:szCs w:val="20"/>
                <w:color w:val="auto"/>
              </w:rPr>
            </w:pPr>
            <w:r>
              <w:rPr>
                <w:rFonts w:ascii="Arial" w:cs="Arial" w:eastAsia="Arial" w:hAnsi="Arial"/>
                <w:sz w:val="10"/>
                <w:szCs w:val="10"/>
                <w:color w:val="auto"/>
              </w:rPr>
              <w:t>204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204</w:t>
            </w:r>
          </w:p>
        </w:tc>
        <w:tc>
          <w:tcPr>
            <w:tcW w:w="0" w:type="dxa"/>
            <w:vAlign w:val="bottom"/>
          </w:tcPr>
          <w:p>
            <w:pPr>
              <w:spacing w:after="0"/>
              <w:rPr>
                <w:sz w:val="1"/>
                <w:szCs w:val="1"/>
                <w:color w:val="auto"/>
              </w:rPr>
            </w:pPr>
          </w:p>
        </w:tc>
      </w:tr>
      <w:tr>
        <w:trPr>
          <w:trHeight w:val="138"/>
        </w:trPr>
        <w:tc>
          <w:tcPr>
            <w:tcW w:w="2880" w:type="dxa"/>
            <w:vAlign w:val="bottom"/>
          </w:tcPr>
          <w:p>
            <w:pPr>
              <w:ind w:left="280"/>
              <w:spacing w:after="0"/>
              <w:rPr>
                <w:sz w:val="20"/>
                <w:szCs w:val="20"/>
                <w:color w:val="auto"/>
              </w:rPr>
            </w:pPr>
            <w:r>
              <w:rPr>
                <w:rFonts w:ascii="Arial" w:cs="Arial" w:eastAsia="Arial" w:hAnsi="Arial"/>
                <w:sz w:val="10"/>
                <w:szCs w:val="10"/>
                <w:color w:val="auto"/>
              </w:rPr>
              <w:t>Straight-line tenant credit loss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(198)</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color w:val="auto"/>
              </w:rPr>
              <w:t>(1,931)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284</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34"/>
        </w:trPr>
        <w:tc>
          <w:tcPr>
            <w:tcW w:w="2880" w:type="dxa"/>
            <w:vAlign w:val="bottom"/>
          </w:tcPr>
          <w:p>
            <w:pPr>
              <w:jc w:val="right"/>
              <w:ind w:right="71"/>
              <w:spacing w:after="0"/>
              <w:rPr>
                <w:sz w:val="20"/>
                <w:szCs w:val="20"/>
                <w:color w:val="auto"/>
              </w:rPr>
            </w:pPr>
            <w:r>
              <w:rPr>
                <w:rFonts w:ascii="Arial" w:cs="Arial" w:eastAsia="Arial" w:hAnsi="Arial"/>
                <w:sz w:val="10"/>
                <w:szCs w:val="10"/>
                <w:b w:val="1"/>
                <w:bCs w:val="1"/>
                <w:color w:val="auto"/>
              </w:rPr>
              <w:t>Cash NOI</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67,708</w:t>
            </w:r>
          </w:p>
        </w:tc>
        <w:tc>
          <w:tcPr>
            <w:tcW w:w="16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76,636</w:t>
            </w:r>
          </w:p>
        </w:tc>
        <w:tc>
          <w:tcPr>
            <w:tcW w:w="66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rPr>
              <w:t>(11.6)%</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70,758</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73,042</w:t>
            </w:r>
          </w:p>
        </w:tc>
        <w:tc>
          <w:tcPr>
            <w:tcW w:w="0" w:type="dxa"/>
            <w:vAlign w:val="bottom"/>
          </w:tcPr>
          <w:p>
            <w:pPr>
              <w:spacing w:after="0"/>
              <w:rPr>
                <w:sz w:val="1"/>
                <w:szCs w:val="1"/>
                <w:color w:val="auto"/>
              </w:rPr>
            </w:pPr>
          </w:p>
        </w:tc>
      </w:tr>
      <w:tr>
        <w:trPr>
          <w:trHeight w:val="210"/>
        </w:trPr>
        <w:tc>
          <w:tcPr>
            <w:tcW w:w="2880" w:type="dxa"/>
            <w:vAlign w:val="bottom"/>
          </w:tcPr>
          <w:p>
            <w:pPr>
              <w:ind w:left="280"/>
              <w:spacing w:after="0"/>
              <w:rPr>
                <w:sz w:val="20"/>
                <w:szCs w:val="20"/>
                <w:color w:val="auto"/>
              </w:rPr>
            </w:pPr>
            <w:r>
              <w:rPr>
                <w:rFonts w:ascii="Arial" w:cs="Arial" w:eastAsia="Arial" w:hAnsi="Arial"/>
                <w:sz w:val="10"/>
                <w:szCs w:val="10"/>
                <w:color w:val="auto"/>
              </w:rPr>
              <w:t>Lease termination income</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356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color w:val="auto"/>
              </w:rPr>
              <w:t>(4,393)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color w:val="auto"/>
              </w:rPr>
              <w:t>(704)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color w:val="auto"/>
              </w:rPr>
              <w:t>(270)</w:t>
            </w:r>
          </w:p>
        </w:tc>
        <w:tc>
          <w:tcPr>
            <w:tcW w:w="0" w:type="dxa"/>
            <w:vAlign w:val="bottom"/>
          </w:tcPr>
          <w:p>
            <w:pPr>
              <w:spacing w:after="0"/>
              <w:rPr>
                <w:sz w:val="1"/>
                <w:szCs w:val="1"/>
                <w:color w:val="auto"/>
              </w:rPr>
            </w:pPr>
          </w:p>
        </w:tc>
      </w:tr>
      <w:tr>
        <w:trPr>
          <w:trHeight w:val="134"/>
        </w:trPr>
        <w:tc>
          <w:tcPr>
            <w:tcW w:w="2880" w:type="dxa"/>
            <w:vAlign w:val="bottom"/>
          </w:tcPr>
          <w:p>
            <w:pPr>
              <w:jc w:val="right"/>
              <w:ind w:right="71"/>
              <w:spacing w:after="0"/>
              <w:rPr>
                <w:sz w:val="20"/>
                <w:szCs w:val="20"/>
                <w:color w:val="auto"/>
              </w:rPr>
            </w:pPr>
            <w:r>
              <w:rPr>
                <w:rFonts w:ascii="Arial" w:cs="Arial" w:eastAsia="Arial" w:hAnsi="Arial"/>
                <w:sz w:val="10"/>
                <w:szCs w:val="10"/>
                <w:b w:val="1"/>
                <w:bCs w:val="1"/>
                <w:color w:val="auto"/>
              </w:rPr>
              <w:t>Cash NOI excluding lease termination income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68,064</w:t>
            </w:r>
          </w:p>
        </w:tc>
        <w:tc>
          <w:tcPr>
            <w:tcW w:w="16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72,243</w:t>
            </w:r>
          </w:p>
        </w:tc>
        <w:tc>
          <w:tcPr>
            <w:tcW w:w="66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rPr>
              <w:t>(5.8)%</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70,054</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72,772</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14605</wp:posOffset>
            </wp:positionV>
            <wp:extent cx="472122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21225" cy="6350"/>
                    </a:xfrm>
                    <a:prstGeom prst="rect">
                      <a:avLst/>
                    </a:prstGeom>
                    <a:noFill/>
                  </pic:spPr>
                </pic:pic>
              </a:graphicData>
            </a:graphic>
          </wp:anchor>
        </w:drawing>
      </w:r>
    </w:p>
    <w:p>
      <w:pPr>
        <w:sectPr>
          <w:pgSz w:w="11900" w:h="16838" w:orient="portrait"/>
          <w:cols w:equalWidth="0" w:num="1">
            <w:col w:w="9080"/>
          </w:cols>
          <w:pgMar w:left="1400" w:top="297" w:right="1419" w:bottom="1440" w:gutter="0" w:footer="0" w:header="0"/>
        </w:sectPr>
      </w:pPr>
    </w:p>
    <w:p>
      <w:pPr>
        <w:spacing w:after="0" w:line="35" w:lineRule="exact"/>
        <w:rPr>
          <w:sz w:val="20"/>
          <w:szCs w:val="20"/>
          <w:color w:val="auto"/>
        </w:rPr>
      </w:pPr>
    </w:p>
    <w:p>
      <w:pPr>
        <w:ind w:left="1100"/>
        <w:spacing w:after="0"/>
        <w:rPr>
          <w:sz w:val="20"/>
          <w:szCs w:val="20"/>
          <w:color w:val="auto"/>
        </w:rPr>
      </w:pPr>
      <w:r>
        <w:rPr>
          <w:rFonts w:ascii="Arial" w:cs="Arial" w:eastAsia="Arial" w:hAnsi="Arial"/>
          <w:sz w:val="10"/>
          <w:szCs w:val="10"/>
          <w:color w:val="auto"/>
        </w:rPr>
        <w:t>NOI to real estate revenue, net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0"/>
          <w:szCs w:val="10"/>
          <w:color w:val="auto"/>
        </w:rPr>
        <w:t>Cash NOI to real estate revenue, net</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9"/>
          <w:szCs w:val="9"/>
          <w:color w:val="auto"/>
        </w:rPr>
        <w:t>NOI before operating lease rent/real estate revenue, net</w:t>
      </w:r>
    </w:p>
    <w:p>
      <w:pPr>
        <w:spacing w:after="0" w:line="26" w:lineRule="exact"/>
        <w:rPr>
          <w:sz w:val="20"/>
          <w:szCs w:val="20"/>
          <w:color w:val="auto"/>
        </w:rPr>
      </w:pPr>
    </w:p>
    <w:p>
      <w:pPr>
        <w:ind w:left="1100"/>
        <w:spacing w:after="0"/>
        <w:rPr>
          <w:sz w:val="20"/>
          <w:szCs w:val="20"/>
          <w:color w:val="auto"/>
        </w:rPr>
      </w:pPr>
      <w:r>
        <w:rPr>
          <w:rFonts w:ascii="Arial" w:cs="Arial" w:eastAsia="Arial" w:hAnsi="Arial"/>
          <w:sz w:val="10"/>
          <w:szCs w:val="10"/>
          <w:color w:val="auto"/>
        </w:rPr>
        <w:t>Cash NOI before operating lease rent/real estate</w:t>
      </w:r>
    </w:p>
    <w:p>
      <w:pPr>
        <w:ind w:left="1100"/>
        <w:spacing w:after="0"/>
        <w:rPr>
          <w:sz w:val="20"/>
          <w:szCs w:val="20"/>
          <w:color w:val="auto"/>
        </w:rPr>
      </w:pPr>
      <w:r>
        <w:rPr>
          <w:rFonts w:ascii="Arial" w:cs="Arial" w:eastAsia="Arial" w:hAnsi="Arial"/>
          <w:sz w:val="10"/>
          <w:szCs w:val="10"/>
          <w:color w:val="auto"/>
        </w:rPr>
        <w:t>revenue, net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jc w:val="right"/>
              <w:ind w:right="311"/>
              <w:spacing w:after="0"/>
              <w:rPr>
                <w:sz w:val="20"/>
                <w:szCs w:val="20"/>
                <w:color w:val="auto"/>
              </w:rPr>
            </w:pPr>
            <w:r>
              <w:rPr>
                <w:rFonts w:ascii="Arial" w:cs="Arial" w:eastAsia="Arial" w:hAnsi="Arial"/>
                <w:sz w:val="10"/>
                <w:szCs w:val="10"/>
                <w:color w:val="auto"/>
                <w:w w:val="96"/>
              </w:rPr>
              <w:t>45.0 %</w:t>
            </w:r>
          </w:p>
        </w:tc>
        <w:tc>
          <w:tcPr>
            <w:tcW w:w="1300" w:type="dxa"/>
            <w:vAlign w:val="bottom"/>
          </w:tcPr>
          <w:p>
            <w:pPr>
              <w:jc w:val="right"/>
              <w:ind w:right="551"/>
              <w:spacing w:after="0"/>
              <w:rPr>
                <w:sz w:val="20"/>
                <w:szCs w:val="20"/>
                <w:color w:val="auto"/>
              </w:rPr>
            </w:pPr>
            <w:r>
              <w:rPr>
                <w:rFonts w:ascii="Arial" w:cs="Arial" w:eastAsia="Arial" w:hAnsi="Arial"/>
                <w:sz w:val="10"/>
                <w:szCs w:val="10"/>
                <w:color w:val="auto"/>
              </w:rPr>
              <w:t>46.6 %</w:t>
            </w:r>
          </w:p>
        </w:tc>
        <w:tc>
          <w:tcPr>
            <w:tcW w:w="1320" w:type="dxa"/>
            <w:vAlign w:val="bottom"/>
          </w:tcPr>
          <w:p>
            <w:pPr>
              <w:jc w:val="right"/>
              <w:ind w:right="331"/>
              <w:spacing w:after="0"/>
              <w:rPr>
                <w:sz w:val="20"/>
                <w:szCs w:val="20"/>
                <w:color w:val="auto"/>
              </w:rPr>
            </w:pPr>
            <w:r>
              <w:rPr>
                <w:rFonts w:ascii="Arial" w:cs="Arial" w:eastAsia="Arial" w:hAnsi="Arial"/>
                <w:sz w:val="10"/>
                <w:szCs w:val="10"/>
                <w:color w:val="auto"/>
              </w:rPr>
              <w:t>45.5 %</w:t>
            </w:r>
          </w:p>
        </w:tc>
        <w:tc>
          <w:tcPr>
            <w:tcW w:w="680" w:type="dxa"/>
            <w:vAlign w:val="bottom"/>
          </w:tcPr>
          <w:p>
            <w:pPr>
              <w:jc w:val="right"/>
              <w:spacing w:after="0"/>
              <w:rPr>
                <w:sz w:val="20"/>
                <w:szCs w:val="20"/>
                <w:color w:val="auto"/>
              </w:rPr>
            </w:pPr>
            <w:r>
              <w:rPr>
                <w:rFonts w:ascii="Arial" w:cs="Arial" w:eastAsia="Arial" w:hAnsi="Arial"/>
                <w:sz w:val="10"/>
                <w:szCs w:val="10"/>
                <w:color w:val="auto"/>
              </w:rPr>
              <w:t>45.7 %</w:t>
            </w:r>
          </w:p>
        </w:tc>
      </w:tr>
      <w:tr>
        <w:trPr>
          <w:trHeight w:val="138"/>
        </w:trPr>
        <w:tc>
          <w:tcPr>
            <w:tcW w:w="680" w:type="dxa"/>
            <w:vAlign w:val="bottom"/>
          </w:tcPr>
          <w:p>
            <w:pPr>
              <w:jc w:val="right"/>
              <w:ind w:right="311"/>
              <w:spacing w:after="0"/>
              <w:rPr>
                <w:sz w:val="20"/>
                <w:szCs w:val="20"/>
                <w:color w:val="auto"/>
              </w:rPr>
            </w:pPr>
            <w:r>
              <w:rPr>
                <w:rFonts w:ascii="Arial" w:cs="Arial" w:eastAsia="Arial" w:hAnsi="Arial"/>
                <w:sz w:val="10"/>
                <w:szCs w:val="10"/>
                <w:color w:val="auto"/>
                <w:w w:val="96"/>
              </w:rPr>
              <w:t>43.6 %</w:t>
            </w:r>
          </w:p>
        </w:tc>
        <w:tc>
          <w:tcPr>
            <w:tcW w:w="1300" w:type="dxa"/>
            <w:vAlign w:val="bottom"/>
          </w:tcPr>
          <w:p>
            <w:pPr>
              <w:jc w:val="right"/>
              <w:ind w:right="551"/>
              <w:spacing w:after="0"/>
              <w:rPr>
                <w:sz w:val="20"/>
                <w:szCs w:val="20"/>
                <w:color w:val="auto"/>
              </w:rPr>
            </w:pPr>
            <w:r>
              <w:rPr>
                <w:rFonts w:ascii="Arial" w:cs="Arial" w:eastAsia="Arial" w:hAnsi="Arial"/>
                <w:sz w:val="10"/>
                <w:szCs w:val="10"/>
                <w:color w:val="auto"/>
              </w:rPr>
              <w:t>48.1 %</w:t>
            </w:r>
          </w:p>
        </w:tc>
        <w:tc>
          <w:tcPr>
            <w:tcW w:w="1320" w:type="dxa"/>
            <w:vAlign w:val="bottom"/>
          </w:tcPr>
          <w:p>
            <w:pPr>
              <w:jc w:val="right"/>
              <w:ind w:right="331"/>
              <w:spacing w:after="0"/>
              <w:rPr>
                <w:sz w:val="20"/>
                <w:szCs w:val="20"/>
                <w:color w:val="auto"/>
              </w:rPr>
            </w:pPr>
            <w:r>
              <w:rPr>
                <w:rFonts w:ascii="Arial" w:cs="Arial" w:eastAsia="Arial" w:hAnsi="Arial"/>
                <w:sz w:val="10"/>
                <w:szCs w:val="10"/>
                <w:color w:val="auto"/>
              </w:rPr>
              <w:t>44.9 %</w:t>
            </w:r>
          </w:p>
        </w:tc>
        <w:tc>
          <w:tcPr>
            <w:tcW w:w="680" w:type="dxa"/>
            <w:vAlign w:val="bottom"/>
          </w:tcPr>
          <w:p>
            <w:pPr>
              <w:jc w:val="right"/>
              <w:spacing w:after="0"/>
              <w:rPr>
                <w:sz w:val="20"/>
                <w:szCs w:val="20"/>
                <w:color w:val="auto"/>
              </w:rPr>
            </w:pPr>
            <w:r>
              <w:rPr>
                <w:rFonts w:ascii="Arial" w:cs="Arial" w:eastAsia="Arial" w:hAnsi="Arial"/>
                <w:sz w:val="10"/>
                <w:szCs w:val="10"/>
                <w:color w:val="auto"/>
              </w:rPr>
              <w:t>46.6 %</w:t>
            </w:r>
          </w:p>
        </w:tc>
      </w:tr>
      <w:tr>
        <w:trPr>
          <w:trHeight w:val="216"/>
        </w:trPr>
        <w:tc>
          <w:tcPr>
            <w:tcW w:w="680" w:type="dxa"/>
            <w:vAlign w:val="bottom"/>
          </w:tcPr>
          <w:p>
            <w:pPr>
              <w:jc w:val="right"/>
              <w:ind w:right="311"/>
              <w:spacing w:after="0"/>
              <w:rPr>
                <w:sz w:val="20"/>
                <w:szCs w:val="20"/>
                <w:color w:val="auto"/>
              </w:rPr>
            </w:pPr>
            <w:r>
              <w:rPr>
                <w:rFonts w:ascii="Arial" w:cs="Arial" w:eastAsia="Arial" w:hAnsi="Arial"/>
                <w:sz w:val="10"/>
                <w:szCs w:val="10"/>
                <w:color w:val="auto"/>
                <w:w w:val="96"/>
              </w:rPr>
              <w:t>48.9 %</w:t>
            </w:r>
          </w:p>
        </w:tc>
        <w:tc>
          <w:tcPr>
            <w:tcW w:w="1300" w:type="dxa"/>
            <w:vAlign w:val="bottom"/>
          </w:tcPr>
          <w:p>
            <w:pPr>
              <w:jc w:val="right"/>
              <w:ind w:right="551"/>
              <w:spacing w:after="0"/>
              <w:rPr>
                <w:sz w:val="20"/>
                <w:szCs w:val="20"/>
                <w:color w:val="auto"/>
              </w:rPr>
            </w:pPr>
            <w:r>
              <w:rPr>
                <w:rFonts w:ascii="Arial" w:cs="Arial" w:eastAsia="Arial" w:hAnsi="Arial"/>
                <w:sz w:val="10"/>
                <w:szCs w:val="10"/>
                <w:color w:val="auto"/>
              </w:rPr>
              <w:t>50.5 %</w:t>
            </w:r>
          </w:p>
        </w:tc>
        <w:tc>
          <w:tcPr>
            <w:tcW w:w="1320" w:type="dxa"/>
            <w:vAlign w:val="bottom"/>
          </w:tcPr>
          <w:p>
            <w:pPr>
              <w:jc w:val="right"/>
              <w:ind w:right="331"/>
              <w:spacing w:after="0"/>
              <w:rPr>
                <w:sz w:val="20"/>
                <w:szCs w:val="20"/>
                <w:color w:val="auto"/>
              </w:rPr>
            </w:pPr>
            <w:r>
              <w:rPr>
                <w:rFonts w:ascii="Arial" w:cs="Arial" w:eastAsia="Arial" w:hAnsi="Arial"/>
                <w:sz w:val="10"/>
                <w:szCs w:val="10"/>
                <w:color w:val="auto"/>
              </w:rPr>
              <w:t>49.4 %</w:t>
            </w:r>
          </w:p>
        </w:tc>
        <w:tc>
          <w:tcPr>
            <w:tcW w:w="680" w:type="dxa"/>
            <w:vAlign w:val="bottom"/>
          </w:tcPr>
          <w:p>
            <w:pPr>
              <w:jc w:val="right"/>
              <w:spacing w:after="0"/>
              <w:rPr>
                <w:sz w:val="20"/>
                <w:szCs w:val="20"/>
                <w:color w:val="auto"/>
              </w:rPr>
            </w:pPr>
            <w:r>
              <w:rPr>
                <w:rFonts w:ascii="Arial" w:cs="Arial" w:eastAsia="Arial" w:hAnsi="Arial"/>
                <w:sz w:val="10"/>
                <w:szCs w:val="10"/>
                <w:color w:val="auto"/>
              </w:rPr>
              <w:t>49.6 %</w:t>
            </w:r>
          </w:p>
        </w:tc>
      </w:tr>
      <w:tr>
        <w:trPr>
          <w:trHeight w:val="187"/>
        </w:trPr>
        <w:tc>
          <w:tcPr>
            <w:tcW w:w="680" w:type="dxa"/>
            <w:vAlign w:val="bottom"/>
          </w:tcPr>
          <w:p>
            <w:pPr>
              <w:jc w:val="right"/>
              <w:ind w:right="311"/>
              <w:spacing w:after="0"/>
              <w:rPr>
                <w:sz w:val="20"/>
                <w:szCs w:val="20"/>
                <w:color w:val="auto"/>
              </w:rPr>
            </w:pPr>
            <w:r>
              <w:rPr>
                <w:rFonts w:ascii="Arial" w:cs="Arial" w:eastAsia="Arial" w:hAnsi="Arial"/>
                <w:sz w:val="10"/>
                <w:szCs w:val="10"/>
                <w:color w:val="auto"/>
                <w:w w:val="96"/>
              </w:rPr>
              <w:t>47.4 %</w:t>
            </w:r>
          </w:p>
        </w:tc>
        <w:tc>
          <w:tcPr>
            <w:tcW w:w="1300" w:type="dxa"/>
            <w:vAlign w:val="bottom"/>
          </w:tcPr>
          <w:p>
            <w:pPr>
              <w:jc w:val="right"/>
              <w:ind w:right="551"/>
              <w:spacing w:after="0"/>
              <w:rPr>
                <w:sz w:val="20"/>
                <w:szCs w:val="20"/>
                <w:color w:val="auto"/>
              </w:rPr>
            </w:pPr>
            <w:r>
              <w:rPr>
                <w:rFonts w:ascii="Arial" w:cs="Arial" w:eastAsia="Arial" w:hAnsi="Arial"/>
                <w:sz w:val="10"/>
                <w:szCs w:val="10"/>
                <w:color w:val="auto"/>
              </w:rPr>
              <w:t>51.9 %</w:t>
            </w:r>
          </w:p>
        </w:tc>
        <w:tc>
          <w:tcPr>
            <w:tcW w:w="1320" w:type="dxa"/>
            <w:vAlign w:val="bottom"/>
          </w:tcPr>
          <w:p>
            <w:pPr>
              <w:jc w:val="right"/>
              <w:ind w:right="331"/>
              <w:spacing w:after="0"/>
              <w:rPr>
                <w:sz w:val="20"/>
                <w:szCs w:val="20"/>
                <w:color w:val="auto"/>
              </w:rPr>
            </w:pPr>
            <w:r>
              <w:rPr>
                <w:rFonts w:ascii="Arial" w:cs="Arial" w:eastAsia="Arial" w:hAnsi="Arial"/>
                <w:sz w:val="10"/>
                <w:szCs w:val="10"/>
                <w:color w:val="auto"/>
              </w:rPr>
              <w:t>48.7 %</w:t>
            </w:r>
          </w:p>
        </w:tc>
        <w:tc>
          <w:tcPr>
            <w:tcW w:w="680" w:type="dxa"/>
            <w:vAlign w:val="bottom"/>
          </w:tcPr>
          <w:p>
            <w:pPr>
              <w:jc w:val="right"/>
              <w:spacing w:after="0"/>
              <w:rPr>
                <w:sz w:val="20"/>
                <w:szCs w:val="20"/>
                <w:color w:val="auto"/>
              </w:rPr>
            </w:pPr>
            <w:r>
              <w:rPr>
                <w:rFonts w:ascii="Arial" w:cs="Arial" w:eastAsia="Arial" w:hAnsi="Arial"/>
                <w:sz w:val="10"/>
                <w:szCs w:val="10"/>
                <w:color w:val="auto"/>
              </w:rPr>
              <w:t>50.4 %</w:t>
            </w:r>
          </w:p>
        </w:tc>
      </w:tr>
    </w:tbl>
    <w:p>
      <w:pPr>
        <w:spacing w:after="0" w:line="245" w:lineRule="exact"/>
        <w:rPr>
          <w:sz w:val="20"/>
          <w:szCs w:val="20"/>
          <w:color w:val="auto"/>
        </w:rPr>
      </w:pPr>
    </w:p>
    <w:p>
      <w:pPr>
        <w:sectPr>
          <w:pgSz w:w="11900" w:h="16838" w:orient="portrait"/>
          <w:cols w:equalWidth="0" w:num="2">
            <w:col w:w="3540" w:space="720"/>
            <w:col w:w="4820"/>
          </w:cols>
          <w:pgMar w:left="1400" w:top="297" w:right="1419" w:bottom="1440" w:gutter="0" w:footer="0" w:header="0"/>
          <w:type w:val="continuous"/>
        </w:sectPr>
      </w:pPr>
    </w:p>
    <w:p>
      <w:pPr>
        <w:spacing w:after="0" w:line="155"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20</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7" w:right="14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Same Store Net Operating Income - Unconsolidated JVs</w:t>
      </w:r>
    </w:p>
    <w:p>
      <w:pPr>
        <w:spacing w:after="0" w:line="227"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 SLG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740" w:type="dxa"/>
        <w:tblCellMar>
          <w:top w:w="0" w:type="dxa"/>
          <w:left w:w="0" w:type="dxa"/>
          <w:bottom w:w="0" w:type="dxa"/>
          <w:right w:w="0" w:type="dxa"/>
        </w:tblCellMar>
      </w:tblPr>
      <w:tr>
        <w:trPr>
          <w:trHeight w:val="137"/>
        </w:trPr>
        <w:tc>
          <w:tcPr>
            <w:tcW w:w="2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9"/>
          </w:tcPr>
          <w:p>
            <w:pPr>
              <w:ind w:left="60"/>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ind w:left="80"/>
              <w:spacing w:after="0"/>
              <w:rPr>
                <w:sz w:val="20"/>
                <w:szCs w:val="20"/>
                <w:color w:val="auto"/>
              </w:rPr>
            </w:pPr>
            <w:r>
              <w:rPr>
                <w:rFonts w:ascii="Arial" w:cs="Arial" w:eastAsia="Arial" w:hAnsi="Arial"/>
                <w:sz w:val="10"/>
                <w:szCs w:val="10"/>
                <w:b w:val="1"/>
                <w:bCs w:val="1"/>
                <w:color w:val="auto"/>
              </w:rPr>
              <w:t>March 31,</w:t>
            </w:r>
          </w:p>
        </w:tc>
        <w:tc>
          <w:tcPr>
            <w:tcW w:w="120" w:type="dxa"/>
            <w:vAlign w:val="bottom"/>
          </w:tcPr>
          <w:p>
            <w:pPr>
              <w:spacing w:after="0"/>
              <w:rPr>
                <w:sz w:val="11"/>
                <w:szCs w:val="11"/>
                <w:color w:val="auto"/>
              </w:rPr>
            </w:pPr>
          </w:p>
        </w:tc>
        <w:tc>
          <w:tcPr>
            <w:tcW w:w="68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March 31,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jc w:val="center"/>
              <w:ind w:right="340"/>
              <w:spacing w:after="0"/>
              <w:rPr>
                <w:sz w:val="20"/>
                <w:szCs w:val="20"/>
                <w:color w:val="auto"/>
              </w:rPr>
            </w:pPr>
            <w:r>
              <w:rPr>
                <w:rFonts w:ascii="Arial" w:cs="Arial" w:eastAsia="Arial" w:hAnsi="Arial"/>
                <w:sz w:val="10"/>
                <w:szCs w:val="10"/>
                <w:b w:val="1"/>
                <w:bCs w:val="1"/>
                <w:color w:val="auto"/>
                <w:w w:val="98"/>
              </w:rPr>
              <w:t>December 31,</w:t>
            </w:r>
          </w:p>
        </w:tc>
        <w:tc>
          <w:tcPr>
            <w:tcW w:w="80" w:type="dxa"/>
            <w:vAlign w:val="bottom"/>
          </w:tcPr>
          <w:p>
            <w:pPr>
              <w:spacing w:after="0"/>
              <w:rPr>
                <w:sz w:val="11"/>
                <w:szCs w:val="11"/>
                <w:color w:val="auto"/>
              </w:rPr>
            </w:pPr>
          </w:p>
        </w:tc>
        <w:tc>
          <w:tcPr>
            <w:tcW w:w="82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w w:val="99"/>
              </w:rPr>
              <w:t>September 30,</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right"/>
              <w:ind w:right="291"/>
              <w:spacing w:after="0"/>
              <w:rPr>
                <w:sz w:val="20"/>
                <w:szCs w:val="20"/>
                <w:color w:val="auto"/>
              </w:rPr>
            </w:pPr>
            <w:r>
              <w:rPr>
                <w:rFonts w:ascii="Arial" w:cs="Arial" w:eastAsia="Arial" w:hAnsi="Arial"/>
                <w:sz w:val="10"/>
                <w:szCs w:val="10"/>
                <w:b w:val="1"/>
                <w:bCs w:val="1"/>
                <w:color w:val="auto"/>
              </w:rPr>
              <w:t>2026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jc w:val="right"/>
              <w:ind w:right="211"/>
              <w:spacing w:after="0"/>
              <w:rPr>
                <w:sz w:val="20"/>
                <w:szCs w:val="20"/>
                <w:color w:val="auto"/>
              </w:rPr>
            </w:pPr>
            <w:r>
              <w:rPr>
                <w:rFonts w:ascii="Arial" w:cs="Arial" w:eastAsia="Arial" w:hAnsi="Arial"/>
                <w:sz w:val="10"/>
                <w:szCs w:val="10"/>
                <w:b w:val="1"/>
                <w:bCs w:val="1"/>
                <w:color w:val="auto"/>
              </w:rPr>
              <w:t>2025</w:t>
            </w:r>
          </w:p>
        </w:tc>
        <w:tc>
          <w:tcPr>
            <w:tcW w:w="900" w:type="dxa"/>
            <w:vAlign w:val="bottom"/>
            <w:gridSpan w:val="4"/>
          </w:tcPr>
          <w:p>
            <w:pPr>
              <w:jc w:val="right"/>
              <w:ind w:right="5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2025</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right"/>
              <w:ind w:right="291"/>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6"/>
        </w:trPr>
        <w:tc>
          <w:tcPr>
            <w:tcW w:w="28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Revenues</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60"/>
              <w:spacing w:after="0"/>
              <w:rPr>
                <w:sz w:val="20"/>
                <w:szCs w:val="20"/>
                <w:color w:val="auto"/>
              </w:rPr>
            </w:pPr>
            <w:r>
              <w:rPr>
                <w:rFonts w:ascii="Arial" w:cs="Arial" w:eastAsia="Arial" w:hAnsi="Arial"/>
                <w:sz w:val="10"/>
                <w:szCs w:val="10"/>
                <w:color w:val="auto"/>
              </w:rPr>
              <w:t>Rental revenue, net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138,217</w:t>
            </w:r>
          </w:p>
        </w:tc>
        <w:tc>
          <w:tcPr>
            <w:tcW w:w="16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color w:val="auto"/>
              </w:rPr>
              <w:t>129,602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140,106</w:t>
            </w:r>
          </w:p>
        </w:tc>
        <w:tc>
          <w:tcPr>
            <w:tcW w:w="2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color w:val="auto"/>
              </w:rPr>
              <w:t>141,800</w:t>
            </w:r>
          </w:p>
        </w:tc>
        <w:tc>
          <w:tcPr>
            <w:tcW w:w="0" w:type="dxa"/>
            <w:vAlign w:val="bottom"/>
          </w:tcPr>
          <w:p>
            <w:pPr>
              <w:spacing w:after="0"/>
              <w:rPr>
                <w:sz w:val="1"/>
                <w:szCs w:val="1"/>
                <w:color w:val="auto"/>
              </w:rPr>
            </w:pPr>
          </w:p>
        </w:tc>
      </w:tr>
      <w:tr>
        <w:trPr>
          <w:trHeight w:val="138"/>
        </w:trPr>
        <w:tc>
          <w:tcPr>
            <w:tcW w:w="2840" w:type="dxa"/>
            <w:vAlign w:val="bottom"/>
          </w:tcPr>
          <w:p>
            <w:pPr>
              <w:ind w:left="260"/>
              <w:spacing w:after="0"/>
              <w:rPr>
                <w:sz w:val="20"/>
                <w:szCs w:val="20"/>
                <w:color w:val="auto"/>
              </w:rPr>
            </w:pPr>
            <w:r>
              <w:rPr>
                <w:rFonts w:ascii="Arial" w:cs="Arial" w:eastAsia="Arial" w:hAnsi="Arial"/>
                <w:sz w:val="10"/>
                <w:szCs w:val="10"/>
                <w:color w:val="auto"/>
              </w:rPr>
              <w:t>Escalation &amp; reimbursement revenues</w:t>
            </w:r>
          </w:p>
        </w:tc>
        <w:tc>
          <w:tcPr>
            <w:tcW w:w="120" w:type="dxa"/>
            <w:vAlign w:val="bottom"/>
          </w:tcPr>
          <w:p>
            <w:pPr>
              <w:spacing w:after="0"/>
              <w:rPr>
                <w:sz w:val="11"/>
                <w:szCs w:val="11"/>
                <w:color w:val="auto"/>
              </w:rPr>
            </w:pP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34,113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1"/>
              <w:spacing w:after="0"/>
              <w:rPr>
                <w:sz w:val="20"/>
                <w:szCs w:val="20"/>
                <w:color w:val="auto"/>
              </w:rPr>
            </w:pPr>
            <w:r>
              <w:rPr>
                <w:rFonts w:ascii="Arial" w:cs="Arial" w:eastAsia="Arial" w:hAnsi="Arial"/>
                <w:sz w:val="10"/>
                <w:szCs w:val="10"/>
                <w:color w:val="auto"/>
              </w:rPr>
              <w:t>30,802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33,620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ind w:right="91"/>
              <w:spacing w:after="0"/>
              <w:rPr>
                <w:sz w:val="20"/>
                <w:szCs w:val="20"/>
                <w:color w:val="auto"/>
              </w:rPr>
            </w:pPr>
            <w:r>
              <w:rPr>
                <w:rFonts w:ascii="Arial" w:cs="Arial" w:eastAsia="Arial" w:hAnsi="Arial"/>
                <w:sz w:val="10"/>
                <w:szCs w:val="10"/>
                <w:color w:val="auto"/>
              </w:rPr>
              <w:t>30,881</w:t>
            </w:r>
          </w:p>
        </w:tc>
        <w:tc>
          <w:tcPr>
            <w:tcW w:w="0" w:type="dxa"/>
            <w:vAlign w:val="bottom"/>
          </w:tcPr>
          <w:p>
            <w:pPr>
              <w:spacing w:after="0"/>
              <w:rPr>
                <w:sz w:val="1"/>
                <w:szCs w:val="1"/>
                <w:color w:val="auto"/>
              </w:rPr>
            </w:pPr>
          </w:p>
        </w:tc>
      </w:tr>
      <w:tr>
        <w:trPr>
          <w:trHeight w:val="138"/>
        </w:trPr>
        <w:tc>
          <w:tcPr>
            <w:tcW w:w="2840" w:type="dxa"/>
            <w:vAlign w:val="bottom"/>
          </w:tcPr>
          <w:p>
            <w:pPr>
              <w:ind w:left="260"/>
              <w:spacing w:after="0"/>
              <w:rPr>
                <w:sz w:val="20"/>
                <w:szCs w:val="20"/>
                <w:color w:val="auto"/>
              </w:rPr>
            </w:pPr>
            <w:r>
              <w:rPr>
                <w:rFonts w:ascii="Arial" w:cs="Arial" w:eastAsia="Arial" w:hAnsi="Arial"/>
                <w:sz w:val="10"/>
                <w:szCs w:val="10"/>
                <w:color w:val="auto"/>
              </w:rPr>
              <w:t>Other income</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4,642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85</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3,371</w:t>
            </w: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3,788</w:t>
            </w:r>
          </w:p>
        </w:tc>
        <w:tc>
          <w:tcPr>
            <w:tcW w:w="0" w:type="dxa"/>
            <w:vAlign w:val="bottom"/>
          </w:tcPr>
          <w:p>
            <w:pPr>
              <w:spacing w:after="0"/>
              <w:rPr>
                <w:sz w:val="1"/>
                <w:szCs w:val="1"/>
                <w:color w:val="auto"/>
              </w:rPr>
            </w:pPr>
          </w:p>
        </w:tc>
      </w:tr>
      <w:tr>
        <w:trPr>
          <w:trHeight w:val="134"/>
        </w:trPr>
        <w:tc>
          <w:tcPr>
            <w:tcW w:w="2840" w:type="dxa"/>
            <w:vAlign w:val="bottom"/>
          </w:tcPr>
          <w:p>
            <w:pPr>
              <w:ind w:left="260"/>
              <w:spacing w:after="0"/>
              <w:rPr>
                <w:sz w:val="20"/>
                <w:szCs w:val="20"/>
                <w:color w:val="auto"/>
              </w:rPr>
            </w:pPr>
            <w:r>
              <w:rPr>
                <w:rFonts w:ascii="Arial" w:cs="Arial" w:eastAsia="Arial" w:hAnsi="Arial"/>
                <w:sz w:val="10"/>
                <w:szCs w:val="10"/>
                <w:b w:val="1"/>
                <w:bCs w:val="1"/>
                <w:color w:val="auto"/>
              </w:rPr>
              <w:t>Total Revenues</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176,972</w:t>
            </w:r>
          </w:p>
        </w:tc>
        <w:tc>
          <w:tcPr>
            <w:tcW w:w="1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160,489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177,097</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176,469</w:t>
            </w:r>
          </w:p>
        </w:tc>
        <w:tc>
          <w:tcPr>
            <w:tcW w:w="0" w:type="dxa"/>
            <w:vAlign w:val="bottom"/>
          </w:tcPr>
          <w:p>
            <w:pPr>
              <w:spacing w:after="0"/>
              <w:rPr>
                <w:sz w:val="1"/>
                <w:szCs w:val="1"/>
                <w:color w:val="auto"/>
              </w:rPr>
            </w:pPr>
          </w:p>
        </w:tc>
      </w:tr>
      <w:tr>
        <w:trPr>
          <w:trHeight w:val="257"/>
        </w:trPr>
        <w:tc>
          <w:tcPr>
            <w:tcW w:w="28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Expenses</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60"/>
              <w:spacing w:after="0"/>
              <w:rPr>
                <w:sz w:val="20"/>
                <w:szCs w:val="20"/>
                <w:color w:val="auto"/>
              </w:rPr>
            </w:pPr>
            <w:r>
              <w:rPr>
                <w:rFonts w:ascii="Arial" w:cs="Arial" w:eastAsia="Arial" w:hAnsi="Arial"/>
                <w:sz w:val="10"/>
                <w:szCs w:val="10"/>
                <w:color w:val="auto"/>
              </w:rPr>
              <w:t>Operating expenses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35,834</w:t>
            </w:r>
          </w:p>
        </w:tc>
        <w:tc>
          <w:tcPr>
            <w:tcW w:w="16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color w:val="auto"/>
              </w:rPr>
              <w:t>32,914</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34,195</w:t>
            </w:r>
          </w:p>
        </w:tc>
        <w:tc>
          <w:tcPr>
            <w:tcW w:w="2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color w:val="auto"/>
              </w:rPr>
              <w:t>34,412</w:t>
            </w:r>
          </w:p>
        </w:tc>
        <w:tc>
          <w:tcPr>
            <w:tcW w:w="0" w:type="dxa"/>
            <w:vAlign w:val="bottom"/>
          </w:tcPr>
          <w:p>
            <w:pPr>
              <w:spacing w:after="0"/>
              <w:rPr>
                <w:sz w:val="1"/>
                <w:szCs w:val="1"/>
                <w:color w:val="auto"/>
              </w:rPr>
            </w:pPr>
          </w:p>
        </w:tc>
      </w:tr>
      <w:tr>
        <w:trPr>
          <w:trHeight w:val="138"/>
        </w:trPr>
        <w:tc>
          <w:tcPr>
            <w:tcW w:w="2840" w:type="dxa"/>
            <w:vAlign w:val="bottom"/>
          </w:tcPr>
          <w:p>
            <w:pPr>
              <w:ind w:left="260"/>
              <w:spacing w:after="0"/>
              <w:rPr>
                <w:sz w:val="20"/>
                <w:szCs w:val="20"/>
                <w:color w:val="auto"/>
              </w:rPr>
            </w:pPr>
            <w:r>
              <w:rPr>
                <w:rFonts w:ascii="Arial" w:cs="Arial" w:eastAsia="Arial" w:hAnsi="Arial"/>
                <w:sz w:val="10"/>
                <w:szCs w:val="10"/>
                <w:color w:val="auto"/>
              </w:rPr>
              <w:t>Real estate taxes</w:t>
            </w:r>
          </w:p>
        </w:tc>
        <w:tc>
          <w:tcPr>
            <w:tcW w:w="120" w:type="dxa"/>
            <w:vAlign w:val="bottom"/>
          </w:tcPr>
          <w:p>
            <w:pPr>
              <w:spacing w:after="0"/>
              <w:rPr>
                <w:sz w:val="11"/>
                <w:szCs w:val="11"/>
                <w:color w:val="auto"/>
              </w:rPr>
            </w:pP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36,264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1"/>
              <w:spacing w:after="0"/>
              <w:rPr>
                <w:sz w:val="20"/>
                <w:szCs w:val="20"/>
                <w:color w:val="auto"/>
              </w:rPr>
            </w:pPr>
            <w:r>
              <w:rPr>
                <w:rFonts w:ascii="Arial" w:cs="Arial" w:eastAsia="Arial" w:hAnsi="Arial"/>
                <w:sz w:val="10"/>
                <w:szCs w:val="10"/>
                <w:color w:val="auto"/>
              </w:rPr>
              <w:t>34,901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36,544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ind w:right="91"/>
              <w:spacing w:after="0"/>
              <w:rPr>
                <w:sz w:val="20"/>
                <w:szCs w:val="20"/>
                <w:color w:val="auto"/>
              </w:rPr>
            </w:pPr>
            <w:r>
              <w:rPr>
                <w:rFonts w:ascii="Arial" w:cs="Arial" w:eastAsia="Arial" w:hAnsi="Arial"/>
                <w:sz w:val="10"/>
                <w:szCs w:val="10"/>
                <w:color w:val="auto"/>
              </w:rPr>
              <w:t>35,939</w:t>
            </w:r>
          </w:p>
        </w:tc>
        <w:tc>
          <w:tcPr>
            <w:tcW w:w="0" w:type="dxa"/>
            <w:vAlign w:val="bottom"/>
          </w:tcPr>
          <w:p>
            <w:pPr>
              <w:spacing w:after="0"/>
              <w:rPr>
                <w:sz w:val="1"/>
                <w:szCs w:val="1"/>
                <w:color w:val="auto"/>
              </w:rPr>
            </w:pPr>
          </w:p>
        </w:tc>
      </w:tr>
      <w:tr>
        <w:trPr>
          <w:trHeight w:val="138"/>
        </w:trPr>
        <w:tc>
          <w:tcPr>
            <w:tcW w:w="2840" w:type="dxa"/>
            <w:vAlign w:val="bottom"/>
          </w:tcPr>
          <w:p>
            <w:pPr>
              <w:ind w:left="260"/>
              <w:spacing w:after="0"/>
              <w:rPr>
                <w:sz w:val="20"/>
                <w:szCs w:val="20"/>
                <w:color w:val="auto"/>
              </w:rPr>
            </w:pPr>
            <w:r>
              <w:rPr>
                <w:rFonts w:ascii="Arial" w:cs="Arial" w:eastAsia="Arial" w:hAnsi="Arial"/>
                <w:sz w:val="10"/>
                <w:szCs w:val="10"/>
                <w:color w:val="auto"/>
              </w:rPr>
              <w:t>Operating lease rent</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108</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108</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108</w:t>
            </w: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108</w:t>
            </w:r>
          </w:p>
        </w:tc>
        <w:tc>
          <w:tcPr>
            <w:tcW w:w="0" w:type="dxa"/>
            <w:vAlign w:val="bottom"/>
          </w:tcPr>
          <w:p>
            <w:pPr>
              <w:spacing w:after="0"/>
              <w:rPr>
                <w:sz w:val="1"/>
                <w:szCs w:val="1"/>
                <w:color w:val="auto"/>
              </w:rPr>
            </w:pPr>
          </w:p>
        </w:tc>
      </w:tr>
      <w:tr>
        <w:trPr>
          <w:trHeight w:val="134"/>
        </w:trPr>
        <w:tc>
          <w:tcPr>
            <w:tcW w:w="2840" w:type="dxa"/>
            <w:vAlign w:val="bottom"/>
          </w:tcPr>
          <w:p>
            <w:pPr>
              <w:ind w:left="260"/>
              <w:spacing w:after="0"/>
              <w:rPr>
                <w:sz w:val="20"/>
                <w:szCs w:val="20"/>
                <w:color w:val="auto"/>
              </w:rPr>
            </w:pPr>
            <w:r>
              <w:rPr>
                <w:rFonts w:ascii="Arial" w:cs="Arial" w:eastAsia="Arial" w:hAnsi="Arial"/>
                <w:sz w:val="10"/>
                <w:szCs w:val="10"/>
                <w:b w:val="1"/>
                <w:bCs w:val="1"/>
                <w:color w:val="auto"/>
              </w:rPr>
              <w:t>Total Operating Expenses</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72,206</w:t>
            </w:r>
          </w:p>
        </w:tc>
        <w:tc>
          <w:tcPr>
            <w:tcW w:w="1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67,923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70,847</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70,459</w:t>
            </w:r>
          </w:p>
        </w:tc>
        <w:tc>
          <w:tcPr>
            <w:tcW w:w="0" w:type="dxa"/>
            <w:vAlign w:val="bottom"/>
          </w:tcPr>
          <w:p>
            <w:pPr>
              <w:spacing w:after="0"/>
              <w:rPr>
                <w:sz w:val="1"/>
                <w:szCs w:val="1"/>
                <w:color w:val="auto"/>
              </w:rPr>
            </w:pPr>
          </w:p>
        </w:tc>
      </w:tr>
      <w:tr>
        <w:trPr>
          <w:trHeight w:val="176"/>
        </w:trPr>
        <w:tc>
          <w:tcPr>
            <w:tcW w:w="2840" w:type="dxa"/>
            <w:vAlign w:val="bottom"/>
          </w:tcPr>
          <w:p>
            <w:pPr>
              <w:ind w:left="260"/>
              <w:spacing w:after="0"/>
              <w:rPr>
                <w:sz w:val="20"/>
                <w:szCs w:val="20"/>
                <w:color w:val="auto"/>
              </w:rPr>
            </w:pPr>
            <w:r>
              <w:rPr>
                <w:rFonts w:ascii="Arial" w:cs="Arial" w:eastAsia="Arial" w:hAnsi="Arial"/>
                <w:sz w:val="10"/>
                <w:szCs w:val="10"/>
                <w:b w:val="1"/>
                <w:bCs w:val="1"/>
                <w:color w:val="auto"/>
              </w:rPr>
              <w:t>Operating Income</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104,766</w:t>
            </w:r>
          </w:p>
        </w:tc>
        <w:tc>
          <w:tcPr>
            <w:tcW w:w="16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92,566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106,250</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106,010</w:t>
            </w:r>
          </w:p>
        </w:tc>
        <w:tc>
          <w:tcPr>
            <w:tcW w:w="0" w:type="dxa"/>
            <w:vAlign w:val="bottom"/>
          </w:tcPr>
          <w:p>
            <w:pPr>
              <w:spacing w:after="0"/>
              <w:rPr>
                <w:sz w:val="1"/>
                <w:szCs w:val="1"/>
                <w:color w:val="auto"/>
              </w:rPr>
            </w:pPr>
          </w:p>
        </w:tc>
      </w:tr>
      <w:tr>
        <w:trPr>
          <w:trHeight w:val="171"/>
        </w:trPr>
        <w:tc>
          <w:tcPr>
            <w:tcW w:w="2840" w:type="dxa"/>
            <w:vAlign w:val="bottom"/>
          </w:tcPr>
          <w:p>
            <w:pPr>
              <w:ind w:left="260"/>
              <w:spacing w:after="0"/>
              <w:rPr>
                <w:sz w:val="20"/>
                <w:szCs w:val="20"/>
                <w:color w:val="auto"/>
              </w:rPr>
            </w:pPr>
            <w:r>
              <w:rPr>
                <w:rFonts w:ascii="Arial" w:cs="Arial" w:eastAsia="Arial" w:hAnsi="Arial"/>
                <w:sz w:val="10"/>
                <w:szCs w:val="10"/>
                <w:color w:val="auto"/>
              </w:rPr>
              <w:t>Interest expense &amp; amortization of financing costs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66,505</w:t>
            </w:r>
          </w:p>
        </w:tc>
        <w:tc>
          <w:tcPr>
            <w:tcW w:w="1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color w:val="auto"/>
              </w:rPr>
              <w:t>62,241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69,797</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color w:val="auto"/>
              </w:rPr>
              <w:t>65,995</w:t>
            </w:r>
          </w:p>
        </w:tc>
        <w:tc>
          <w:tcPr>
            <w:tcW w:w="0" w:type="dxa"/>
            <w:vAlign w:val="bottom"/>
          </w:tcPr>
          <w:p>
            <w:pPr>
              <w:spacing w:after="0"/>
              <w:rPr>
                <w:sz w:val="1"/>
                <w:szCs w:val="1"/>
                <w:color w:val="auto"/>
              </w:rPr>
            </w:pPr>
          </w:p>
        </w:tc>
      </w:tr>
      <w:tr>
        <w:trPr>
          <w:trHeight w:val="142"/>
        </w:trPr>
        <w:tc>
          <w:tcPr>
            <w:tcW w:w="2840" w:type="dxa"/>
            <w:vAlign w:val="bottom"/>
          </w:tcPr>
          <w:p>
            <w:pPr>
              <w:ind w:left="260"/>
              <w:spacing w:after="0"/>
              <w:rPr>
                <w:sz w:val="20"/>
                <w:szCs w:val="20"/>
                <w:color w:val="auto"/>
              </w:rPr>
            </w:pPr>
            <w:r>
              <w:rPr>
                <w:rFonts w:ascii="Arial" w:cs="Arial" w:eastAsia="Arial" w:hAnsi="Arial"/>
                <w:sz w:val="10"/>
                <w:szCs w:val="10"/>
                <w:color w:val="auto"/>
              </w:rPr>
              <w:t>Depreciation &amp; amortization</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59,141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56,508</w:t>
            </w: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57,663</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58,720</w:t>
            </w:r>
          </w:p>
        </w:tc>
        <w:tc>
          <w:tcPr>
            <w:tcW w:w="0" w:type="dxa"/>
            <w:vAlign w:val="bottom"/>
          </w:tcPr>
          <w:p>
            <w:pPr>
              <w:spacing w:after="0"/>
              <w:rPr>
                <w:sz w:val="1"/>
                <w:szCs w:val="1"/>
                <w:color w:val="auto"/>
              </w:rPr>
            </w:pPr>
          </w:p>
        </w:tc>
      </w:tr>
      <w:tr>
        <w:trPr>
          <w:trHeight w:val="192"/>
        </w:trPr>
        <w:tc>
          <w:tcPr>
            <w:tcW w:w="2840" w:type="dxa"/>
            <w:vAlign w:val="bottom"/>
          </w:tcPr>
          <w:p>
            <w:pPr>
              <w:ind w:left="260"/>
              <w:spacing w:after="0"/>
              <w:rPr>
                <w:sz w:val="20"/>
                <w:szCs w:val="20"/>
                <w:color w:val="auto"/>
              </w:rPr>
            </w:pPr>
            <w:r>
              <w:rPr>
                <w:rFonts w:ascii="Arial" w:cs="Arial" w:eastAsia="Arial" w:hAnsi="Arial"/>
                <w:sz w:val="10"/>
                <w:szCs w:val="10"/>
                <w:color w:val="auto"/>
              </w:rPr>
              <w:t>Loss before noncontrolling interest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(20,880)</w:t>
            </w:r>
          </w:p>
        </w:tc>
        <w:tc>
          <w:tcPr>
            <w:tcW w:w="16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spacing w:after="0"/>
              <w:rPr>
                <w:sz w:val="20"/>
                <w:szCs w:val="20"/>
                <w:color w:val="auto"/>
              </w:rPr>
            </w:pPr>
            <w:r>
              <w:rPr>
                <w:rFonts w:ascii="Arial" w:cs="Arial" w:eastAsia="Arial" w:hAnsi="Arial"/>
                <w:sz w:val="10"/>
                <w:szCs w:val="10"/>
                <w:color w:val="auto"/>
              </w:rPr>
              <w:t>(26,183)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ind w:right="71"/>
              <w:spacing w:after="0"/>
              <w:rPr>
                <w:sz w:val="20"/>
                <w:szCs w:val="20"/>
                <w:color w:val="auto"/>
              </w:rPr>
            </w:pPr>
            <w:r>
              <w:rPr>
                <w:rFonts w:ascii="Arial" w:cs="Arial" w:eastAsia="Arial" w:hAnsi="Arial"/>
                <w:sz w:val="10"/>
                <w:szCs w:val="10"/>
                <w:color w:val="auto"/>
              </w:rPr>
              <w:t>(21,210)</w:t>
            </w:r>
          </w:p>
        </w:tc>
        <w:tc>
          <w:tcPr>
            <w:tcW w:w="2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71"/>
              <w:spacing w:after="0"/>
              <w:rPr>
                <w:sz w:val="20"/>
                <w:szCs w:val="20"/>
                <w:color w:val="auto"/>
              </w:rPr>
            </w:pPr>
            <w:r>
              <w:rPr>
                <w:rFonts w:ascii="Arial" w:cs="Arial" w:eastAsia="Arial" w:hAnsi="Arial"/>
                <w:sz w:val="10"/>
                <w:szCs w:val="10"/>
                <w:color w:val="auto"/>
              </w:rPr>
              <w:t>(18,705)</w:t>
            </w:r>
          </w:p>
        </w:tc>
        <w:tc>
          <w:tcPr>
            <w:tcW w:w="0" w:type="dxa"/>
            <w:vAlign w:val="bottom"/>
          </w:tcPr>
          <w:p>
            <w:pPr>
              <w:spacing w:after="0"/>
              <w:rPr>
                <w:sz w:val="1"/>
                <w:szCs w:val="1"/>
                <w:color w:val="auto"/>
              </w:rPr>
            </w:pPr>
          </w:p>
        </w:tc>
      </w:tr>
      <w:tr>
        <w:trPr>
          <w:trHeight w:val="138"/>
        </w:trPr>
        <w:tc>
          <w:tcPr>
            <w:tcW w:w="2840" w:type="dxa"/>
            <w:vAlign w:val="bottom"/>
          </w:tcPr>
          <w:p>
            <w:pPr>
              <w:ind w:left="260"/>
              <w:spacing w:after="0"/>
              <w:rPr>
                <w:sz w:val="20"/>
                <w:szCs w:val="20"/>
                <w:color w:val="auto"/>
              </w:rPr>
            </w:pPr>
            <w:r>
              <w:rPr>
                <w:rFonts w:ascii="Arial" w:cs="Arial" w:eastAsia="Arial" w:hAnsi="Arial"/>
                <w:sz w:val="10"/>
                <w:szCs w:val="10"/>
                <w:color w:val="auto"/>
              </w:rPr>
              <w:t>Real estate depreciation &amp; amortization</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59,140</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color w:val="auto"/>
              </w:rPr>
              <w:t>56,508</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57,662</w:t>
            </w: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58,719</w:t>
            </w:r>
          </w:p>
        </w:tc>
        <w:tc>
          <w:tcPr>
            <w:tcW w:w="0" w:type="dxa"/>
            <w:vAlign w:val="bottom"/>
          </w:tcPr>
          <w:p>
            <w:pPr>
              <w:spacing w:after="0"/>
              <w:rPr>
                <w:sz w:val="1"/>
                <w:szCs w:val="1"/>
                <w:color w:val="auto"/>
              </w:rPr>
            </w:pPr>
          </w:p>
        </w:tc>
      </w:tr>
      <w:tr>
        <w:trPr>
          <w:trHeight w:val="134"/>
        </w:trPr>
        <w:tc>
          <w:tcPr>
            <w:tcW w:w="2840" w:type="dxa"/>
            <w:vAlign w:val="bottom"/>
          </w:tcPr>
          <w:p>
            <w:pPr>
              <w:ind w:left="260"/>
              <w:spacing w:after="0"/>
              <w:rPr>
                <w:sz w:val="20"/>
                <w:szCs w:val="20"/>
                <w:color w:val="auto"/>
              </w:rPr>
            </w:pPr>
            <w:r>
              <w:rPr>
                <w:rFonts w:ascii="Arial" w:cs="Arial" w:eastAsia="Arial" w:hAnsi="Arial"/>
                <w:sz w:val="10"/>
                <w:szCs w:val="10"/>
                <w:b w:val="1"/>
                <w:bCs w:val="1"/>
                <w:color w:val="auto"/>
              </w:rPr>
              <w:t>FFO Contribution</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38,260</w:t>
            </w:r>
          </w:p>
        </w:tc>
        <w:tc>
          <w:tcPr>
            <w:tcW w:w="1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30,325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36,452</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40,014</w:t>
            </w:r>
          </w:p>
        </w:tc>
        <w:tc>
          <w:tcPr>
            <w:tcW w:w="0" w:type="dxa"/>
            <w:vAlign w:val="bottom"/>
          </w:tcPr>
          <w:p>
            <w:pPr>
              <w:spacing w:after="0"/>
              <w:rPr>
                <w:sz w:val="1"/>
                <w:szCs w:val="1"/>
                <w:color w:val="auto"/>
              </w:rPr>
            </w:pPr>
          </w:p>
        </w:tc>
      </w:tr>
      <w:tr>
        <w:trPr>
          <w:trHeight w:val="210"/>
        </w:trPr>
        <w:tc>
          <w:tcPr>
            <w:tcW w:w="2840" w:type="dxa"/>
            <w:vAlign w:val="bottom"/>
          </w:tcPr>
          <w:p>
            <w:pPr>
              <w:ind w:left="260"/>
              <w:spacing w:after="0"/>
              <w:rPr>
                <w:sz w:val="20"/>
                <w:szCs w:val="20"/>
                <w:color w:val="auto"/>
              </w:rPr>
            </w:pPr>
            <w:r>
              <w:rPr>
                <w:rFonts w:ascii="Arial" w:cs="Arial" w:eastAsia="Arial" w:hAnsi="Arial"/>
                <w:sz w:val="10"/>
                <w:szCs w:val="10"/>
                <w:color w:val="auto"/>
              </w:rPr>
              <w:t>Non–building revenue</w:t>
            </w:r>
          </w:p>
        </w:tc>
        <w:tc>
          <w:tcPr>
            <w:tcW w:w="120" w:type="dxa"/>
            <w:vAlign w:val="bottom"/>
          </w:tcPr>
          <w:p>
            <w:pPr>
              <w:spacing w:after="0"/>
              <w:rPr>
                <w:sz w:val="18"/>
                <w:szCs w:val="18"/>
                <w:color w:val="auto"/>
              </w:rPr>
            </w:pP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0"/>
                <w:szCs w:val="10"/>
                <w:color w:val="auto"/>
              </w:rPr>
              <w:t>(81)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71"/>
              <w:spacing w:after="0"/>
              <w:rPr>
                <w:sz w:val="20"/>
                <w:szCs w:val="20"/>
                <w:color w:val="auto"/>
              </w:rPr>
            </w:pPr>
            <w:r>
              <w:rPr>
                <w:rFonts w:ascii="Arial" w:cs="Arial" w:eastAsia="Arial" w:hAnsi="Arial"/>
                <w:sz w:val="10"/>
                <w:szCs w:val="10"/>
                <w:color w:val="auto"/>
              </w:rPr>
              <w:t>(903)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71"/>
              <w:spacing w:after="0"/>
              <w:rPr>
                <w:sz w:val="20"/>
                <w:szCs w:val="20"/>
                <w:color w:val="auto"/>
              </w:rPr>
            </w:pPr>
            <w:r>
              <w:rPr>
                <w:rFonts w:ascii="Arial" w:cs="Arial" w:eastAsia="Arial" w:hAnsi="Arial"/>
                <w:sz w:val="10"/>
                <w:szCs w:val="10"/>
                <w:color w:val="auto"/>
              </w:rPr>
              <w:t>(413)</w:t>
            </w:r>
          </w:p>
        </w:tc>
        <w:tc>
          <w:tcPr>
            <w:tcW w:w="0" w:type="dxa"/>
            <w:vAlign w:val="bottom"/>
          </w:tcPr>
          <w:p>
            <w:pPr>
              <w:spacing w:after="0"/>
              <w:rPr>
                <w:sz w:val="1"/>
                <w:szCs w:val="1"/>
                <w:color w:val="auto"/>
              </w:rPr>
            </w:pPr>
          </w:p>
        </w:tc>
      </w:tr>
      <w:tr>
        <w:trPr>
          <w:trHeight w:val="216"/>
        </w:trPr>
        <w:tc>
          <w:tcPr>
            <w:tcW w:w="2840" w:type="dxa"/>
            <w:vAlign w:val="bottom"/>
          </w:tcPr>
          <w:p>
            <w:pPr>
              <w:ind w:left="260"/>
              <w:spacing w:after="0"/>
              <w:rPr>
                <w:sz w:val="20"/>
                <w:szCs w:val="20"/>
                <w:color w:val="auto"/>
              </w:rPr>
            </w:pPr>
            <w:r>
              <w:rPr>
                <w:rFonts w:ascii="Arial" w:cs="Arial" w:eastAsia="Arial" w:hAnsi="Arial"/>
                <w:sz w:val="10"/>
                <w:szCs w:val="10"/>
                <w:color w:val="auto"/>
              </w:rPr>
              <w:t>Interest expense &amp; amortization of financing costs</w:t>
            </w:r>
          </w:p>
        </w:tc>
        <w:tc>
          <w:tcPr>
            <w:tcW w:w="120" w:type="dxa"/>
            <w:vAlign w:val="bottom"/>
          </w:tcPr>
          <w:p>
            <w:pPr>
              <w:spacing w:after="0"/>
              <w:rPr>
                <w:sz w:val="18"/>
                <w:szCs w:val="18"/>
                <w:color w:val="auto"/>
              </w:rPr>
            </w:pPr>
          </w:p>
        </w:tc>
        <w:tc>
          <w:tcPr>
            <w:tcW w:w="760" w:type="dxa"/>
            <w:vAlign w:val="bottom"/>
            <w:gridSpan w:val="3"/>
          </w:tcPr>
          <w:p>
            <w:pPr>
              <w:jc w:val="right"/>
              <w:ind w:right="91"/>
              <w:spacing w:after="0"/>
              <w:rPr>
                <w:sz w:val="20"/>
                <w:szCs w:val="20"/>
                <w:color w:val="auto"/>
              </w:rPr>
            </w:pPr>
            <w:r>
              <w:rPr>
                <w:rFonts w:ascii="Arial" w:cs="Arial" w:eastAsia="Arial" w:hAnsi="Arial"/>
                <w:sz w:val="10"/>
                <w:szCs w:val="10"/>
                <w:color w:val="auto"/>
              </w:rPr>
              <w:t>66,505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1"/>
              <w:spacing w:after="0"/>
              <w:rPr>
                <w:sz w:val="20"/>
                <w:szCs w:val="20"/>
                <w:color w:val="auto"/>
              </w:rPr>
            </w:pPr>
            <w:r>
              <w:rPr>
                <w:rFonts w:ascii="Arial" w:cs="Arial" w:eastAsia="Arial" w:hAnsi="Arial"/>
                <w:sz w:val="10"/>
                <w:szCs w:val="10"/>
                <w:color w:val="auto"/>
              </w:rPr>
              <w:t>62,241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69,797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91"/>
              <w:spacing w:after="0"/>
              <w:rPr>
                <w:sz w:val="20"/>
                <w:szCs w:val="20"/>
                <w:color w:val="auto"/>
              </w:rPr>
            </w:pPr>
            <w:r>
              <w:rPr>
                <w:rFonts w:ascii="Arial" w:cs="Arial" w:eastAsia="Arial" w:hAnsi="Arial"/>
                <w:sz w:val="10"/>
                <w:szCs w:val="10"/>
                <w:color w:val="auto"/>
              </w:rPr>
              <w:t>65,995</w:t>
            </w:r>
          </w:p>
        </w:tc>
        <w:tc>
          <w:tcPr>
            <w:tcW w:w="0" w:type="dxa"/>
            <w:vAlign w:val="bottom"/>
          </w:tcPr>
          <w:p>
            <w:pPr>
              <w:spacing w:after="0"/>
              <w:rPr>
                <w:sz w:val="1"/>
                <w:szCs w:val="1"/>
                <w:color w:val="auto"/>
              </w:rPr>
            </w:pPr>
          </w:p>
        </w:tc>
      </w:tr>
      <w:tr>
        <w:trPr>
          <w:trHeight w:val="138"/>
        </w:trPr>
        <w:tc>
          <w:tcPr>
            <w:tcW w:w="2840" w:type="dxa"/>
            <w:vAlign w:val="bottom"/>
          </w:tcPr>
          <w:p>
            <w:pPr>
              <w:ind w:left="260"/>
              <w:spacing w:after="0"/>
              <w:rPr>
                <w:sz w:val="20"/>
                <w:szCs w:val="20"/>
                <w:color w:val="auto"/>
              </w:rPr>
            </w:pPr>
            <w:r>
              <w:rPr>
                <w:rFonts w:ascii="Arial" w:cs="Arial" w:eastAsia="Arial" w:hAnsi="Arial"/>
                <w:sz w:val="10"/>
                <w:szCs w:val="10"/>
                <w:color w:val="auto"/>
              </w:rPr>
              <w:t>Non-real estate depreciation</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1</w:t>
            </w: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4"/>
        </w:trPr>
        <w:tc>
          <w:tcPr>
            <w:tcW w:w="2840" w:type="dxa"/>
            <w:vAlign w:val="bottom"/>
          </w:tcPr>
          <w:p>
            <w:pPr>
              <w:jc w:val="right"/>
              <w:ind w:right="71"/>
              <w:spacing w:after="0"/>
              <w:rPr>
                <w:sz w:val="20"/>
                <w:szCs w:val="20"/>
                <w:color w:val="auto"/>
              </w:rPr>
            </w:pPr>
            <w:r>
              <w:rPr>
                <w:rFonts w:ascii="Arial" w:cs="Arial" w:eastAsia="Arial" w:hAnsi="Arial"/>
                <w:sz w:val="10"/>
                <w:szCs w:val="10"/>
                <w:b w:val="1"/>
                <w:bCs w:val="1"/>
                <w:color w:val="auto"/>
              </w:rPr>
              <w:t>NOI</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104,752</w:t>
            </w:r>
          </w:p>
        </w:tc>
        <w:tc>
          <w:tcPr>
            <w:tcW w:w="1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92,485</w:t>
            </w:r>
          </w:p>
        </w:tc>
        <w:tc>
          <w:tcPr>
            <w:tcW w:w="90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13.3 %</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105,347</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105,597</w:t>
            </w:r>
          </w:p>
        </w:tc>
        <w:tc>
          <w:tcPr>
            <w:tcW w:w="0" w:type="dxa"/>
            <w:vAlign w:val="bottom"/>
          </w:tcPr>
          <w:p>
            <w:pPr>
              <w:spacing w:after="0"/>
              <w:rPr>
                <w:sz w:val="1"/>
                <w:szCs w:val="1"/>
                <w:color w:val="auto"/>
              </w:rPr>
            </w:pPr>
          </w:p>
        </w:tc>
      </w:tr>
      <w:tr>
        <w:trPr>
          <w:trHeight w:val="208"/>
        </w:trPr>
        <w:tc>
          <w:tcPr>
            <w:tcW w:w="28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Adjustments</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60"/>
              <w:spacing w:after="0"/>
              <w:rPr>
                <w:sz w:val="20"/>
                <w:szCs w:val="20"/>
                <w:color w:val="auto"/>
              </w:rPr>
            </w:pPr>
            <w:r>
              <w:rPr>
                <w:rFonts w:ascii="Arial" w:cs="Arial" w:eastAsia="Arial" w:hAnsi="Arial"/>
                <w:sz w:val="10"/>
                <w:szCs w:val="10"/>
                <w:color w:val="auto"/>
              </w:rPr>
              <w:t>Free rent (net of amortization)</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(564)</w:t>
            </w:r>
          </w:p>
        </w:tc>
        <w:tc>
          <w:tcPr>
            <w:tcW w:w="16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spacing w:after="0"/>
              <w:rPr>
                <w:sz w:val="20"/>
                <w:szCs w:val="20"/>
                <w:color w:val="auto"/>
              </w:rPr>
            </w:pPr>
            <w:r>
              <w:rPr>
                <w:rFonts w:ascii="Arial" w:cs="Arial" w:eastAsia="Arial" w:hAnsi="Arial"/>
                <w:sz w:val="10"/>
                <w:szCs w:val="10"/>
                <w:color w:val="auto"/>
              </w:rPr>
              <w:t>(195)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ind w:right="71"/>
              <w:spacing w:after="0"/>
              <w:rPr>
                <w:sz w:val="20"/>
                <w:szCs w:val="20"/>
                <w:color w:val="auto"/>
              </w:rPr>
            </w:pPr>
            <w:r>
              <w:rPr>
                <w:rFonts w:ascii="Arial" w:cs="Arial" w:eastAsia="Arial" w:hAnsi="Arial"/>
                <w:sz w:val="10"/>
                <w:szCs w:val="10"/>
                <w:color w:val="auto"/>
              </w:rPr>
              <w:t>(1,858)</w:t>
            </w:r>
          </w:p>
        </w:tc>
        <w:tc>
          <w:tcPr>
            <w:tcW w:w="2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138"/>
        </w:trPr>
        <w:tc>
          <w:tcPr>
            <w:tcW w:w="2840" w:type="dxa"/>
            <w:vAlign w:val="bottom"/>
          </w:tcPr>
          <w:p>
            <w:pPr>
              <w:ind w:left="260"/>
              <w:spacing w:after="0"/>
              <w:rPr>
                <w:sz w:val="20"/>
                <w:szCs w:val="20"/>
                <w:color w:val="auto"/>
              </w:rPr>
            </w:pPr>
            <w:r>
              <w:rPr>
                <w:rFonts w:ascii="Arial" w:cs="Arial" w:eastAsia="Arial" w:hAnsi="Arial"/>
                <w:sz w:val="10"/>
                <w:szCs w:val="10"/>
                <w:color w:val="auto"/>
              </w:rPr>
              <w:t>Straight-line revenue adjustment</w:t>
            </w:r>
          </w:p>
        </w:tc>
        <w:tc>
          <w:tcPr>
            <w:tcW w:w="120" w:type="dxa"/>
            <w:vAlign w:val="bottom"/>
          </w:tcPr>
          <w:p>
            <w:pPr>
              <w:spacing w:after="0"/>
              <w:rPr>
                <w:sz w:val="11"/>
                <w:szCs w:val="11"/>
                <w:color w:val="auto"/>
              </w:rPr>
            </w:pP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(8,938)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spacing w:after="0"/>
              <w:rPr>
                <w:sz w:val="20"/>
                <w:szCs w:val="20"/>
                <w:color w:val="auto"/>
              </w:rPr>
            </w:pPr>
            <w:r>
              <w:rPr>
                <w:rFonts w:ascii="Arial" w:cs="Arial" w:eastAsia="Arial" w:hAnsi="Arial"/>
                <w:sz w:val="10"/>
                <w:szCs w:val="10"/>
                <w:color w:val="auto"/>
              </w:rPr>
              <w:t>(9,679)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71"/>
              <w:spacing w:after="0"/>
              <w:rPr>
                <w:sz w:val="20"/>
                <w:szCs w:val="20"/>
                <w:color w:val="auto"/>
              </w:rPr>
            </w:pPr>
            <w:r>
              <w:rPr>
                <w:rFonts w:ascii="Arial" w:cs="Arial" w:eastAsia="Arial" w:hAnsi="Arial"/>
                <w:sz w:val="10"/>
                <w:szCs w:val="10"/>
                <w:color w:val="auto"/>
              </w:rPr>
              <w:t>(9,001)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ind w:right="71"/>
              <w:spacing w:after="0"/>
              <w:rPr>
                <w:sz w:val="20"/>
                <w:szCs w:val="20"/>
                <w:color w:val="auto"/>
              </w:rPr>
            </w:pPr>
            <w:r>
              <w:rPr>
                <w:rFonts w:ascii="Arial" w:cs="Arial" w:eastAsia="Arial" w:hAnsi="Arial"/>
                <w:sz w:val="10"/>
                <w:szCs w:val="10"/>
                <w:color w:val="auto"/>
              </w:rPr>
              <w:t>(10,875)</w:t>
            </w:r>
          </w:p>
        </w:tc>
        <w:tc>
          <w:tcPr>
            <w:tcW w:w="0" w:type="dxa"/>
            <w:vAlign w:val="bottom"/>
          </w:tcPr>
          <w:p>
            <w:pPr>
              <w:spacing w:after="0"/>
              <w:rPr>
                <w:sz w:val="1"/>
                <w:szCs w:val="1"/>
                <w:color w:val="auto"/>
              </w:rPr>
            </w:pPr>
          </w:p>
        </w:tc>
      </w:tr>
      <w:tr>
        <w:trPr>
          <w:trHeight w:val="109"/>
        </w:trPr>
        <w:tc>
          <w:tcPr>
            <w:tcW w:w="2840" w:type="dxa"/>
            <w:vAlign w:val="bottom"/>
          </w:tcPr>
          <w:p>
            <w:pPr>
              <w:ind w:left="260"/>
              <w:spacing w:after="0" w:line="109" w:lineRule="exact"/>
              <w:rPr>
                <w:sz w:val="20"/>
                <w:szCs w:val="20"/>
                <w:color w:val="auto"/>
              </w:rPr>
            </w:pPr>
            <w:r>
              <w:rPr>
                <w:rFonts w:ascii="Arial" w:cs="Arial" w:eastAsia="Arial" w:hAnsi="Arial"/>
                <w:sz w:val="10"/>
                <w:szCs w:val="10"/>
                <w:color w:val="auto"/>
              </w:rPr>
              <w:t>Amortization of acquired above and below-market</w:t>
            </w:r>
          </w:p>
        </w:tc>
        <w:tc>
          <w:tcPr>
            <w:tcW w:w="120" w:type="dxa"/>
            <w:vAlign w:val="bottom"/>
          </w:tcPr>
          <w:p>
            <w:pPr>
              <w:spacing w:after="0"/>
              <w:rPr>
                <w:sz w:val="9"/>
                <w:szCs w:val="9"/>
                <w:color w:val="auto"/>
              </w:rPr>
            </w:pPr>
          </w:p>
        </w:tc>
        <w:tc>
          <w:tcPr>
            <w:tcW w:w="760" w:type="dxa"/>
            <w:vAlign w:val="bottom"/>
            <w:gridSpan w:val="3"/>
            <w:vMerge w:val="restart"/>
          </w:tcPr>
          <w:p>
            <w:pPr>
              <w:jc w:val="right"/>
              <w:ind w:right="71"/>
              <w:spacing w:after="0"/>
              <w:rPr>
                <w:sz w:val="20"/>
                <w:szCs w:val="20"/>
                <w:color w:val="auto"/>
              </w:rPr>
            </w:pPr>
            <w:r>
              <w:rPr>
                <w:rFonts w:ascii="Arial" w:cs="Arial" w:eastAsia="Arial" w:hAnsi="Arial"/>
                <w:sz w:val="10"/>
                <w:szCs w:val="10"/>
                <w:color w:val="auto"/>
              </w:rPr>
              <w:t>(6,460)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0"/>
                <w:szCs w:val="10"/>
                <w:color w:val="auto"/>
              </w:rPr>
              <w:t>(6,040)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restart"/>
          </w:tcPr>
          <w:p>
            <w:pPr>
              <w:jc w:val="right"/>
              <w:ind w:right="71"/>
              <w:spacing w:after="0"/>
              <w:rPr>
                <w:sz w:val="20"/>
                <w:szCs w:val="20"/>
                <w:color w:val="auto"/>
              </w:rPr>
            </w:pPr>
            <w:r>
              <w:rPr>
                <w:rFonts w:ascii="Arial" w:cs="Arial" w:eastAsia="Arial" w:hAnsi="Arial"/>
                <w:sz w:val="10"/>
                <w:szCs w:val="10"/>
                <w:color w:val="auto"/>
              </w:rPr>
              <w:t>(6,328)</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restart"/>
          </w:tcPr>
          <w:p>
            <w:pPr>
              <w:jc w:val="right"/>
              <w:ind w:right="71"/>
              <w:spacing w:after="0"/>
              <w:rPr>
                <w:sz w:val="20"/>
                <w:szCs w:val="20"/>
                <w:color w:val="auto"/>
              </w:rPr>
            </w:pPr>
            <w:r>
              <w:rPr>
                <w:rFonts w:ascii="Arial" w:cs="Arial" w:eastAsia="Arial" w:hAnsi="Arial"/>
                <w:sz w:val="10"/>
                <w:szCs w:val="10"/>
                <w:color w:val="auto"/>
              </w:rPr>
              <w:t>(6,268)</w:t>
            </w:r>
          </w:p>
        </w:tc>
        <w:tc>
          <w:tcPr>
            <w:tcW w:w="0" w:type="dxa"/>
            <w:vAlign w:val="bottom"/>
          </w:tcPr>
          <w:p>
            <w:pPr>
              <w:spacing w:after="0"/>
              <w:rPr>
                <w:sz w:val="1"/>
                <w:szCs w:val="1"/>
                <w:color w:val="auto"/>
              </w:rPr>
            </w:pPr>
          </w:p>
        </w:tc>
      </w:tr>
      <w:tr>
        <w:trPr>
          <w:trHeight w:val="78"/>
        </w:trPr>
        <w:tc>
          <w:tcPr>
            <w:tcW w:w="2840" w:type="dxa"/>
            <w:vAlign w:val="bottom"/>
            <w:vMerge w:val="restart"/>
          </w:tcPr>
          <w:p>
            <w:pPr>
              <w:ind w:left="260"/>
              <w:spacing w:after="0"/>
              <w:rPr>
                <w:sz w:val="20"/>
                <w:szCs w:val="20"/>
                <w:color w:val="auto"/>
              </w:rPr>
            </w:pPr>
            <w:r>
              <w:rPr>
                <w:rFonts w:ascii="Arial" w:cs="Arial" w:eastAsia="Arial" w:hAnsi="Arial"/>
                <w:sz w:val="10"/>
                <w:szCs w:val="10"/>
                <w:color w:val="auto"/>
              </w:rPr>
              <w:t>leases, net</w:t>
            </w:r>
          </w:p>
        </w:tc>
        <w:tc>
          <w:tcPr>
            <w:tcW w:w="1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840" w:type="dxa"/>
            <w:vAlign w:val="bottom"/>
          </w:tcPr>
          <w:p>
            <w:pPr>
              <w:ind w:left="260"/>
              <w:spacing w:after="0"/>
              <w:rPr>
                <w:sz w:val="20"/>
                <w:szCs w:val="20"/>
                <w:color w:val="auto"/>
              </w:rPr>
            </w:pPr>
            <w:r>
              <w:rPr>
                <w:rFonts w:ascii="Arial" w:cs="Arial" w:eastAsia="Arial" w:hAnsi="Arial"/>
                <w:sz w:val="10"/>
                <w:szCs w:val="10"/>
                <w:color w:val="auto"/>
              </w:rPr>
              <w:t>Operating lease straight-line adjustment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2840" w:type="dxa"/>
            <w:vAlign w:val="bottom"/>
          </w:tcPr>
          <w:p>
            <w:pPr>
              <w:ind w:left="260"/>
              <w:spacing w:after="0"/>
              <w:rPr>
                <w:sz w:val="20"/>
                <w:szCs w:val="20"/>
                <w:color w:val="auto"/>
              </w:rPr>
            </w:pPr>
            <w:r>
              <w:rPr>
                <w:rFonts w:ascii="Arial" w:cs="Arial" w:eastAsia="Arial" w:hAnsi="Arial"/>
                <w:sz w:val="10"/>
                <w:szCs w:val="10"/>
                <w:color w:val="auto"/>
              </w:rPr>
              <w:t>Straight-line tenant credit loss</w:t>
            </w: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(395)</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840" w:type="dxa"/>
            <w:vAlign w:val="bottom"/>
          </w:tcPr>
          <w:p>
            <w:pPr>
              <w:jc w:val="right"/>
              <w:ind w:right="71"/>
              <w:spacing w:after="0"/>
              <w:rPr>
                <w:sz w:val="20"/>
                <w:szCs w:val="20"/>
                <w:color w:val="auto"/>
              </w:rPr>
            </w:pPr>
            <w:r>
              <w:rPr>
                <w:rFonts w:ascii="Arial" w:cs="Arial" w:eastAsia="Arial" w:hAnsi="Arial"/>
                <w:sz w:val="10"/>
                <w:szCs w:val="10"/>
                <w:b w:val="1"/>
                <w:bCs w:val="1"/>
                <w:color w:val="auto"/>
              </w:rPr>
              <w:t>Cash NOI</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88,790</w:t>
            </w:r>
          </w:p>
        </w:tc>
        <w:tc>
          <w:tcPr>
            <w:tcW w:w="1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76,176</w:t>
            </w:r>
          </w:p>
        </w:tc>
        <w:tc>
          <w:tcPr>
            <w:tcW w:w="90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16.6 %</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88,160</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88,954</w:t>
            </w:r>
          </w:p>
        </w:tc>
        <w:tc>
          <w:tcPr>
            <w:tcW w:w="0" w:type="dxa"/>
            <w:vAlign w:val="bottom"/>
          </w:tcPr>
          <w:p>
            <w:pPr>
              <w:spacing w:after="0"/>
              <w:rPr>
                <w:sz w:val="1"/>
                <w:szCs w:val="1"/>
                <w:color w:val="auto"/>
              </w:rPr>
            </w:pPr>
          </w:p>
        </w:tc>
      </w:tr>
      <w:tr>
        <w:trPr>
          <w:trHeight w:val="210"/>
        </w:trPr>
        <w:tc>
          <w:tcPr>
            <w:tcW w:w="2840" w:type="dxa"/>
            <w:vAlign w:val="bottom"/>
          </w:tcPr>
          <w:p>
            <w:pPr>
              <w:ind w:left="260"/>
              <w:spacing w:after="0"/>
              <w:rPr>
                <w:sz w:val="20"/>
                <w:szCs w:val="20"/>
                <w:color w:val="auto"/>
              </w:rPr>
            </w:pPr>
            <w:r>
              <w:rPr>
                <w:rFonts w:ascii="Arial" w:cs="Arial" w:eastAsia="Arial" w:hAnsi="Arial"/>
                <w:sz w:val="10"/>
                <w:szCs w:val="10"/>
                <w:color w:val="auto"/>
              </w:rPr>
              <w:t>Lease termination income</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(4,626)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(2,464)</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(3,189)</w:t>
            </w:r>
          </w:p>
        </w:tc>
        <w:tc>
          <w:tcPr>
            <w:tcW w:w="0" w:type="dxa"/>
            <w:vAlign w:val="bottom"/>
          </w:tcPr>
          <w:p>
            <w:pPr>
              <w:spacing w:after="0"/>
              <w:rPr>
                <w:sz w:val="1"/>
                <w:szCs w:val="1"/>
                <w:color w:val="auto"/>
              </w:rPr>
            </w:pPr>
          </w:p>
        </w:tc>
      </w:tr>
      <w:tr>
        <w:trPr>
          <w:trHeight w:val="134"/>
        </w:trPr>
        <w:tc>
          <w:tcPr>
            <w:tcW w:w="2840" w:type="dxa"/>
            <w:vAlign w:val="bottom"/>
          </w:tcPr>
          <w:p>
            <w:pPr>
              <w:jc w:val="right"/>
              <w:ind w:right="71"/>
              <w:spacing w:after="0"/>
              <w:rPr>
                <w:sz w:val="20"/>
                <w:szCs w:val="20"/>
                <w:color w:val="auto"/>
              </w:rPr>
            </w:pPr>
            <w:r>
              <w:rPr>
                <w:rFonts w:ascii="Arial" w:cs="Arial" w:eastAsia="Arial" w:hAnsi="Arial"/>
                <w:sz w:val="10"/>
                <w:szCs w:val="10"/>
                <w:b w:val="1"/>
                <w:bCs w:val="1"/>
                <w:color w:val="auto"/>
              </w:rPr>
              <w:t>Cash NOI excluding lease termination income</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84,164</w:t>
            </w:r>
          </w:p>
        </w:tc>
        <w:tc>
          <w:tcPr>
            <w:tcW w:w="1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76,176</w:t>
            </w:r>
          </w:p>
        </w:tc>
        <w:tc>
          <w:tcPr>
            <w:tcW w:w="90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10.5 %</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85,696</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85,765</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740"/>
        <w:spacing w:after="0"/>
        <w:rPr>
          <w:sz w:val="20"/>
          <w:szCs w:val="20"/>
          <w:color w:val="auto"/>
        </w:rPr>
      </w:pPr>
      <w:r>
        <w:rPr>
          <w:rFonts w:ascii="Arial" w:cs="Arial" w:eastAsia="Arial" w:hAnsi="Arial"/>
          <w:sz w:val="10"/>
          <w:szCs w:val="10"/>
          <w:b w:val="1"/>
          <w:bCs w:val="1"/>
          <w:color w:val="auto"/>
        </w:rPr>
        <w:t>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14605</wp:posOffset>
            </wp:positionV>
            <wp:extent cx="483997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39970" cy="6350"/>
                    </a:xfrm>
                    <a:prstGeom prst="rect">
                      <a:avLst/>
                    </a:prstGeom>
                    <a:noFill/>
                  </pic:spPr>
                </pic:pic>
              </a:graphicData>
            </a:graphic>
          </wp:anchor>
        </w:drawing>
      </w:r>
    </w:p>
    <w:p>
      <w:pPr>
        <w:sectPr>
          <w:pgSz w:w="11900" w:h="16838" w:orient="portrait"/>
          <w:cols w:equalWidth="0" w:num="1">
            <w:col w:w="9080"/>
          </w:cols>
          <w:pgMar w:left="1400" w:top="297" w:right="1419" w:bottom="1440" w:gutter="0" w:footer="0" w:header="0"/>
        </w:sectPr>
      </w:pPr>
    </w:p>
    <w:p>
      <w:pPr>
        <w:spacing w:after="0" w:line="35" w:lineRule="exact"/>
        <w:rPr>
          <w:sz w:val="20"/>
          <w:szCs w:val="20"/>
          <w:color w:val="auto"/>
        </w:rPr>
      </w:pPr>
    </w:p>
    <w:p>
      <w:pPr>
        <w:ind w:left="1000"/>
        <w:spacing w:after="0"/>
        <w:rPr>
          <w:sz w:val="20"/>
          <w:szCs w:val="20"/>
          <w:color w:val="auto"/>
        </w:rPr>
      </w:pPr>
      <w:r>
        <w:rPr>
          <w:rFonts w:ascii="Arial" w:cs="Arial" w:eastAsia="Arial" w:hAnsi="Arial"/>
          <w:sz w:val="10"/>
          <w:szCs w:val="10"/>
          <w:color w:val="auto"/>
        </w:rPr>
        <w:t>NOI to real estate revenue, net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0"/>
          <w:szCs w:val="10"/>
          <w:color w:val="auto"/>
        </w:rPr>
        <w:t>Cash NOI to real estate revenue, net</w:t>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9"/>
          <w:szCs w:val="9"/>
          <w:color w:val="auto"/>
        </w:rPr>
        <w:t>NOI before operating lease rent/real estate revenue, net</w:t>
      </w:r>
    </w:p>
    <w:p>
      <w:pPr>
        <w:spacing w:after="0" w:line="34" w:lineRule="exact"/>
        <w:rPr>
          <w:sz w:val="20"/>
          <w:szCs w:val="20"/>
          <w:color w:val="auto"/>
        </w:rPr>
      </w:pPr>
    </w:p>
    <w:p>
      <w:pPr>
        <w:ind w:left="1000" w:right="320"/>
        <w:spacing w:after="0" w:line="235" w:lineRule="auto"/>
        <w:rPr>
          <w:sz w:val="20"/>
          <w:szCs w:val="20"/>
          <w:color w:val="auto"/>
        </w:rPr>
      </w:pPr>
      <w:r>
        <w:rPr>
          <w:rFonts w:ascii="Arial" w:cs="Arial" w:eastAsia="Arial" w:hAnsi="Arial"/>
          <w:sz w:val="10"/>
          <w:szCs w:val="10"/>
          <w:color w:val="auto"/>
        </w:rPr>
        <w:t>Cash NOI before operating lease rent/real estate revenue, net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jc w:val="right"/>
              <w:ind w:right="311"/>
              <w:spacing w:after="0"/>
              <w:rPr>
                <w:sz w:val="20"/>
                <w:szCs w:val="20"/>
                <w:color w:val="auto"/>
              </w:rPr>
            </w:pPr>
            <w:r>
              <w:rPr>
                <w:rFonts w:ascii="Arial" w:cs="Arial" w:eastAsia="Arial" w:hAnsi="Arial"/>
                <w:sz w:val="10"/>
                <w:szCs w:val="10"/>
                <w:color w:val="auto"/>
                <w:w w:val="96"/>
              </w:rPr>
              <w:t>59.2 %</w:t>
            </w:r>
          </w:p>
        </w:tc>
        <w:tc>
          <w:tcPr>
            <w:tcW w:w="1380" w:type="dxa"/>
            <w:vAlign w:val="bottom"/>
          </w:tcPr>
          <w:p>
            <w:pPr>
              <w:jc w:val="right"/>
              <w:ind w:right="651"/>
              <w:spacing w:after="0"/>
              <w:rPr>
                <w:sz w:val="20"/>
                <w:szCs w:val="20"/>
                <w:color w:val="auto"/>
              </w:rPr>
            </w:pPr>
            <w:r>
              <w:rPr>
                <w:rFonts w:ascii="Arial" w:cs="Arial" w:eastAsia="Arial" w:hAnsi="Arial"/>
                <w:sz w:val="10"/>
                <w:szCs w:val="10"/>
                <w:color w:val="auto"/>
              </w:rPr>
              <w:t>57.7 %</w:t>
            </w:r>
          </w:p>
        </w:tc>
        <w:tc>
          <w:tcPr>
            <w:tcW w:w="1420" w:type="dxa"/>
            <w:vAlign w:val="bottom"/>
          </w:tcPr>
          <w:p>
            <w:pPr>
              <w:jc w:val="right"/>
              <w:ind w:right="371"/>
              <w:spacing w:after="0"/>
              <w:rPr>
                <w:sz w:val="20"/>
                <w:szCs w:val="20"/>
                <w:color w:val="auto"/>
              </w:rPr>
            </w:pPr>
            <w:r>
              <w:rPr>
                <w:rFonts w:ascii="Arial" w:cs="Arial" w:eastAsia="Arial" w:hAnsi="Arial"/>
                <w:sz w:val="10"/>
                <w:szCs w:val="10"/>
                <w:color w:val="auto"/>
              </w:rPr>
              <w:t>59.8 %</w:t>
            </w:r>
          </w:p>
        </w:tc>
        <w:tc>
          <w:tcPr>
            <w:tcW w:w="740" w:type="dxa"/>
            <w:vAlign w:val="bottom"/>
          </w:tcPr>
          <w:p>
            <w:pPr>
              <w:jc w:val="right"/>
              <w:spacing w:after="0"/>
              <w:rPr>
                <w:sz w:val="20"/>
                <w:szCs w:val="20"/>
                <w:color w:val="auto"/>
              </w:rPr>
            </w:pPr>
            <w:r>
              <w:rPr>
                <w:rFonts w:ascii="Arial" w:cs="Arial" w:eastAsia="Arial" w:hAnsi="Arial"/>
                <w:sz w:val="10"/>
                <w:szCs w:val="10"/>
                <w:color w:val="auto"/>
              </w:rPr>
              <w:t>60.0 %</w:t>
            </w:r>
          </w:p>
        </w:tc>
      </w:tr>
      <w:tr>
        <w:trPr>
          <w:trHeight w:val="138"/>
        </w:trPr>
        <w:tc>
          <w:tcPr>
            <w:tcW w:w="680" w:type="dxa"/>
            <w:vAlign w:val="bottom"/>
          </w:tcPr>
          <w:p>
            <w:pPr>
              <w:jc w:val="right"/>
              <w:ind w:right="311"/>
              <w:spacing w:after="0"/>
              <w:rPr>
                <w:sz w:val="20"/>
                <w:szCs w:val="20"/>
                <w:color w:val="auto"/>
              </w:rPr>
            </w:pPr>
            <w:r>
              <w:rPr>
                <w:rFonts w:ascii="Arial" w:cs="Arial" w:eastAsia="Arial" w:hAnsi="Arial"/>
                <w:sz w:val="10"/>
                <w:szCs w:val="10"/>
                <w:color w:val="auto"/>
                <w:w w:val="96"/>
              </w:rPr>
              <w:t>50.2 %</w:t>
            </w:r>
          </w:p>
        </w:tc>
        <w:tc>
          <w:tcPr>
            <w:tcW w:w="1380" w:type="dxa"/>
            <w:vAlign w:val="bottom"/>
          </w:tcPr>
          <w:p>
            <w:pPr>
              <w:jc w:val="right"/>
              <w:ind w:right="651"/>
              <w:spacing w:after="0"/>
              <w:rPr>
                <w:sz w:val="20"/>
                <w:szCs w:val="20"/>
                <w:color w:val="auto"/>
              </w:rPr>
            </w:pPr>
            <w:r>
              <w:rPr>
                <w:rFonts w:ascii="Arial" w:cs="Arial" w:eastAsia="Arial" w:hAnsi="Arial"/>
                <w:sz w:val="10"/>
                <w:szCs w:val="10"/>
                <w:color w:val="auto"/>
              </w:rPr>
              <w:t>47.5 %</w:t>
            </w:r>
          </w:p>
        </w:tc>
        <w:tc>
          <w:tcPr>
            <w:tcW w:w="1420" w:type="dxa"/>
            <w:vAlign w:val="bottom"/>
          </w:tcPr>
          <w:p>
            <w:pPr>
              <w:jc w:val="right"/>
              <w:ind w:right="371"/>
              <w:spacing w:after="0"/>
              <w:rPr>
                <w:sz w:val="20"/>
                <w:szCs w:val="20"/>
                <w:color w:val="auto"/>
              </w:rPr>
            </w:pPr>
            <w:r>
              <w:rPr>
                <w:rFonts w:ascii="Arial" w:cs="Arial" w:eastAsia="Arial" w:hAnsi="Arial"/>
                <w:sz w:val="10"/>
                <w:szCs w:val="10"/>
                <w:color w:val="auto"/>
              </w:rPr>
              <w:t>50.0 %</w:t>
            </w:r>
          </w:p>
        </w:tc>
        <w:tc>
          <w:tcPr>
            <w:tcW w:w="740" w:type="dxa"/>
            <w:vAlign w:val="bottom"/>
          </w:tcPr>
          <w:p>
            <w:pPr>
              <w:jc w:val="right"/>
              <w:spacing w:after="0"/>
              <w:rPr>
                <w:sz w:val="20"/>
                <w:szCs w:val="20"/>
                <w:color w:val="auto"/>
              </w:rPr>
            </w:pPr>
            <w:r>
              <w:rPr>
                <w:rFonts w:ascii="Arial" w:cs="Arial" w:eastAsia="Arial" w:hAnsi="Arial"/>
                <w:sz w:val="10"/>
                <w:szCs w:val="10"/>
                <w:color w:val="auto"/>
              </w:rPr>
              <w:t>50.5 %</w:t>
            </w:r>
          </w:p>
        </w:tc>
      </w:tr>
      <w:tr>
        <w:trPr>
          <w:trHeight w:val="216"/>
        </w:trPr>
        <w:tc>
          <w:tcPr>
            <w:tcW w:w="680" w:type="dxa"/>
            <w:vAlign w:val="bottom"/>
          </w:tcPr>
          <w:p>
            <w:pPr>
              <w:jc w:val="right"/>
              <w:ind w:right="311"/>
              <w:spacing w:after="0"/>
              <w:rPr>
                <w:sz w:val="20"/>
                <w:szCs w:val="20"/>
                <w:color w:val="auto"/>
              </w:rPr>
            </w:pPr>
            <w:r>
              <w:rPr>
                <w:rFonts w:ascii="Arial" w:cs="Arial" w:eastAsia="Arial" w:hAnsi="Arial"/>
                <w:sz w:val="10"/>
                <w:szCs w:val="10"/>
                <w:color w:val="auto"/>
                <w:w w:val="96"/>
              </w:rPr>
              <w:t>59.3 %</w:t>
            </w:r>
          </w:p>
        </w:tc>
        <w:tc>
          <w:tcPr>
            <w:tcW w:w="1380" w:type="dxa"/>
            <w:vAlign w:val="bottom"/>
          </w:tcPr>
          <w:p>
            <w:pPr>
              <w:jc w:val="right"/>
              <w:ind w:right="651"/>
              <w:spacing w:after="0"/>
              <w:rPr>
                <w:sz w:val="20"/>
                <w:szCs w:val="20"/>
                <w:color w:val="auto"/>
              </w:rPr>
            </w:pPr>
            <w:r>
              <w:rPr>
                <w:rFonts w:ascii="Arial" w:cs="Arial" w:eastAsia="Arial" w:hAnsi="Arial"/>
                <w:sz w:val="10"/>
                <w:szCs w:val="10"/>
                <w:color w:val="auto"/>
              </w:rPr>
              <w:t>57.7 %</w:t>
            </w:r>
          </w:p>
        </w:tc>
        <w:tc>
          <w:tcPr>
            <w:tcW w:w="1420" w:type="dxa"/>
            <w:vAlign w:val="bottom"/>
          </w:tcPr>
          <w:p>
            <w:pPr>
              <w:jc w:val="right"/>
              <w:ind w:right="371"/>
              <w:spacing w:after="0"/>
              <w:rPr>
                <w:sz w:val="20"/>
                <w:szCs w:val="20"/>
                <w:color w:val="auto"/>
              </w:rPr>
            </w:pPr>
            <w:r>
              <w:rPr>
                <w:rFonts w:ascii="Arial" w:cs="Arial" w:eastAsia="Arial" w:hAnsi="Arial"/>
                <w:sz w:val="10"/>
                <w:szCs w:val="10"/>
                <w:color w:val="auto"/>
              </w:rPr>
              <w:t>59.9 %</w:t>
            </w:r>
          </w:p>
        </w:tc>
        <w:tc>
          <w:tcPr>
            <w:tcW w:w="740" w:type="dxa"/>
            <w:vAlign w:val="bottom"/>
          </w:tcPr>
          <w:p>
            <w:pPr>
              <w:jc w:val="right"/>
              <w:spacing w:after="0"/>
              <w:rPr>
                <w:sz w:val="20"/>
                <w:szCs w:val="20"/>
                <w:color w:val="auto"/>
              </w:rPr>
            </w:pPr>
            <w:r>
              <w:rPr>
                <w:rFonts w:ascii="Arial" w:cs="Arial" w:eastAsia="Arial" w:hAnsi="Arial"/>
                <w:sz w:val="10"/>
                <w:szCs w:val="10"/>
                <w:color w:val="auto"/>
              </w:rPr>
              <w:t>60.0 %</w:t>
            </w:r>
          </w:p>
        </w:tc>
      </w:tr>
      <w:tr>
        <w:trPr>
          <w:trHeight w:val="187"/>
        </w:trPr>
        <w:tc>
          <w:tcPr>
            <w:tcW w:w="680" w:type="dxa"/>
            <w:vAlign w:val="bottom"/>
          </w:tcPr>
          <w:p>
            <w:pPr>
              <w:jc w:val="right"/>
              <w:ind w:right="311"/>
              <w:spacing w:after="0"/>
              <w:rPr>
                <w:sz w:val="20"/>
                <w:szCs w:val="20"/>
                <w:color w:val="auto"/>
              </w:rPr>
            </w:pPr>
            <w:r>
              <w:rPr>
                <w:rFonts w:ascii="Arial" w:cs="Arial" w:eastAsia="Arial" w:hAnsi="Arial"/>
                <w:sz w:val="10"/>
                <w:szCs w:val="10"/>
                <w:color w:val="auto"/>
                <w:w w:val="96"/>
              </w:rPr>
              <w:t>50.2 %</w:t>
            </w:r>
          </w:p>
        </w:tc>
        <w:tc>
          <w:tcPr>
            <w:tcW w:w="1380" w:type="dxa"/>
            <w:vAlign w:val="bottom"/>
          </w:tcPr>
          <w:p>
            <w:pPr>
              <w:jc w:val="right"/>
              <w:ind w:right="651"/>
              <w:spacing w:after="0"/>
              <w:rPr>
                <w:sz w:val="20"/>
                <w:szCs w:val="20"/>
                <w:color w:val="auto"/>
              </w:rPr>
            </w:pPr>
            <w:r>
              <w:rPr>
                <w:rFonts w:ascii="Arial" w:cs="Arial" w:eastAsia="Arial" w:hAnsi="Arial"/>
                <w:sz w:val="10"/>
                <w:szCs w:val="10"/>
                <w:color w:val="auto"/>
              </w:rPr>
              <w:t>47.6 %</w:t>
            </w:r>
          </w:p>
        </w:tc>
        <w:tc>
          <w:tcPr>
            <w:tcW w:w="1420" w:type="dxa"/>
            <w:vAlign w:val="bottom"/>
          </w:tcPr>
          <w:p>
            <w:pPr>
              <w:jc w:val="right"/>
              <w:ind w:right="371"/>
              <w:spacing w:after="0"/>
              <w:rPr>
                <w:sz w:val="20"/>
                <w:szCs w:val="20"/>
                <w:color w:val="auto"/>
              </w:rPr>
            </w:pPr>
            <w:r>
              <w:rPr>
                <w:rFonts w:ascii="Arial" w:cs="Arial" w:eastAsia="Arial" w:hAnsi="Arial"/>
                <w:sz w:val="10"/>
                <w:szCs w:val="10"/>
                <w:color w:val="auto"/>
              </w:rPr>
              <w:t>50.1 %</w:t>
            </w:r>
          </w:p>
        </w:tc>
        <w:tc>
          <w:tcPr>
            <w:tcW w:w="740" w:type="dxa"/>
            <w:vAlign w:val="bottom"/>
          </w:tcPr>
          <w:p>
            <w:pPr>
              <w:jc w:val="right"/>
              <w:spacing w:after="0"/>
              <w:rPr>
                <w:sz w:val="20"/>
                <w:szCs w:val="20"/>
                <w:color w:val="auto"/>
              </w:rPr>
            </w:pPr>
            <w:r>
              <w:rPr>
                <w:rFonts w:ascii="Arial" w:cs="Arial" w:eastAsia="Arial" w:hAnsi="Arial"/>
                <w:sz w:val="10"/>
                <w:szCs w:val="10"/>
                <w:color w:val="auto"/>
              </w:rPr>
              <w:t>50.6 %</w:t>
            </w:r>
          </w:p>
        </w:tc>
      </w:tr>
    </w:tbl>
    <w:p>
      <w:pPr>
        <w:spacing w:after="0" w:line="249" w:lineRule="exact"/>
        <w:rPr>
          <w:sz w:val="20"/>
          <w:szCs w:val="20"/>
          <w:color w:val="auto"/>
        </w:rPr>
      </w:pPr>
    </w:p>
    <w:p>
      <w:pPr>
        <w:sectPr>
          <w:pgSz w:w="11900" w:h="16838" w:orient="portrait"/>
          <w:cols w:equalWidth="0" w:num="2">
            <w:col w:w="3440" w:space="680"/>
            <w:col w:w="4960"/>
          </w:cols>
          <w:pgMar w:left="1400" w:top="297" w:right="1419" w:bottom="1440" w:gutter="0" w:footer="0" w:header="0"/>
          <w:type w:val="continuous"/>
        </w:sectPr>
      </w:pPr>
    </w:p>
    <w:p>
      <w:pPr>
        <w:spacing w:after="0" w:line="151"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21</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7" w:right="14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Same Store Net Operating Income</w:t>
      </w:r>
    </w:p>
    <w:p>
      <w:pPr>
        <w:spacing w:after="0" w:line="227"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760" w:type="dxa"/>
        <w:tblCellMar>
          <w:top w:w="0" w:type="dxa"/>
          <w:left w:w="0" w:type="dxa"/>
          <w:bottom w:w="0" w:type="dxa"/>
          <w:right w:w="0" w:type="dxa"/>
        </w:tblCellMar>
      </w:tblPr>
      <w:tr>
        <w:trPr>
          <w:trHeight w:val="137"/>
        </w:trPr>
        <w:tc>
          <w:tcPr>
            <w:tcW w:w="28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4"/>
          </w:tcPr>
          <w:p>
            <w:pPr>
              <w:ind w:left="60"/>
              <w:spacing w:after="0"/>
              <w:rPr>
                <w:sz w:val="20"/>
                <w:szCs w:val="20"/>
                <w:color w:val="auto"/>
              </w:rPr>
            </w:pPr>
            <w:r>
              <w:rPr>
                <w:rFonts w:ascii="Arial" w:cs="Arial" w:eastAsia="Arial" w:hAnsi="Arial"/>
                <w:sz w:val="10"/>
                <w:szCs w:val="10"/>
                <w:b w:val="1"/>
                <w:bCs w:val="1"/>
                <w:color w:val="auto"/>
              </w:rPr>
              <w:t>March 31,</w:t>
            </w:r>
          </w:p>
        </w:tc>
        <w:tc>
          <w:tcPr>
            <w:tcW w:w="140" w:type="dxa"/>
            <w:vAlign w:val="bottom"/>
          </w:tcPr>
          <w:p>
            <w:pPr>
              <w:spacing w:after="0"/>
              <w:rPr>
                <w:sz w:val="11"/>
                <w:szCs w:val="11"/>
                <w:color w:val="auto"/>
              </w:rPr>
            </w:pPr>
          </w:p>
        </w:tc>
        <w:tc>
          <w:tcPr>
            <w:tcW w:w="660" w:type="dxa"/>
            <w:vAlign w:val="bottom"/>
            <w:gridSpan w:val="3"/>
          </w:tcPr>
          <w:p>
            <w:pPr>
              <w:jc w:val="center"/>
              <w:ind w:right="11"/>
              <w:spacing w:after="0"/>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w w:val="98"/>
              </w:rPr>
              <w:t>December 31,</w:t>
            </w:r>
          </w:p>
        </w:tc>
        <w:tc>
          <w:tcPr>
            <w:tcW w:w="100" w:type="dxa"/>
            <w:vAlign w:val="bottom"/>
          </w:tcPr>
          <w:p>
            <w:pPr>
              <w:spacing w:after="0"/>
              <w:rPr>
                <w:sz w:val="11"/>
                <w:szCs w:val="11"/>
                <w:color w:val="auto"/>
              </w:rPr>
            </w:pPr>
          </w:p>
        </w:tc>
        <w:tc>
          <w:tcPr>
            <w:tcW w:w="800" w:type="dxa"/>
            <w:vAlign w:val="bottom"/>
            <w:gridSpan w:val="3"/>
          </w:tcPr>
          <w:p>
            <w:pPr>
              <w:jc w:val="center"/>
              <w:ind w:right="51"/>
              <w:spacing w:after="0"/>
              <w:rPr>
                <w:sz w:val="20"/>
                <w:szCs w:val="20"/>
                <w:color w:val="auto"/>
              </w:rPr>
            </w:pPr>
            <w:r>
              <w:rPr>
                <w:rFonts w:ascii="Arial" w:cs="Arial" w:eastAsia="Arial" w:hAnsi="Arial"/>
                <w:sz w:val="10"/>
                <w:szCs w:val="10"/>
                <w:b w:val="1"/>
                <w:bCs w:val="1"/>
                <w:color w:val="auto"/>
                <w:w w:val="96"/>
              </w:rPr>
              <w:t>September 30,</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jc w:val="right"/>
              <w:ind w:right="291"/>
              <w:spacing w:after="0"/>
              <w:rPr>
                <w:sz w:val="20"/>
                <w:szCs w:val="20"/>
                <w:color w:val="auto"/>
              </w:rPr>
            </w:pPr>
            <w:r>
              <w:rPr>
                <w:rFonts w:ascii="Arial" w:cs="Arial" w:eastAsia="Arial" w:hAnsi="Arial"/>
                <w:sz w:val="10"/>
                <w:szCs w:val="10"/>
                <w:b w:val="1"/>
                <w:bCs w:val="1"/>
                <w:color w:val="auto"/>
              </w:rPr>
              <w:t>2026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2025</w:t>
            </w:r>
          </w:p>
        </w:tc>
        <w:tc>
          <w:tcPr>
            <w:tcW w:w="260" w:type="dxa"/>
            <w:vAlign w:val="bottom"/>
          </w:tcPr>
          <w:p>
            <w:pPr>
              <w:spacing w:after="0"/>
              <w:rPr>
                <w:sz w:val="10"/>
                <w:szCs w:val="10"/>
                <w:color w:val="auto"/>
              </w:rPr>
            </w:pPr>
          </w:p>
        </w:tc>
        <w:tc>
          <w:tcPr>
            <w:tcW w:w="880" w:type="dxa"/>
            <w:vAlign w:val="bottom"/>
            <w:gridSpan w:val="4"/>
          </w:tcPr>
          <w:p>
            <w:pPr>
              <w:jc w:val="right"/>
              <w:ind w:right="5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2025</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2025</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Revenues</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60" w:type="dxa"/>
            <w:vAlign w:val="bottom"/>
          </w:tcPr>
          <w:p>
            <w:pPr>
              <w:ind w:left="280"/>
              <w:spacing w:after="0"/>
              <w:rPr>
                <w:sz w:val="20"/>
                <w:szCs w:val="20"/>
                <w:color w:val="auto"/>
              </w:rPr>
            </w:pPr>
            <w:r>
              <w:rPr>
                <w:rFonts w:ascii="Arial" w:cs="Arial" w:eastAsia="Arial" w:hAnsi="Arial"/>
                <w:sz w:val="10"/>
                <w:szCs w:val="10"/>
                <w:color w:val="auto"/>
              </w:rPr>
              <w:t>Rental revenue, net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color w:val="auto"/>
              </w:rPr>
              <w:t>137,334</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137,547</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136,800</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139,001</w:t>
            </w:r>
          </w:p>
        </w:tc>
        <w:tc>
          <w:tcPr>
            <w:tcW w:w="0" w:type="dxa"/>
            <w:vAlign w:val="bottom"/>
          </w:tcPr>
          <w:p>
            <w:pPr>
              <w:spacing w:after="0"/>
              <w:rPr>
                <w:sz w:val="1"/>
                <w:szCs w:val="1"/>
                <w:color w:val="auto"/>
              </w:rPr>
            </w:pPr>
          </w:p>
        </w:tc>
      </w:tr>
      <w:tr>
        <w:trPr>
          <w:trHeight w:val="138"/>
        </w:trPr>
        <w:tc>
          <w:tcPr>
            <w:tcW w:w="2860" w:type="dxa"/>
            <w:vAlign w:val="bottom"/>
          </w:tcPr>
          <w:p>
            <w:pPr>
              <w:ind w:left="280"/>
              <w:spacing w:after="0"/>
              <w:rPr>
                <w:sz w:val="20"/>
                <w:szCs w:val="20"/>
                <w:color w:val="auto"/>
              </w:rPr>
            </w:pPr>
            <w:r>
              <w:rPr>
                <w:rFonts w:ascii="Arial" w:cs="Arial" w:eastAsia="Arial" w:hAnsi="Arial"/>
                <w:sz w:val="10"/>
                <w:szCs w:val="10"/>
                <w:color w:val="auto"/>
              </w:rPr>
              <w:t>Escalation &amp; reimbursement revenues</w:t>
            </w:r>
          </w:p>
        </w:tc>
        <w:tc>
          <w:tcPr>
            <w:tcW w:w="160" w:type="dxa"/>
            <w:vAlign w:val="bottom"/>
          </w:tcPr>
          <w:p>
            <w:pPr>
              <w:spacing w:after="0"/>
              <w:rPr>
                <w:sz w:val="11"/>
                <w:szCs w:val="11"/>
                <w:color w:val="auto"/>
              </w:rPr>
            </w:pPr>
          </w:p>
        </w:tc>
        <w:tc>
          <w:tcPr>
            <w:tcW w:w="740" w:type="dxa"/>
            <w:vAlign w:val="bottom"/>
            <w:gridSpan w:val="3"/>
          </w:tcPr>
          <w:p>
            <w:pPr>
              <w:jc w:val="right"/>
              <w:ind w:right="91"/>
              <w:spacing w:after="0"/>
              <w:rPr>
                <w:sz w:val="20"/>
                <w:szCs w:val="20"/>
                <w:color w:val="auto"/>
              </w:rPr>
            </w:pPr>
            <w:r>
              <w:rPr>
                <w:rFonts w:ascii="Arial" w:cs="Arial" w:eastAsia="Arial" w:hAnsi="Arial"/>
                <w:sz w:val="10"/>
                <w:szCs w:val="10"/>
                <w:color w:val="auto"/>
              </w:rPr>
              <w:t>18,267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17,217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19,925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17,375</w:t>
            </w:r>
          </w:p>
        </w:tc>
        <w:tc>
          <w:tcPr>
            <w:tcW w:w="0" w:type="dxa"/>
            <w:vAlign w:val="bottom"/>
          </w:tcPr>
          <w:p>
            <w:pPr>
              <w:spacing w:after="0"/>
              <w:rPr>
                <w:sz w:val="1"/>
                <w:szCs w:val="1"/>
                <w:color w:val="auto"/>
              </w:rPr>
            </w:pPr>
          </w:p>
        </w:tc>
      </w:tr>
      <w:tr>
        <w:trPr>
          <w:trHeight w:val="138"/>
        </w:trPr>
        <w:tc>
          <w:tcPr>
            <w:tcW w:w="2860" w:type="dxa"/>
            <w:vAlign w:val="bottom"/>
          </w:tcPr>
          <w:p>
            <w:pPr>
              <w:ind w:left="280"/>
              <w:spacing w:after="0"/>
              <w:rPr>
                <w:sz w:val="20"/>
                <w:szCs w:val="20"/>
                <w:color w:val="auto"/>
              </w:rPr>
            </w:pPr>
            <w:r>
              <w:rPr>
                <w:rFonts w:ascii="Arial" w:cs="Arial" w:eastAsia="Arial" w:hAnsi="Arial"/>
                <w:sz w:val="10"/>
                <w:szCs w:val="10"/>
                <w:color w:val="auto"/>
              </w:rPr>
              <w:t>Other income</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(35)</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4,661</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1,457</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715</w:t>
            </w:r>
          </w:p>
        </w:tc>
        <w:tc>
          <w:tcPr>
            <w:tcW w:w="0" w:type="dxa"/>
            <w:vAlign w:val="bottom"/>
          </w:tcPr>
          <w:p>
            <w:pPr>
              <w:spacing w:after="0"/>
              <w:rPr>
                <w:sz w:val="1"/>
                <w:szCs w:val="1"/>
                <w:color w:val="auto"/>
              </w:rPr>
            </w:pPr>
          </w:p>
        </w:tc>
      </w:tr>
      <w:tr>
        <w:trPr>
          <w:trHeight w:val="134"/>
        </w:trPr>
        <w:tc>
          <w:tcPr>
            <w:tcW w:w="2860" w:type="dxa"/>
            <w:vAlign w:val="bottom"/>
          </w:tcPr>
          <w:p>
            <w:pPr>
              <w:ind w:left="280"/>
              <w:spacing w:after="0"/>
              <w:rPr>
                <w:sz w:val="20"/>
                <w:szCs w:val="20"/>
                <w:color w:val="auto"/>
              </w:rPr>
            </w:pPr>
            <w:r>
              <w:rPr>
                <w:rFonts w:ascii="Arial" w:cs="Arial" w:eastAsia="Arial" w:hAnsi="Arial"/>
                <w:sz w:val="10"/>
                <w:szCs w:val="10"/>
                <w:b w:val="1"/>
                <w:bCs w:val="1"/>
                <w:color w:val="auto"/>
              </w:rPr>
              <w:t>Total Revenues</w:t>
            </w:r>
          </w:p>
        </w:tc>
        <w:tc>
          <w:tcPr>
            <w:tcW w:w="160" w:type="dxa"/>
            <w:vAlign w:val="bottom"/>
          </w:tcPr>
          <w:p>
            <w:pPr>
              <w:jc w:val="right"/>
              <w:ind w:right="31"/>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155,566</w:t>
            </w:r>
          </w:p>
        </w:tc>
        <w:tc>
          <w:tcPr>
            <w:tcW w:w="16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159,425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158,182</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157,091</w:t>
            </w:r>
          </w:p>
        </w:tc>
        <w:tc>
          <w:tcPr>
            <w:tcW w:w="0" w:type="dxa"/>
            <w:vAlign w:val="bottom"/>
          </w:tcPr>
          <w:p>
            <w:pPr>
              <w:spacing w:after="0"/>
              <w:rPr>
                <w:sz w:val="1"/>
                <w:szCs w:val="1"/>
                <w:color w:val="auto"/>
              </w:rPr>
            </w:pPr>
          </w:p>
        </w:tc>
      </w:tr>
      <w:tr>
        <w:trPr>
          <w:trHeight w:val="140"/>
        </w:trPr>
        <w:tc>
          <w:tcPr>
            <w:tcW w:w="2860" w:type="dxa"/>
            <w:vAlign w:val="bottom"/>
          </w:tcPr>
          <w:p>
            <w:pPr>
              <w:ind w:left="280"/>
              <w:spacing w:after="0"/>
              <w:rPr>
                <w:sz w:val="20"/>
                <w:szCs w:val="20"/>
                <w:color w:val="auto"/>
              </w:rPr>
            </w:pPr>
            <w:r>
              <w:rPr>
                <w:rFonts w:ascii="Arial" w:cs="Arial" w:eastAsia="Arial" w:hAnsi="Arial"/>
                <w:sz w:val="10"/>
                <w:szCs w:val="10"/>
                <w:color w:val="auto"/>
              </w:rPr>
              <w:t>Equity in net income (loss) from unconsolidated joint</w:t>
            </w:r>
          </w:p>
        </w:tc>
        <w:tc>
          <w:tcPr>
            <w:tcW w:w="160" w:type="dxa"/>
            <w:vAlign w:val="bottom"/>
            <w:vMerge w:val="restart"/>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gridSpan w:val="3"/>
            <w:vMerge w:val="restart"/>
          </w:tcPr>
          <w:p>
            <w:pPr>
              <w:jc w:val="right"/>
              <w:ind w:right="71"/>
              <w:spacing w:after="0"/>
              <w:rPr>
                <w:sz w:val="20"/>
                <w:szCs w:val="20"/>
                <w:color w:val="auto"/>
              </w:rPr>
            </w:pPr>
            <w:r>
              <w:rPr>
                <w:rFonts w:ascii="Arial" w:cs="Arial" w:eastAsia="Arial" w:hAnsi="Arial"/>
                <w:sz w:val="10"/>
                <w:szCs w:val="10"/>
                <w:color w:val="auto"/>
              </w:rPr>
              <w:t>(20,880)</w:t>
            </w:r>
          </w:p>
        </w:tc>
        <w:tc>
          <w:tcPr>
            <w:tcW w:w="160" w:type="dxa"/>
            <w:vAlign w:val="bottom"/>
          </w:tcPr>
          <w:p>
            <w:pPr>
              <w:spacing w:after="0"/>
              <w:rPr>
                <w:sz w:val="12"/>
                <w:szCs w:val="12"/>
                <w:color w:val="auto"/>
              </w:rPr>
            </w:pP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3"/>
            <w:vMerge w:val="restart"/>
          </w:tcPr>
          <w:p>
            <w:pPr>
              <w:jc w:val="right"/>
              <w:spacing w:after="0"/>
              <w:rPr>
                <w:sz w:val="20"/>
                <w:szCs w:val="20"/>
                <w:color w:val="auto"/>
              </w:rPr>
            </w:pPr>
            <w:r>
              <w:rPr>
                <w:rFonts w:ascii="Arial" w:cs="Arial" w:eastAsia="Arial" w:hAnsi="Arial"/>
                <w:sz w:val="10"/>
                <w:szCs w:val="10"/>
                <w:color w:val="auto"/>
              </w:rPr>
              <w:t>(26,183)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vMerge w:val="restart"/>
          </w:tcPr>
          <w:p>
            <w:pPr>
              <w:jc w:val="right"/>
              <w:ind w:right="51"/>
              <w:spacing w:after="0"/>
              <w:rPr>
                <w:sz w:val="20"/>
                <w:szCs w:val="20"/>
                <w:color w:val="auto"/>
              </w:rPr>
            </w:pPr>
            <w:r>
              <w:rPr>
                <w:rFonts w:ascii="Arial" w:cs="Arial" w:eastAsia="Arial" w:hAnsi="Arial"/>
                <w:sz w:val="10"/>
                <w:szCs w:val="10"/>
                <w:color w:val="auto"/>
              </w:rPr>
              <w:t>(21,210)</w:t>
            </w:r>
          </w:p>
        </w:tc>
        <w:tc>
          <w:tcPr>
            <w:tcW w:w="1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vMerge w:val="restart"/>
          </w:tcPr>
          <w:p>
            <w:pPr>
              <w:jc w:val="right"/>
              <w:ind w:right="51"/>
              <w:spacing w:after="0"/>
              <w:rPr>
                <w:sz w:val="20"/>
                <w:szCs w:val="20"/>
                <w:color w:val="auto"/>
              </w:rPr>
            </w:pPr>
            <w:r>
              <w:rPr>
                <w:rFonts w:ascii="Arial" w:cs="Arial" w:eastAsia="Arial" w:hAnsi="Arial"/>
                <w:sz w:val="10"/>
                <w:szCs w:val="10"/>
                <w:color w:val="auto"/>
              </w:rPr>
              <w:t>(18,705)</w:t>
            </w:r>
          </w:p>
        </w:tc>
        <w:tc>
          <w:tcPr>
            <w:tcW w:w="0" w:type="dxa"/>
            <w:vAlign w:val="bottom"/>
          </w:tcPr>
          <w:p>
            <w:pPr>
              <w:spacing w:after="0"/>
              <w:rPr>
                <w:sz w:val="1"/>
                <w:szCs w:val="1"/>
                <w:color w:val="auto"/>
              </w:rPr>
            </w:pPr>
          </w:p>
        </w:tc>
      </w:tr>
      <w:tr>
        <w:trPr>
          <w:trHeight w:val="137"/>
        </w:trPr>
        <w:tc>
          <w:tcPr>
            <w:tcW w:w="2860" w:type="dxa"/>
            <w:vAlign w:val="bottom"/>
          </w:tcPr>
          <w:p>
            <w:pPr>
              <w:ind w:left="280"/>
              <w:spacing w:after="0"/>
              <w:rPr>
                <w:sz w:val="20"/>
                <w:szCs w:val="20"/>
                <w:color w:val="auto"/>
              </w:rPr>
            </w:pPr>
            <w:r>
              <w:rPr>
                <w:rFonts w:ascii="Arial" w:cs="Arial" w:eastAsia="Arial" w:hAnsi="Arial"/>
                <w:sz w:val="10"/>
                <w:szCs w:val="10"/>
                <w:color w:val="auto"/>
              </w:rPr>
              <w:t xml:space="preserve">ventures </w:t>
            </w:r>
            <w:r>
              <w:rPr>
                <w:rFonts w:ascii="Arial" w:cs="Arial" w:eastAsia="Arial" w:hAnsi="Arial"/>
                <w:sz w:val="12"/>
                <w:szCs w:val="12"/>
                <w:color w:val="auto"/>
                <w:vertAlign w:val="superscript"/>
              </w:rPr>
              <w:t>(1)</w:t>
            </w:r>
          </w:p>
        </w:tc>
        <w:tc>
          <w:tcPr>
            <w:tcW w:w="160" w:type="dxa"/>
            <w:vAlign w:val="bottom"/>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Expenses</w:t>
            </w: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60" w:type="dxa"/>
            <w:vAlign w:val="bottom"/>
          </w:tcPr>
          <w:p>
            <w:pPr>
              <w:ind w:left="280"/>
              <w:spacing w:after="0"/>
              <w:rPr>
                <w:sz w:val="20"/>
                <w:szCs w:val="20"/>
                <w:color w:val="auto"/>
              </w:rPr>
            </w:pPr>
            <w:r>
              <w:rPr>
                <w:rFonts w:ascii="Arial" w:cs="Arial" w:eastAsia="Arial" w:hAnsi="Arial"/>
                <w:sz w:val="10"/>
                <w:szCs w:val="10"/>
                <w:color w:val="auto"/>
              </w:rPr>
              <w:t>Operating expenses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color w:val="auto"/>
              </w:rPr>
              <w:t>44,010</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43,726</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43,976</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44,201</w:t>
            </w:r>
          </w:p>
        </w:tc>
        <w:tc>
          <w:tcPr>
            <w:tcW w:w="0" w:type="dxa"/>
            <w:vAlign w:val="bottom"/>
          </w:tcPr>
          <w:p>
            <w:pPr>
              <w:spacing w:after="0"/>
              <w:rPr>
                <w:sz w:val="1"/>
                <w:szCs w:val="1"/>
                <w:color w:val="auto"/>
              </w:rPr>
            </w:pPr>
          </w:p>
        </w:tc>
      </w:tr>
      <w:tr>
        <w:trPr>
          <w:trHeight w:val="138"/>
        </w:trPr>
        <w:tc>
          <w:tcPr>
            <w:tcW w:w="2860" w:type="dxa"/>
            <w:vAlign w:val="bottom"/>
          </w:tcPr>
          <w:p>
            <w:pPr>
              <w:ind w:left="280"/>
              <w:spacing w:after="0"/>
              <w:rPr>
                <w:sz w:val="20"/>
                <w:szCs w:val="20"/>
                <w:color w:val="auto"/>
              </w:rPr>
            </w:pPr>
            <w:r>
              <w:rPr>
                <w:rFonts w:ascii="Arial" w:cs="Arial" w:eastAsia="Arial" w:hAnsi="Arial"/>
                <w:sz w:val="10"/>
                <w:szCs w:val="10"/>
                <w:color w:val="auto"/>
              </w:rPr>
              <w:t>Real estate taxes</w:t>
            </w:r>
          </w:p>
        </w:tc>
        <w:tc>
          <w:tcPr>
            <w:tcW w:w="160" w:type="dxa"/>
            <w:vAlign w:val="bottom"/>
          </w:tcPr>
          <w:p>
            <w:pPr>
              <w:spacing w:after="0"/>
              <w:rPr>
                <w:sz w:val="11"/>
                <w:szCs w:val="11"/>
                <w:color w:val="auto"/>
              </w:rPr>
            </w:pPr>
          </w:p>
        </w:tc>
        <w:tc>
          <w:tcPr>
            <w:tcW w:w="740" w:type="dxa"/>
            <w:vAlign w:val="bottom"/>
            <w:gridSpan w:val="3"/>
          </w:tcPr>
          <w:p>
            <w:pPr>
              <w:jc w:val="right"/>
              <w:ind w:right="91"/>
              <w:spacing w:after="0"/>
              <w:rPr>
                <w:sz w:val="20"/>
                <w:szCs w:val="20"/>
                <w:color w:val="auto"/>
              </w:rPr>
            </w:pPr>
            <w:r>
              <w:rPr>
                <w:rFonts w:ascii="Arial" w:cs="Arial" w:eastAsia="Arial" w:hAnsi="Arial"/>
                <w:sz w:val="10"/>
                <w:szCs w:val="10"/>
                <w:color w:val="auto"/>
              </w:rPr>
              <w:t>35,351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35,113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35,724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34,685</w:t>
            </w:r>
          </w:p>
        </w:tc>
        <w:tc>
          <w:tcPr>
            <w:tcW w:w="0" w:type="dxa"/>
            <w:vAlign w:val="bottom"/>
          </w:tcPr>
          <w:p>
            <w:pPr>
              <w:spacing w:after="0"/>
              <w:rPr>
                <w:sz w:val="1"/>
                <w:szCs w:val="1"/>
                <w:color w:val="auto"/>
              </w:rPr>
            </w:pPr>
          </w:p>
        </w:tc>
      </w:tr>
      <w:tr>
        <w:trPr>
          <w:trHeight w:val="138"/>
        </w:trPr>
        <w:tc>
          <w:tcPr>
            <w:tcW w:w="2860" w:type="dxa"/>
            <w:vAlign w:val="bottom"/>
          </w:tcPr>
          <w:p>
            <w:pPr>
              <w:ind w:left="280"/>
              <w:spacing w:after="0"/>
              <w:rPr>
                <w:sz w:val="20"/>
                <w:szCs w:val="20"/>
                <w:color w:val="auto"/>
              </w:rPr>
            </w:pPr>
            <w:r>
              <w:rPr>
                <w:rFonts w:ascii="Arial" w:cs="Arial" w:eastAsia="Arial" w:hAnsi="Arial"/>
                <w:sz w:val="10"/>
                <w:szCs w:val="10"/>
                <w:color w:val="auto"/>
              </w:rPr>
              <w:t>Operating lease rent</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6,106</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6,106</w:t>
            </w: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6,106</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6,106</w:t>
            </w:r>
          </w:p>
        </w:tc>
        <w:tc>
          <w:tcPr>
            <w:tcW w:w="0" w:type="dxa"/>
            <w:vAlign w:val="bottom"/>
          </w:tcPr>
          <w:p>
            <w:pPr>
              <w:spacing w:after="0"/>
              <w:rPr>
                <w:sz w:val="1"/>
                <w:szCs w:val="1"/>
                <w:color w:val="auto"/>
              </w:rPr>
            </w:pPr>
          </w:p>
        </w:tc>
      </w:tr>
      <w:tr>
        <w:trPr>
          <w:trHeight w:val="134"/>
        </w:trPr>
        <w:tc>
          <w:tcPr>
            <w:tcW w:w="2860" w:type="dxa"/>
            <w:vAlign w:val="bottom"/>
          </w:tcPr>
          <w:p>
            <w:pPr>
              <w:ind w:left="280"/>
              <w:spacing w:after="0"/>
              <w:rPr>
                <w:sz w:val="20"/>
                <w:szCs w:val="20"/>
                <w:color w:val="auto"/>
              </w:rPr>
            </w:pPr>
            <w:r>
              <w:rPr>
                <w:rFonts w:ascii="Arial" w:cs="Arial" w:eastAsia="Arial" w:hAnsi="Arial"/>
                <w:sz w:val="10"/>
                <w:szCs w:val="10"/>
                <w:b w:val="1"/>
                <w:bCs w:val="1"/>
                <w:color w:val="auto"/>
              </w:rPr>
              <w:t>Total Operating Expenses</w:t>
            </w:r>
          </w:p>
        </w:tc>
        <w:tc>
          <w:tcPr>
            <w:tcW w:w="160" w:type="dxa"/>
            <w:vAlign w:val="bottom"/>
          </w:tcPr>
          <w:p>
            <w:pPr>
              <w:jc w:val="right"/>
              <w:ind w:right="31"/>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85,467</w:t>
            </w:r>
          </w:p>
        </w:tc>
        <w:tc>
          <w:tcPr>
            <w:tcW w:w="16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84,945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85,806</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84,992</w:t>
            </w:r>
          </w:p>
        </w:tc>
        <w:tc>
          <w:tcPr>
            <w:tcW w:w="0" w:type="dxa"/>
            <w:vAlign w:val="bottom"/>
          </w:tcPr>
          <w:p>
            <w:pPr>
              <w:spacing w:after="0"/>
              <w:rPr>
                <w:sz w:val="1"/>
                <w:szCs w:val="1"/>
                <w:color w:val="auto"/>
              </w:rPr>
            </w:pPr>
          </w:p>
        </w:tc>
      </w:tr>
      <w:tr>
        <w:trPr>
          <w:trHeight w:val="176"/>
        </w:trPr>
        <w:tc>
          <w:tcPr>
            <w:tcW w:w="2860" w:type="dxa"/>
            <w:vAlign w:val="bottom"/>
          </w:tcPr>
          <w:p>
            <w:pPr>
              <w:ind w:left="280"/>
              <w:spacing w:after="0"/>
              <w:rPr>
                <w:sz w:val="20"/>
                <w:szCs w:val="20"/>
                <w:color w:val="auto"/>
              </w:rPr>
            </w:pPr>
            <w:r>
              <w:rPr>
                <w:rFonts w:ascii="Arial" w:cs="Arial" w:eastAsia="Arial" w:hAnsi="Arial"/>
                <w:sz w:val="10"/>
                <w:szCs w:val="10"/>
                <w:b w:val="1"/>
                <w:bCs w:val="1"/>
                <w:color w:val="auto"/>
              </w:rPr>
              <w:t>Operating Income</w:t>
            </w:r>
          </w:p>
        </w:tc>
        <w:tc>
          <w:tcPr>
            <w:tcW w:w="160" w:type="dxa"/>
            <w:vAlign w:val="bottom"/>
          </w:tcPr>
          <w:p>
            <w:pPr>
              <w:jc w:val="right"/>
              <w:ind w:right="31"/>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49,219</w:t>
            </w:r>
          </w:p>
        </w:tc>
        <w:tc>
          <w:tcPr>
            <w:tcW w:w="16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48,297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51,166</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53,394</w:t>
            </w:r>
          </w:p>
        </w:tc>
        <w:tc>
          <w:tcPr>
            <w:tcW w:w="0" w:type="dxa"/>
            <w:vAlign w:val="bottom"/>
          </w:tcPr>
          <w:p>
            <w:pPr>
              <w:spacing w:after="0"/>
              <w:rPr>
                <w:sz w:val="1"/>
                <w:szCs w:val="1"/>
                <w:color w:val="auto"/>
              </w:rPr>
            </w:pPr>
          </w:p>
        </w:tc>
      </w:tr>
      <w:tr>
        <w:trPr>
          <w:trHeight w:val="171"/>
        </w:trPr>
        <w:tc>
          <w:tcPr>
            <w:tcW w:w="2860" w:type="dxa"/>
            <w:vAlign w:val="bottom"/>
          </w:tcPr>
          <w:p>
            <w:pPr>
              <w:ind w:left="280"/>
              <w:spacing w:after="0"/>
              <w:rPr>
                <w:sz w:val="20"/>
                <w:szCs w:val="20"/>
                <w:color w:val="auto"/>
              </w:rPr>
            </w:pPr>
            <w:r>
              <w:rPr>
                <w:rFonts w:ascii="Arial" w:cs="Arial" w:eastAsia="Arial" w:hAnsi="Arial"/>
                <w:sz w:val="10"/>
                <w:szCs w:val="10"/>
                <w:color w:val="auto"/>
              </w:rPr>
              <w:t>Interest expense &amp; amortization of financing costs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color w:val="auto"/>
              </w:rPr>
              <w:t>26,102</w:t>
            </w:r>
          </w:p>
        </w:tc>
        <w:tc>
          <w:tcPr>
            <w:tcW w:w="1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24,109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25,410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25,384</w:t>
            </w:r>
          </w:p>
        </w:tc>
        <w:tc>
          <w:tcPr>
            <w:tcW w:w="0" w:type="dxa"/>
            <w:vAlign w:val="bottom"/>
          </w:tcPr>
          <w:p>
            <w:pPr>
              <w:spacing w:after="0"/>
              <w:rPr>
                <w:sz w:val="1"/>
                <w:szCs w:val="1"/>
                <w:color w:val="auto"/>
              </w:rPr>
            </w:pPr>
          </w:p>
        </w:tc>
      </w:tr>
      <w:tr>
        <w:trPr>
          <w:trHeight w:val="142"/>
        </w:trPr>
        <w:tc>
          <w:tcPr>
            <w:tcW w:w="2860" w:type="dxa"/>
            <w:vAlign w:val="bottom"/>
          </w:tcPr>
          <w:p>
            <w:pPr>
              <w:ind w:left="280"/>
              <w:spacing w:after="0"/>
              <w:rPr>
                <w:sz w:val="20"/>
                <w:szCs w:val="20"/>
                <w:color w:val="auto"/>
              </w:rPr>
            </w:pPr>
            <w:r>
              <w:rPr>
                <w:rFonts w:ascii="Arial" w:cs="Arial" w:eastAsia="Arial" w:hAnsi="Arial"/>
                <w:sz w:val="10"/>
                <w:szCs w:val="10"/>
                <w:color w:val="auto"/>
              </w:rPr>
              <w:t>Depreciation &amp; amortization</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50,810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53,783</w:t>
            </w: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51,673</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52,683</w:t>
            </w:r>
          </w:p>
        </w:tc>
        <w:tc>
          <w:tcPr>
            <w:tcW w:w="0" w:type="dxa"/>
            <w:vAlign w:val="bottom"/>
          </w:tcPr>
          <w:p>
            <w:pPr>
              <w:spacing w:after="0"/>
              <w:rPr>
                <w:sz w:val="1"/>
                <w:szCs w:val="1"/>
                <w:color w:val="auto"/>
              </w:rPr>
            </w:pPr>
          </w:p>
        </w:tc>
      </w:tr>
      <w:tr>
        <w:trPr>
          <w:trHeight w:val="192"/>
        </w:trPr>
        <w:tc>
          <w:tcPr>
            <w:tcW w:w="2860" w:type="dxa"/>
            <w:vAlign w:val="bottom"/>
          </w:tcPr>
          <w:p>
            <w:pPr>
              <w:ind w:left="280"/>
              <w:spacing w:after="0"/>
              <w:rPr>
                <w:sz w:val="20"/>
                <w:szCs w:val="20"/>
                <w:color w:val="auto"/>
              </w:rPr>
            </w:pPr>
            <w:r>
              <w:rPr>
                <w:rFonts w:ascii="Arial" w:cs="Arial" w:eastAsia="Arial" w:hAnsi="Arial"/>
                <w:sz w:val="10"/>
                <w:szCs w:val="10"/>
                <w:color w:val="auto"/>
              </w:rPr>
              <w:t>Loss before noncontrolling interest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(27,693)</w:t>
            </w:r>
          </w:p>
        </w:tc>
        <w:tc>
          <w:tcPr>
            <w:tcW w:w="160" w:type="dxa"/>
            <w:vAlign w:val="bottom"/>
          </w:tcPr>
          <w:p>
            <w:pPr>
              <w:spacing w:after="0"/>
              <w:rPr>
                <w:sz w:val="16"/>
                <w:szCs w:val="16"/>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(29,595)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51"/>
              <w:spacing w:after="0"/>
              <w:rPr>
                <w:sz w:val="20"/>
                <w:szCs w:val="20"/>
                <w:color w:val="auto"/>
              </w:rPr>
            </w:pPr>
            <w:r>
              <w:rPr>
                <w:rFonts w:ascii="Arial" w:cs="Arial" w:eastAsia="Arial" w:hAnsi="Arial"/>
                <w:sz w:val="10"/>
                <w:szCs w:val="10"/>
                <w:color w:val="auto"/>
              </w:rPr>
              <w:t>(25,917)</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51"/>
              <w:spacing w:after="0"/>
              <w:rPr>
                <w:sz w:val="20"/>
                <w:szCs w:val="20"/>
                <w:color w:val="auto"/>
              </w:rPr>
            </w:pPr>
            <w:r>
              <w:rPr>
                <w:rFonts w:ascii="Arial" w:cs="Arial" w:eastAsia="Arial" w:hAnsi="Arial"/>
                <w:sz w:val="10"/>
                <w:szCs w:val="10"/>
                <w:color w:val="auto"/>
              </w:rPr>
              <w:t>(24,673)</w:t>
            </w:r>
          </w:p>
        </w:tc>
        <w:tc>
          <w:tcPr>
            <w:tcW w:w="0" w:type="dxa"/>
            <w:vAlign w:val="bottom"/>
          </w:tcPr>
          <w:p>
            <w:pPr>
              <w:spacing w:after="0"/>
              <w:rPr>
                <w:sz w:val="1"/>
                <w:szCs w:val="1"/>
                <w:color w:val="auto"/>
              </w:rPr>
            </w:pPr>
          </w:p>
        </w:tc>
      </w:tr>
      <w:tr>
        <w:trPr>
          <w:trHeight w:val="138"/>
        </w:trPr>
        <w:tc>
          <w:tcPr>
            <w:tcW w:w="2860" w:type="dxa"/>
            <w:vAlign w:val="bottom"/>
          </w:tcPr>
          <w:p>
            <w:pPr>
              <w:ind w:left="280"/>
              <w:spacing w:after="0"/>
              <w:rPr>
                <w:sz w:val="20"/>
                <w:szCs w:val="20"/>
                <w:color w:val="auto"/>
              </w:rPr>
            </w:pPr>
            <w:r>
              <w:rPr>
                <w:rFonts w:ascii="Arial" w:cs="Arial" w:eastAsia="Arial" w:hAnsi="Arial"/>
                <w:sz w:val="10"/>
                <w:szCs w:val="10"/>
                <w:color w:val="auto"/>
              </w:rPr>
              <w:t>Real estate depreciation &amp; amortization</w:t>
            </w:r>
          </w:p>
        </w:tc>
        <w:tc>
          <w:tcPr>
            <w:tcW w:w="160" w:type="dxa"/>
            <w:vAlign w:val="bottom"/>
          </w:tcPr>
          <w:p>
            <w:pPr>
              <w:spacing w:after="0"/>
              <w:rPr>
                <w:sz w:val="11"/>
                <w:szCs w:val="11"/>
                <w:color w:val="auto"/>
              </w:rPr>
            </w:pPr>
          </w:p>
        </w:tc>
        <w:tc>
          <w:tcPr>
            <w:tcW w:w="740" w:type="dxa"/>
            <w:vAlign w:val="bottom"/>
            <w:gridSpan w:val="3"/>
          </w:tcPr>
          <w:p>
            <w:pPr>
              <w:jc w:val="right"/>
              <w:ind w:right="91"/>
              <w:spacing w:after="0"/>
              <w:rPr>
                <w:sz w:val="20"/>
                <w:szCs w:val="20"/>
                <w:color w:val="auto"/>
              </w:rPr>
            </w:pPr>
            <w:r>
              <w:rPr>
                <w:rFonts w:ascii="Arial" w:cs="Arial" w:eastAsia="Arial" w:hAnsi="Arial"/>
                <w:sz w:val="10"/>
                <w:szCs w:val="10"/>
                <w:color w:val="auto"/>
              </w:rPr>
              <w:t>50,810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53,783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51,673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52,683</w:t>
            </w:r>
          </w:p>
        </w:tc>
        <w:tc>
          <w:tcPr>
            <w:tcW w:w="0" w:type="dxa"/>
            <w:vAlign w:val="bottom"/>
          </w:tcPr>
          <w:p>
            <w:pPr>
              <w:spacing w:after="0"/>
              <w:rPr>
                <w:sz w:val="1"/>
                <w:szCs w:val="1"/>
                <w:color w:val="auto"/>
              </w:rPr>
            </w:pPr>
          </w:p>
        </w:tc>
      </w:tr>
      <w:tr>
        <w:trPr>
          <w:trHeight w:val="147"/>
        </w:trPr>
        <w:tc>
          <w:tcPr>
            <w:tcW w:w="2860" w:type="dxa"/>
            <w:vAlign w:val="bottom"/>
          </w:tcPr>
          <w:p>
            <w:pPr>
              <w:ind w:left="280"/>
              <w:spacing w:after="0"/>
              <w:rPr>
                <w:sz w:val="20"/>
                <w:szCs w:val="20"/>
                <w:color w:val="auto"/>
              </w:rPr>
            </w:pPr>
            <w:r>
              <w:rPr>
                <w:rFonts w:ascii="Arial" w:cs="Arial" w:eastAsia="Arial" w:hAnsi="Arial"/>
                <w:sz w:val="10"/>
                <w:szCs w:val="10"/>
                <w:color w:val="auto"/>
              </w:rPr>
              <w:t xml:space="preserve">Joint Ventures Real estate depreciation &amp; amortization </w:t>
            </w:r>
            <w:r>
              <w:rPr>
                <w:rFonts w:ascii="Arial" w:cs="Arial" w:eastAsia="Arial" w:hAnsi="Arial"/>
                <w:sz w:val="12"/>
                <w:szCs w:val="12"/>
                <w:color w:val="auto"/>
                <w:vertAlign w:val="superscript"/>
              </w:rPr>
              <w:t>(1)</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59,140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56,508</w:t>
            </w: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57,662</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58,719</w:t>
            </w:r>
          </w:p>
        </w:tc>
        <w:tc>
          <w:tcPr>
            <w:tcW w:w="0" w:type="dxa"/>
            <w:vAlign w:val="bottom"/>
          </w:tcPr>
          <w:p>
            <w:pPr>
              <w:spacing w:after="0"/>
              <w:rPr>
                <w:sz w:val="1"/>
                <w:szCs w:val="1"/>
                <w:color w:val="auto"/>
              </w:rPr>
            </w:pPr>
          </w:p>
        </w:tc>
      </w:tr>
      <w:tr>
        <w:trPr>
          <w:trHeight w:val="125"/>
        </w:trPr>
        <w:tc>
          <w:tcPr>
            <w:tcW w:w="2860" w:type="dxa"/>
            <w:vAlign w:val="bottom"/>
          </w:tcPr>
          <w:p>
            <w:pPr>
              <w:ind w:left="280"/>
              <w:spacing w:after="0"/>
              <w:rPr>
                <w:sz w:val="20"/>
                <w:szCs w:val="20"/>
                <w:color w:val="auto"/>
              </w:rPr>
            </w:pPr>
            <w:r>
              <w:rPr>
                <w:rFonts w:ascii="Arial" w:cs="Arial" w:eastAsia="Arial" w:hAnsi="Arial"/>
                <w:sz w:val="10"/>
                <w:szCs w:val="10"/>
                <w:b w:val="1"/>
                <w:bCs w:val="1"/>
                <w:color w:val="auto"/>
              </w:rPr>
              <w:t>FFO Contribution</w:t>
            </w:r>
          </w:p>
        </w:tc>
        <w:tc>
          <w:tcPr>
            <w:tcW w:w="160" w:type="dxa"/>
            <w:vAlign w:val="bottom"/>
          </w:tcPr>
          <w:p>
            <w:pPr>
              <w:jc w:val="right"/>
              <w:ind w:right="31"/>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82,257</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80,696</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83,418</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86,729</w:t>
            </w:r>
          </w:p>
        </w:tc>
        <w:tc>
          <w:tcPr>
            <w:tcW w:w="0" w:type="dxa"/>
            <w:vAlign w:val="bottom"/>
          </w:tcPr>
          <w:p>
            <w:pPr>
              <w:spacing w:after="0"/>
              <w:rPr>
                <w:sz w:val="1"/>
                <w:szCs w:val="1"/>
                <w:color w:val="auto"/>
              </w:rPr>
            </w:pPr>
          </w:p>
        </w:tc>
      </w:tr>
      <w:tr>
        <w:trPr>
          <w:trHeight w:val="170"/>
        </w:trPr>
        <w:tc>
          <w:tcPr>
            <w:tcW w:w="2860" w:type="dxa"/>
            <w:vAlign w:val="bottom"/>
          </w:tcPr>
          <w:p>
            <w:pPr>
              <w:ind w:left="280"/>
              <w:spacing w:after="0"/>
              <w:rPr>
                <w:sz w:val="20"/>
                <w:szCs w:val="20"/>
                <w:color w:val="auto"/>
              </w:rPr>
            </w:pPr>
            <w:r>
              <w:rPr>
                <w:rFonts w:ascii="Arial" w:cs="Arial" w:eastAsia="Arial" w:hAnsi="Arial"/>
                <w:sz w:val="10"/>
                <w:szCs w:val="10"/>
                <w:color w:val="auto"/>
              </w:rPr>
              <w:t>Non–building revenue</w:t>
            </w:r>
          </w:p>
        </w:tc>
        <w:tc>
          <w:tcPr>
            <w:tcW w:w="160" w:type="dxa"/>
            <w:vAlign w:val="bottom"/>
          </w:tcPr>
          <w:p>
            <w:pPr>
              <w:spacing w:after="0"/>
              <w:rPr>
                <w:sz w:val="14"/>
                <w:szCs w:val="14"/>
                <w:color w:val="auto"/>
              </w:rPr>
            </w:pP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(302)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(253)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51"/>
              <w:spacing w:after="0"/>
              <w:rPr>
                <w:sz w:val="20"/>
                <w:szCs w:val="20"/>
                <w:color w:val="auto"/>
              </w:rPr>
            </w:pPr>
            <w:r>
              <w:rPr>
                <w:rFonts w:ascii="Arial" w:cs="Arial" w:eastAsia="Arial" w:hAnsi="Arial"/>
                <w:sz w:val="10"/>
                <w:szCs w:val="10"/>
                <w:color w:val="auto"/>
              </w:rPr>
              <w:t>(736)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51"/>
              <w:spacing w:after="0"/>
              <w:rPr>
                <w:sz w:val="20"/>
                <w:szCs w:val="20"/>
                <w:color w:val="auto"/>
              </w:rPr>
            </w:pPr>
            <w:r>
              <w:rPr>
                <w:rFonts w:ascii="Arial" w:cs="Arial" w:eastAsia="Arial" w:hAnsi="Arial"/>
                <w:sz w:val="10"/>
                <w:szCs w:val="10"/>
                <w:color w:val="auto"/>
              </w:rPr>
              <w:t>(426)</w:t>
            </w:r>
          </w:p>
        </w:tc>
        <w:tc>
          <w:tcPr>
            <w:tcW w:w="0" w:type="dxa"/>
            <w:vAlign w:val="bottom"/>
          </w:tcPr>
          <w:p>
            <w:pPr>
              <w:spacing w:after="0"/>
              <w:rPr>
                <w:sz w:val="1"/>
                <w:szCs w:val="1"/>
                <w:color w:val="auto"/>
              </w:rPr>
            </w:pPr>
          </w:p>
        </w:tc>
      </w:tr>
      <w:tr>
        <w:trPr>
          <w:trHeight w:val="175"/>
        </w:trPr>
        <w:tc>
          <w:tcPr>
            <w:tcW w:w="2860" w:type="dxa"/>
            <w:vAlign w:val="bottom"/>
          </w:tcPr>
          <w:p>
            <w:pPr>
              <w:ind w:left="280"/>
              <w:spacing w:after="0"/>
              <w:rPr>
                <w:sz w:val="20"/>
                <w:szCs w:val="20"/>
                <w:color w:val="auto"/>
              </w:rPr>
            </w:pPr>
            <w:r>
              <w:rPr>
                <w:rFonts w:ascii="Arial" w:cs="Arial" w:eastAsia="Arial" w:hAnsi="Arial"/>
                <w:sz w:val="10"/>
                <w:szCs w:val="10"/>
                <w:color w:val="auto"/>
              </w:rPr>
              <w:t xml:space="preserve">Joint Ventures Non–building revenue </w:t>
            </w:r>
            <w:r>
              <w:rPr>
                <w:rFonts w:ascii="Arial" w:cs="Arial" w:eastAsia="Arial" w:hAnsi="Arial"/>
                <w:sz w:val="12"/>
                <w:szCs w:val="12"/>
                <w:color w:val="auto"/>
                <w:vertAlign w:val="superscript"/>
              </w:rPr>
              <w:t>(1)</w:t>
            </w:r>
          </w:p>
        </w:tc>
        <w:tc>
          <w:tcPr>
            <w:tcW w:w="160" w:type="dxa"/>
            <w:vAlign w:val="bottom"/>
          </w:tcPr>
          <w:p>
            <w:pPr>
              <w:spacing w:after="0"/>
              <w:rPr>
                <w:sz w:val="15"/>
                <w:szCs w:val="15"/>
                <w:color w:val="auto"/>
              </w:rPr>
            </w:pP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(14)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51"/>
              <w:spacing w:after="0"/>
              <w:rPr>
                <w:sz w:val="20"/>
                <w:szCs w:val="20"/>
                <w:color w:val="auto"/>
              </w:rPr>
            </w:pPr>
            <w:r>
              <w:rPr>
                <w:rFonts w:ascii="Arial" w:cs="Arial" w:eastAsia="Arial" w:hAnsi="Arial"/>
                <w:sz w:val="10"/>
                <w:szCs w:val="10"/>
                <w:color w:val="auto"/>
              </w:rPr>
              <w:t>(903)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51"/>
              <w:spacing w:after="0"/>
              <w:rPr>
                <w:sz w:val="20"/>
                <w:szCs w:val="20"/>
                <w:color w:val="auto"/>
              </w:rPr>
            </w:pPr>
            <w:r>
              <w:rPr>
                <w:rFonts w:ascii="Arial" w:cs="Arial" w:eastAsia="Arial" w:hAnsi="Arial"/>
                <w:sz w:val="10"/>
                <w:szCs w:val="10"/>
                <w:color w:val="auto"/>
              </w:rPr>
              <w:t>(413)</w:t>
            </w:r>
          </w:p>
        </w:tc>
        <w:tc>
          <w:tcPr>
            <w:tcW w:w="0" w:type="dxa"/>
            <w:vAlign w:val="bottom"/>
          </w:tcPr>
          <w:p>
            <w:pPr>
              <w:spacing w:after="0"/>
              <w:rPr>
                <w:sz w:val="1"/>
                <w:szCs w:val="1"/>
                <w:color w:val="auto"/>
              </w:rPr>
            </w:pPr>
          </w:p>
        </w:tc>
      </w:tr>
      <w:tr>
        <w:trPr>
          <w:trHeight w:val="140"/>
        </w:trPr>
        <w:tc>
          <w:tcPr>
            <w:tcW w:w="2860" w:type="dxa"/>
            <w:vAlign w:val="bottom"/>
          </w:tcPr>
          <w:p>
            <w:pPr>
              <w:ind w:left="280"/>
              <w:spacing w:after="0"/>
              <w:rPr>
                <w:sz w:val="20"/>
                <w:szCs w:val="20"/>
                <w:color w:val="auto"/>
              </w:rPr>
            </w:pPr>
            <w:r>
              <w:rPr>
                <w:rFonts w:ascii="Arial" w:cs="Arial" w:eastAsia="Arial" w:hAnsi="Arial"/>
                <w:sz w:val="10"/>
                <w:szCs w:val="10"/>
                <w:color w:val="auto"/>
              </w:rPr>
              <w:t>Interest expense &amp; amortization of financing costs</w:t>
            </w:r>
          </w:p>
        </w:tc>
        <w:tc>
          <w:tcPr>
            <w:tcW w:w="160" w:type="dxa"/>
            <w:vAlign w:val="bottom"/>
          </w:tcPr>
          <w:p>
            <w:pPr>
              <w:spacing w:after="0"/>
              <w:rPr>
                <w:sz w:val="12"/>
                <w:szCs w:val="12"/>
                <w:color w:val="auto"/>
              </w:rPr>
            </w:pPr>
          </w:p>
        </w:tc>
        <w:tc>
          <w:tcPr>
            <w:tcW w:w="740" w:type="dxa"/>
            <w:vAlign w:val="bottom"/>
            <w:gridSpan w:val="3"/>
          </w:tcPr>
          <w:p>
            <w:pPr>
              <w:jc w:val="right"/>
              <w:ind w:right="91"/>
              <w:spacing w:after="0"/>
              <w:rPr>
                <w:sz w:val="20"/>
                <w:szCs w:val="20"/>
                <w:color w:val="auto"/>
              </w:rPr>
            </w:pPr>
            <w:r>
              <w:rPr>
                <w:rFonts w:ascii="Arial" w:cs="Arial" w:eastAsia="Arial" w:hAnsi="Arial"/>
                <w:sz w:val="10"/>
                <w:szCs w:val="10"/>
                <w:color w:val="auto"/>
              </w:rPr>
              <w:t>26,102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24,109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71"/>
              <w:spacing w:after="0"/>
              <w:rPr>
                <w:sz w:val="20"/>
                <w:szCs w:val="20"/>
                <w:color w:val="auto"/>
              </w:rPr>
            </w:pPr>
            <w:r>
              <w:rPr>
                <w:rFonts w:ascii="Arial" w:cs="Arial" w:eastAsia="Arial" w:hAnsi="Arial"/>
                <w:sz w:val="10"/>
                <w:szCs w:val="10"/>
                <w:color w:val="auto"/>
              </w:rPr>
              <w:t>25,410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25,384</w:t>
            </w:r>
          </w:p>
        </w:tc>
        <w:tc>
          <w:tcPr>
            <w:tcW w:w="0" w:type="dxa"/>
            <w:vAlign w:val="bottom"/>
          </w:tcPr>
          <w:p>
            <w:pPr>
              <w:spacing w:after="0"/>
              <w:rPr>
                <w:sz w:val="1"/>
                <w:szCs w:val="1"/>
                <w:color w:val="auto"/>
              </w:rPr>
            </w:pPr>
          </w:p>
        </w:tc>
      </w:tr>
      <w:tr>
        <w:trPr>
          <w:trHeight w:val="108"/>
        </w:trPr>
        <w:tc>
          <w:tcPr>
            <w:tcW w:w="2860" w:type="dxa"/>
            <w:vAlign w:val="bottom"/>
          </w:tcPr>
          <w:p>
            <w:pPr>
              <w:ind w:left="280"/>
              <w:spacing w:after="0" w:line="108" w:lineRule="exact"/>
              <w:rPr>
                <w:sz w:val="20"/>
                <w:szCs w:val="20"/>
                <w:color w:val="auto"/>
              </w:rPr>
            </w:pPr>
            <w:r>
              <w:rPr>
                <w:rFonts w:ascii="Arial" w:cs="Arial" w:eastAsia="Arial" w:hAnsi="Arial"/>
                <w:sz w:val="10"/>
                <w:szCs w:val="10"/>
                <w:color w:val="auto"/>
              </w:rPr>
              <w:t>Joint Ventures Interest expense &amp; amortization of</w:t>
            </w:r>
          </w:p>
        </w:tc>
        <w:tc>
          <w:tcPr>
            <w:tcW w:w="160" w:type="dxa"/>
            <w:vAlign w:val="bottom"/>
          </w:tcPr>
          <w:p>
            <w:pPr>
              <w:spacing w:after="0"/>
              <w:rPr>
                <w:sz w:val="9"/>
                <w:szCs w:val="9"/>
                <w:color w:val="auto"/>
              </w:rPr>
            </w:pPr>
          </w:p>
        </w:tc>
        <w:tc>
          <w:tcPr>
            <w:tcW w:w="740" w:type="dxa"/>
            <w:vAlign w:val="bottom"/>
            <w:gridSpan w:val="3"/>
            <w:vMerge w:val="restart"/>
          </w:tcPr>
          <w:p>
            <w:pPr>
              <w:jc w:val="right"/>
              <w:ind w:right="91"/>
              <w:spacing w:after="0"/>
              <w:rPr>
                <w:sz w:val="20"/>
                <w:szCs w:val="20"/>
                <w:color w:val="auto"/>
              </w:rPr>
            </w:pPr>
            <w:r>
              <w:rPr>
                <w:rFonts w:ascii="Arial" w:cs="Arial" w:eastAsia="Arial" w:hAnsi="Arial"/>
                <w:sz w:val="10"/>
                <w:szCs w:val="10"/>
                <w:color w:val="auto"/>
              </w:rPr>
              <w:t>66,505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0"/>
                <w:szCs w:val="10"/>
                <w:color w:val="auto"/>
              </w:rPr>
              <w:t>62,241</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jc w:val="right"/>
              <w:ind w:right="71"/>
              <w:spacing w:after="0"/>
              <w:rPr>
                <w:sz w:val="20"/>
                <w:szCs w:val="20"/>
                <w:color w:val="auto"/>
              </w:rPr>
            </w:pPr>
            <w:r>
              <w:rPr>
                <w:rFonts w:ascii="Arial" w:cs="Arial" w:eastAsia="Arial" w:hAnsi="Arial"/>
                <w:sz w:val="10"/>
                <w:szCs w:val="10"/>
                <w:color w:val="auto"/>
              </w:rPr>
              <w:t>69,797</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restart"/>
          </w:tcPr>
          <w:p>
            <w:pPr>
              <w:jc w:val="right"/>
              <w:ind w:right="91"/>
              <w:spacing w:after="0"/>
              <w:rPr>
                <w:sz w:val="20"/>
                <w:szCs w:val="20"/>
                <w:color w:val="auto"/>
              </w:rPr>
            </w:pPr>
            <w:r>
              <w:rPr>
                <w:rFonts w:ascii="Arial" w:cs="Arial" w:eastAsia="Arial" w:hAnsi="Arial"/>
                <w:sz w:val="10"/>
                <w:szCs w:val="10"/>
                <w:color w:val="auto"/>
              </w:rPr>
              <w:t>65,995</w:t>
            </w:r>
          </w:p>
        </w:tc>
        <w:tc>
          <w:tcPr>
            <w:tcW w:w="0" w:type="dxa"/>
            <w:vAlign w:val="bottom"/>
          </w:tcPr>
          <w:p>
            <w:pPr>
              <w:spacing w:after="0"/>
              <w:rPr>
                <w:sz w:val="1"/>
                <w:szCs w:val="1"/>
                <w:color w:val="auto"/>
              </w:rPr>
            </w:pPr>
          </w:p>
        </w:tc>
      </w:tr>
      <w:tr>
        <w:trPr>
          <w:trHeight w:val="139"/>
        </w:trPr>
        <w:tc>
          <w:tcPr>
            <w:tcW w:w="2860" w:type="dxa"/>
            <w:vAlign w:val="bottom"/>
          </w:tcPr>
          <w:p>
            <w:pPr>
              <w:ind w:left="280"/>
              <w:spacing w:after="0"/>
              <w:rPr>
                <w:sz w:val="20"/>
                <w:szCs w:val="20"/>
                <w:color w:val="auto"/>
              </w:rPr>
            </w:pPr>
            <w:r>
              <w:rPr>
                <w:rFonts w:ascii="Arial" w:cs="Arial" w:eastAsia="Arial" w:hAnsi="Arial"/>
                <w:sz w:val="10"/>
                <w:szCs w:val="10"/>
                <w:color w:val="auto"/>
              </w:rPr>
              <w:t xml:space="preserve">financing costs </w:t>
            </w:r>
            <w:r>
              <w:rPr>
                <w:rFonts w:ascii="Arial" w:cs="Arial" w:eastAsia="Arial" w:hAnsi="Arial"/>
                <w:sz w:val="12"/>
                <w:szCs w:val="12"/>
                <w:color w:val="auto"/>
                <w:vertAlign w:val="superscript"/>
              </w:rPr>
              <w:t>(1)</w:t>
            </w: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60" w:type="dxa"/>
            <w:vAlign w:val="bottom"/>
          </w:tcPr>
          <w:p>
            <w:pPr>
              <w:ind w:left="280"/>
              <w:spacing w:after="0"/>
              <w:rPr>
                <w:sz w:val="20"/>
                <w:szCs w:val="20"/>
                <w:color w:val="auto"/>
              </w:rPr>
            </w:pPr>
            <w:r>
              <w:rPr>
                <w:rFonts w:ascii="Arial" w:cs="Arial" w:eastAsia="Arial" w:hAnsi="Arial"/>
                <w:sz w:val="10"/>
                <w:szCs w:val="10"/>
                <w:color w:val="auto"/>
              </w:rPr>
              <w:t>Non-real estate depreciation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2860" w:type="dxa"/>
            <w:vAlign w:val="bottom"/>
          </w:tcPr>
          <w:p>
            <w:pPr>
              <w:ind w:left="280"/>
              <w:spacing w:after="0"/>
              <w:rPr>
                <w:sz w:val="20"/>
                <w:szCs w:val="20"/>
                <w:color w:val="auto"/>
              </w:rPr>
            </w:pPr>
            <w:r>
              <w:rPr>
                <w:rFonts w:ascii="Arial" w:cs="Arial" w:eastAsia="Arial" w:hAnsi="Arial"/>
                <w:sz w:val="10"/>
                <w:szCs w:val="10"/>
                <w:color w:val="auto"/>
              </w:rPr>
              <w:t xml:space="preserve">Joint Ventures Non-real estate depreciation </w:t>
            </w:r>
            <w:r>
              <w:rPr>
                <w:rFonts w:ascii="Arial" w:cs="Arial" w:eastAsia="Arial" w:hAnsi="Arial"/>
                <w:sz w:val="12"/>
                <w:szCs w:val="12"/>
                <w:color w:val="auto"/>
                <w:vertAlign w:val="superscript"/>
              </w:rPr>
              <w:t>(1)</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1</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5"/>
        </w:trPr>
        <w:tc>
          <w:tcPr>
            <w:tcW w:w="2860" w:type="dxa"/>
            <w:vAlign w:val="bottom"/>
          </w:tcPr>
          <w:p>
            <w:pPr>
              <w:jc w:val="right"/>
              <w:ind w:right="51"/>
              <w:spacing w:after="0"/>
              <w:rPr>
                <w:sz w:val="20"/>
                <w:szCs w:val="20"/>
                <w:color w:val="auto"/>
              </w:rPr>
            </w:pPr>
            <w:r>
              <w:rPr>
                <w:rFonts w:ascii="Arial" w:cs="Arial" w:eastAsia="Arial" w:hAnsi="Arial"/>
                <w:sz w:val="10"/>
                <w:szCs w:val="10"/>
                <w:b w:val="1"/>
                <w:bCs w:val="1"/>
                <w:color w:val="auto"/>
              </w:rPr>
              <w:t>NOI</w:t>
            </w:r>
          </w:p>
        </w:tc>
        <w:tc>
          <w:tcPr>
            <w:tcW w:w="160" w:type="dxa"/>
            <w:vAlign w:val="bottom"/>
          </w:tcPr>
          <w:p>
            <w:pPr>
              <w:jc w:val="right"/>
              <w:ind w:right="31"/>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174,549</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166,712</w:t>
            </w:r>
          </w:p>
        </w:tc>
        <w:tc>
          <w:tcPr>
            <w:tcW w:w="88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rPr>
              <w:t>4.7 %</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176,987</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177,270</w:t>
            </w:r>
          </w:p>
        </w:tc>
        <w:tc>
          <w:tcPr>
            <w:tcW w:w="0" w:type="dxa"/>
            <w:vAlign w:val="bottom"/>
          </w:tcPr>
          <w:p>
            <w:pPr>
              <w:spacing w:after="0"/>
              <w:rPr>
                <w:sz w:val="1"/>
                <w:szCs w:val="1"/>
                <w:color w:val="auto"/>
              </w:rPr>
            </w:pPr>
          </w:p>
        </w:tc>
      </w:tr>
      <w:tr>
        <w:trPr>
          <w:trHeight w:val="178"/>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Cash Adjustments</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860" w:type="dxa"/>
            <w:vAlign w:val="bottom"/>
          </w:tcPr>
          <w:p>
            <w:pPr>
              <w:ind w:left="280"/>
              <w:spacing w:after="0"/>
              <w:rPr>
                <w:sz w:val="20"/>
                <w:szCs w:val="20"/>
                <w:color w:val="auto"/>
              </w:rPr>
            </w:pPr>
            <w:r>
              <w:rPr>
                <w:rFonts w:ascii="Arial" w:cs="Arial" w:eastAsia="Arial" w:hAnsi="Arial"/>
                <w:sz w:val="10"/>
                <w:szCs w:val="10"/>
                <w:color w:val="auto"/>
              </w:rPr>
              <w:t>Non-cash adjustments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71"/>
              <w:spacing w:after="0"/>
              <w:rPr>
                <w:sz w:val="20"/>
                <w:szCs w:val="20"/>
                <w:color w:val="auto"/>
              </w:rPr>
            </w:pPr>
            <w:r>
              <w:rPr>
                <w:rFonts w:ascii="Arial" w:cs="Arial" w:eastAsia="Arial" w:hAnsi="Arial"/>
                <w:sz w:val="10"/>
                <w:szCs w:val="10"/>
                <w:color w:val="auto"/>
              </w:rPr>
              <w:t>(2,089)</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2,409</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51"/>
              <w:spacing w:after="0"/>
              <w:rPr>
                <w:sz w:val="20"/>
                <w:szCs w:val="20"/>
                <w:color w:val="auto"/>
              </w:rPr>
            </w:pPr>
            <w:r>
              <w:rPr>
                <w:rFonts w:ascii="Arial" w:cs="Arial" w:eastAsia="Arial" w:hAnsi="Arial"/>
                <w:sz w:val="10"/>
                <w:szCs w:val="10"/>
                <w:color w:val="auto"/>
              </w:rPr>
              <w:t>(882)</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color w:val="auto"/>
              </w:rPr>
              <w:t>1,369</w:t>
            </w:r>
          </w:p>
        </w:tc>
        <w:tc>
          <w:tcPr>
            <w:tcW w:w="0" w:type="dxa"/>
            <w:vAlign w:val="bottom"/>
          </w:tcPr>
          <w:p>
            <w:pPr>
              <w:spacing w:after="0"/>
              <w:rPr>
                <w:sz w:val="1"/>
                <w:szCs w:val="1"/>
                <w:color w:val="auto"/>
              </w:rPr>
            </w:pPr>
          </w:p>
        </w:tc>
      </w:tr>
      <w:tr>
        <w:trPr>
          <w:trHeight w:val="147"/>
        </w:trPr>
        <w:tc>
          <w:tcPr>
            <w:tcW w:w="2860" w:type="dxa"/>
            <w:vAlign w:val="bottom"/>
          </w:tcPr>
          <w:p>
            <w:pPr>
              <w:ind w:left="280"/>
              <w:spacing w:after="0"/>
              <w:rPr>
                <w:sz w:val="20"/>
                <w:szCs w:val="20"/>
                <w:color w:val="auto"/>
              </w:rPr>
            </w:pPr>
            <w:r>
              <w:rPr>
                <w:rFonts w:ascii="Arial" w:cs="Arial" w:eastAsia="Arial" w:hAnsi="Arial"/>
                <w:sz w:val="10"/>
                <w:szCs w:val="10"/>
                <w:color w:val="auto"/>
              </w:rPr>
              <w:t xml:space="preserve">Joint Ventures non-cash adjustments </w:t>
            </w:r>
            <w:r>
              <w:rPr>
                <w:rFonts w:ascii="Arial" w:cs="Arial" w:eastAsia="Arial" w:hAnsi="Arial"/>
                <w:sz w:val="12"/>
                <w:szCs w:val="12"/>
                <w:color w:val="auto"/>
                <w:vertAlign w:val="superscript"/>
              </w:rPr>
              <w:t>(1)</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(15,962)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(16,309)</w:t>
            </w: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color w:val="auto"/>
              </w:rPr>
              <w:t>(17,187)</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color w:val="auto"/>
              </w:rPr>
              <w:t>(16,643)</w:t>
            </w:r>
          </w:p>
        </w:tc>
        <w:tc>
          <w:tcPr>
            <w:tcW w:w="0" w:type="dxa"/>
            <w:vAlign w:val="bottom"/>
          </w:tcPr>
          <w:p>
            <w:pPr>
              <w:spacing w:after="0"/>
              <w:rPr>
                <w:sz w:val="1"/>
                <w:szCs w:val="1"/>
                <w:color w:val="auto"/>
              </w:rPr>
            </w:pPr>
          </w:p>
        </w:tc>
      </w:tr>
      <w:tr>
        <w:trPr>
          <w:trHeight w:val="125"/>
        </w:trPr>
        <w:tc>
          <w:tcPr>
            <w:tcW w:w="2860" w:type="dxa"/>
            <w:vAlign w:val="bottom"/>
          </w:tcPr>
          <w:p>
            <w:pPr>
              <w:jc w:val="right"/>
              <w:ind w:right="51"/>
              <w:spacing w:after="0"/>
              <w:rPr>
                <w:sz w:val="20"/>
                <w:szCs w:val="20"/>
                <w:color w:val="auto"/>
              </w:rPr>
            </w:pPr>
            <w:r>
              <w:rPr>
                <w:rFonts w:ascii="Arial" w:cs="Arial" w:eastAsia="Arial" w:hAnsi="Arial"/>
                <w:sz w:val="10"/>
                <w:szCs w:val="10"/>
                <w:b w:val="1"/>
                <w:bCs w:val="1"/>
                <w:color w:val="auto"/>
              </w:rPr>
              <w:t>Cash NOI</w:t>
            </w:r>
          </w:p>
        </w:tc>
        <w:tc>
          <w:tcPr>
            <w:tcW w:w="160" w:type="dxa"/>
            <w:vAlign w:val="bottom"/>
          </w:tcPr>
          <w:p>
            <w:pPr>
              <w:jc w:val="right"/>
              <w:ind w:right="31"/>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156,498</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152,812</w:t>
            </w:r>
          </w:p>
        </w:tc>
        <w:tc>
          <w:tcPr>
            <w:tcW w:w="88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rPr>
              <w:t>2.4 %</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158,918</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161,996</w:t>
            </w:r>
          </w:p>
        </w:tc>
        <w:tc>
          <w:tcPr>
            <w:tcW w:w="0" w:type="dxa"/>
            <w:vAlign w:val="bottom"/>
          </w:tcPr>
          <w:p>
            <w:pPr>
              <w:spacing w:after="0"/>
              <w:rPr>
                <w:sz w:val="1"/>
                <w:szCs w:val="1"/>
                <w:color w:val="auto"/>
              </w:rPr>
            </w:pPr>
          </w:p>
        </w:tc>
      </w:tr>
      <w:tr>
        <w:trPr>
          <w:trHeight w:val="210"/>
        </w:trPr>
        <w:tc>
          <w:tcPr>
            <w:tcW w:w="2860" w:type="dxa"/>
            <w:vAlign w:val="bottom"/>
          </w:tcPr>
          <w:p>
            <w:pPr>
              <w:ind w:left="280"/>
              <w:spacing w:after="0"/>
              <w:rPr>
                <w:sz w:val="20"/>
                <w:szCs w:val="20"/>
                <w:color w:val="auto"/>
              </w:rPr>
            </w:pPr>
            <w:r>
              <w:rPr>
                <w:rFonts w:ascii="Arial" w:cs="Arial" w:eastAsia="Arial" w:hAnsi="Arial"/>
                <w:sz w:val="10"/>
                <w:szCs w:val="10"/>
                <w:color w:val="auto"/>
              </w:rPr>
              <w:t>Lease termination income</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color w:val="auto"/>
              </w:rPr>
              <w:t>356</w:t>
            </w:r>
          </w:p>
        </w:tc>
        <w:tc>
          <w:tcPr>
            <w:tcW w:w="160" w:type="dxa"/>
            <w:vAlign w:val="bottom"/>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(4,393)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51"/>
              <w:spacing w:after="0"/>
              <w:rPr>
                <w:sz w:val="20"/>
                <w:szCs w:val="20"/>
                <w:color w:val="auto"/>
              </w:rPr>
            </w:pPr>
            <w:r>
              <w:rPr>
                <w:rFonts w:ascii="Arial" w:cs="Arial" w:eastAsia="Arial" w:hAnsi="Arial"/>
                <w:sz w:val="10"/>
                <w:szCs w:val="10"/>
                <w:color w:val="auto"/>
              </w:rPr>
              <w:t>(704)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51"/>
              <w:spacing w:after="0"/>
              <w:rPr>
                <w:sz w:val="20"/>
                <w:szCs w:val="20"/>
                <w:color w:val="auto"/>
              </w:rPr>
            </w:pPr>
            <w:r>
              <w:rPr>
                <w:rFonts w:ascii="Arial" w:cs="Arial" w:eastAsia="Arial" w:hAnsi="Arial"/>
                <w:sz w:val="10"/>
                <w:szCs w:val="10"/>
                <w:color w:val="auto"/>
              </w:rPr>
              <w:t>(270)</w:t>
            </w:r>
          </w:p>
        </w:tc>
        <w:tc>
          <w:tcPr>
            <w:tcW w:w="0" w:type="dxa"/>
            <w:vAlign w:val="bottom"/>
          </w:tcPr>
          <w:p>
            <w:pPr>
              <w:spacing w:after="0"/>
              <w:rPr>
                <w:sz w:val="1"/>
                <w:szCs w:val="1"/>
                <w:color w:val="auto"/>
              </w:rPr>
            </w:pPr>
          </w:p>
        </w:tc>
      </w:tr>
      <w:tr>
        <w:trPr>
          <w:trHeight w:val="147"/>
        </w:trPr>
        <w:tc>
          <w:tcPr>
            <w:tcW w:w="2860" w:type="dxa"/>
            <w:vAlign w:val="bottom"/>
          </w:tcPr>
          <w:p>
            <w:pPr>
              <w:ind w:left="280"/>
              <w:spacing w:after="0"/>
              <w:rPr>
                <w:sz w:val="20"/>
                <w:szCs w:val="20"/>
                <w:color w:val="auto"/>
              </w:rPr>
            </w:pPr>
            <w:r>
              <w:rPr>
                <w:rFonts w:ascii="Arial" w:cs="Arial" w:eastAsia="Arial" w:hAnsi="Arial"/>
                <w:sz w:val="10"/>
                <w:szCs w:val="10"/>
                <w:color w:val="auto"/>
              </w:rPr>
              <w:t xml:space="preserve">Joint Ventures lease termination income </w:t>
            </w:r>
            <w:r>
              <w:rPr>
                <w:rFonts w:ascii="Arial" w:cs="Arial" w:eastAsia="Arial" w:hAnsi="Arial"/>
                <w:sz w:val="12"/>
                <w:szCs w:val="12"/>
                <w:color w:val="auto"/>
                <w:vertAlign w:val="superscript"/>
              </w:rPr>
              <w:t>(1)</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color w:val="auto"/>
              </w:rPr>
              <w:t>(4,626)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color w:val="auto"/>
              </w:rPr>
              <w:t>(2,464)</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color w:val="auto"/>
              </w:rPr>
              <w:t>(3,189)</w:t>
            </w:r>
          </w:p>
        </w:tc>
        <w:tc>
          <w:tcPr>
            <w:tcW w:w="0" w:type="dxa"/>
            <w:vAlign w:val="bottom"/>
          </w:tcPr>
          <w:p>
            <w:pPr>
              <w:spacing w:after="0"/>
              <w:rPr>
                <w:sz w:val="1"/>
                <w:szCs w:val="1"/>
                <w:color w:val="auto"/>
              </w:rPr>
            </w:pPr>
          </w:p>
        </w:tc>
      </w:tr>
      <w:tr>
        <w:trPr>
          <w:trHeight w:val="125"/>
        </w:trPr>
        <w:tc>
          <w:tcPr>
            <w:tcW w:w="2860" w:type="dxa"/>
            <w:vAlign w:val="bottom"/>
          </w:tcPr>
          <w:p>
            <w:pPr>
              <w:jc w:val="right"/>
              <w:ind w:right="51"/>
              <w:spacing w:after="0"/>
              <w:rPr>
                <w:sz w:val="20"/>
                <w:szCs w:val="20"/>
                <w:color w:val="auto"/>
              </w:rPr>
            </w:pPr>
            <w:r>
              <w:rPr>
                <w:rFonts w:ascii="Arial" w:cs="Arial" w:eastAsia="Arial" w:hAnsi="Arial"/>
                <w:sz w:val="10"/>
                <w:szCs w:val="10"/>
                <w:b w:val="1"/>
                <w:bCs w:val="1"/>
                <w:color w:val="auto"/>
              </w:rPr>
              <w:t>Cash NOI excluding lease termination income</w:t>
            </w:r>
          </w:p>
        </w:tc>
        <w:tc>
          <w:tcPr>
            <w:tcW w:w="160" w:type="dxa"/>
            <w:vAlign w:val="bottom"/>
          </w:tcPr>
          <w:p>
            <w:pPr>
              <w:jc w:val="right"/>
              <w:ind w:right="31"/>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152,228</w:t>
            </w:r>
          </w:p>
        </w:tc>
        <w:tc>
          <w:tcPr>
            <w:tcW w:w="16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148,419</w:t>
            </w:r>
          </w:p>
        </w:tc>
        <w:tc>
          <w:tcPr>
            <w:tcW w:w="88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rPr>
              <w:t>2.6 %</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155,750</w:t>
            </w:r>
          </w:p>
        </w:tc>
        <w:tc>
          <w:tcPr>
            <w:tcW w:w="1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158,537</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auto"/>
        </w:rPr>
        <w:t>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14605</wp:posOffset>
            </wp:positionV>
            <wp:extent cx="479615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96155" cy="6350"/>
                    </a:xfrm>
                    <a:prstGeom prst="rect">
                      <a:avLst/>
                    </a:prstGeom>
                    <a:noFill/>
                  </pic:spPr>
                </pic:pic>
              </a:graphicData>
            </a:graphic>
          </wp:anchor>
        </w:drawing>
      </w:r>
    </w:p>
    <w:p>
      <w:pPr>
        <w:sectPr>
          <w:pgSz w:w="11900" w:h="16838" w:orient="portrait"/>
          <w:cols w:equalWidth="0" w:num="1">
            <w:col w:w="9080"/>
          </w:cols>
          <w:pgMar w:left="1400" w:top="297" w:right="1419" w:bottom="1440" w:gutter="0" w:footer="0" w:header="0"/>
        </w:sectPr>
      </w:pPr>
    </w:p>
    <w:p>
      <w:pPr>
        <w:spacing w:after="0" w:line="35" w:lineRule="exact"/>
        <w:rPr>
          <w:sz w:val="20"/>
          <w:szCs w:val="20"/>
          <w:color w:val="auto"/>
        </w:rPr>
      </w:pPr>
    </w:p>
    <w:p>
      <w:pPr>
        <w:ind w:left="1040"/>
        <w:spacing w:after="0"/>
        <w:rPr>
          <w:sz w:val="20"/>
          <w:szCs w:val="20"/>
          <w:color w:val="auto"/>
        </w:rPr>
      </w:pPr>
      <w:r>
        <w:rPr>
          <w:rFonts w:ascii="Arial" w:cs="Arial" w:eastAsia="Arial" w:hAnsi="Arial"/>
          <w:sz w:val="10"/>
          <w:szCs w:val="10"/>
          <w:color w:val="auto"/>
        </w:rPr>
        <w:t>NOI to real estate revenue, net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0"/>
          <w:szCs w:val="10"/>
          <w:color w:val="auto"/>
        </w:rPr>
        <w:t>Cash NOI to real estate revenue, net</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9"/>
          <w:szCs w:val="9"/>
          <w:color w:val="auto"/>
        </w:rPr>
        <w:t>NOI before operating lease rent/real estate revenue, net</w:t>
      </w:r>
    </w:p>
    <w:p>
      <w:pPr>
        <w:spacing w:after="0" w:line="34" w:lineRule="exact"/>
        <w:rPr>
          <w:sz w:val="20"/>
          <w:szCs w:val="20"/>
          <w:color w:val="auto"/>
        </w:rPr>
      </w:pPr>
    </w:p>
    <w:p>
      <w:pPr>
        <w:ind w:left="1040" w:right="320"/>
        <w:spacing w:after="0" w:line="235" w:lineRule="auto"/>
        <w:rPr>
          <w:sz w:val="20"/>
          <w:szCs w:val="20"/>
          <w:color w:val="auto"/>
        </w:rPr>
      </w:pPr>
      <w:r>
        <w:rPr>
          <w:rFonts w:ascii="Arial" w:cs="Arial" w:eastAsia="Arial" w:hAnsi="Arial"/>
          <w:sz w:val="10"/>
          <w:szCs w:val="10"/>
          <w:color w:val="auto"/>
        </w:rPr>
        <w:t>Cash NOI before operating lease rent/real estate revenue, net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700" w:type="dxa"/>
            <w:vAlign w:val="bottom"/>
          </w:tcPr>
          <w:p>
            <w:pPr>
              <w:jc w:val="right"/>
              <w:ind w:right="331"/>
              <w:spacing w:after="0"/>
              <w:rPr>
                <w:sz w:val="20"/>
                <w:szCs w:val="20"/>
                <w:color w:val="auto"/>
              </w:rPr>
            </w:pPr>
            <w:r>
              <w:rPr>
                <w:rFonts w:ascii="Arial" w:cs="Arial" w:eastAsia="Arial" w:hAnsi="Arial"/>
                <w:sz w:val="10"/>
                <w:szCs w:val="10"/>
                <w:color w:val="auto"/>
                <w:w w:val="96"/>
              </w:rPr>
              <w:t>52.5 %</w:t>
            </w:r>
          </w:p>
        </w:tc>
        <w:tc>
          <w:tcPr>
            <w:tcW w:w="1360" w:type="dxa"/>
            <w:vAlign w:val="bottom"/>
          </w:tcPr>
          <w:p>
            <w:pPr>
              <w:jc w:val="right"/>
              <w:ind w:right="631"/>
              <w:spacing w:after="0"/>
              <w:rPr>
                <w:sz w:val="20"/>
                <w:szCs w:val="20"/>
                <w:color w:val="auto"/>
              </w:rPr>
            </w:pPr>
            <w:r>
              <w:rPr>
                <w:rFonts w:ascii="Arial" w:cs="Arial" w:eastAsia="Arial" w:hAnsi="Arial"/>
                <w:sz w:val="10"/>
                <w:szCs w:val="10"/>
                <w:color w:val="auto"/>
              </w:rPr>
              <w:t>52.2 %</w:t>
            </w:r>
          </w:p>
        </w:tc>
        <w:tc>
          <w:tcPr>
            <w:tcW w:w="1380" w:type="dxa"/>
            <w:vAlign w:val="bottom"/>
          </w:tcPr>
          <w:p>
            <w:pPr>
              <w:jc w:val="right"/>
              <w:ind w:right="331"/>
              <w:spacing w:after="0"/>
              <w:rPr>
                <w:sz w:val="20"/>
                <w:szCs w:val="20"/>
                <w:color w:val="auto"/>
              </w:rPr>
            </w:pPr>
            <w:r>
              <w:rPr>
                <w:rFonts w:ascii="Arial" w:cs="Arial" w:eastAsia="Arial" w:hAnsi="Arial"/>
                <w:sz w:val="10"/>
                <w:szCs w:val="10"/>
                <w:color w:val="auto"/>
              </w:rPr>
              <w:t>53.0 %</w:t>
            </w:r>
          </w:p>
        </w:tc>
        <w:tc>
          <w:tcPr>
            <w:tcW w:w="680" w:type="dxa"/>
            <w:vAlign w:val="bottom"/>
          </w:tcPr>
          <w:p>
            <w:pPr>
              <w:jc w:val="right"/>
              <w:spacing w:after="0"/>
              <w:rPr>
                <w:sz w:val="20"/>
                <w:szCs w:val="20"/>
                <w:color w:val="auto"/>
              </w:rPr>
            </w:pPr>
            <w:r>
              <w:rPr>
                <w:rFonts w:ascii="Arial" w:cs="Arial" w:eastAsia="Arial" w:hAnsi="Arial"/>
                <w:sz w:val="10"/>
                <w:szCs w:val="10"/>
                <w:color w:val="auto"/>
              </w:rPr>
              <w:t>53.3 %</w:t>
            </w:r>
          </w:p>
        </w:tc>
      </w:tr>
      <w:tr>
        <w:trPr>
          <w:trHeight w:val="138"/>
        </w:trPr>
        <w:tc>
          <w:tcPr>
            <w:tcW w:w="700" w:type="dxa"/>
            <w:vAlign w:val="bottom"/>
          </w:tcPr>
          <w:p>
            <w:pPr>
              <w:jc w:val="right"/>
              <w:ind w:right="331"/>
              <w:spacing w:after="0"/>
              <w:rPr>
                <w:sz w:val="20"/>
                <w:szCs w:val="20"/>
                <w:color w:val="auto"/>
              </w:rPr>
            </w:pPr>
            <w:r>
              <w:rPr>
                <w:rFonts w:ascii="Arial" w:cs="Arial" w:eastAsia="Arial" w:hAnsi="Arial"/>
                <w:sz w:val="10"/>
                <w:szCs w:val="10"/>
                <w:color w:val="auto"/>
                <w:w w:val="96"/>
              </w:rPr>
              <w:t>47.1 %</w:t>
            </w:r>
          </w:p>
        </w:tc>
        <w:tc>
          <w:tcPr>
            <w:tcW w:w="1360" w:type="dxa"/>
            <w:vAlign w:val="bottom"/>
          </w:tcPr>
          <w:p>
            <w:pPr>
              <w:jc w:val="right"/>
              <w:ind w:right="631"/>
              <w:spacing w:after="0"/>
              <w:rPr>
                <w:sz w:val="20"/>
                <w:szCs w:val="20"/>
                <w:color w:val="auto"/>
              </w:rPr>
            </w:pPr>
            <w:r>
              <w:rPr>
                <w:rFonts w:ascii="Arial" w:cs="Arial" w:eastAsia="Arial" w:hAnsi="Arial"/>
                <w:sz w:val="10"/>
                <w:szCs w:val="10"/>
                <w:color w:val="auto"/>
              </w:rPr>
              <w:t>47.8 %</w:t>
            </w:r>
          </w:p>
        </w:tc>
        <w:tc>
          <w:tcPr>
            <w:tcW w:w="1380" w:type="dxa"/>
            <w:vAlign w:val="bottom"/>
          </w:tcPr>
          <w:p>
            <w:pPr>
              <w:jc w:val="right"/>
              <w:ind w:right="331"/>
              <w:spacing w:after="0"/>
              <w:rPr>
                <w:sz w:val="20"/>
                <w:szCs w:val="20"/>
                <w:color w:val="auto"/>
              </w:rPr>
            </w:pPr>
            <w:r>
              <w:rPr>
                <w:rFonts w:ascii="Arial" w:cs="Arial" w:eastAsia="Arial" w:hAnsi="Arial"/>
                <w:sz w:val="10"/>
                <w:szCs w:val="10"/>
                <w:color w:val="auto"/>
              </w:rPr>
              <w:t>47.6 %</w:t>
            </w:r>
          </w:p>
        </w:tc>
        <w:tc>
          <w:tcPr>
            <w:tcW w:w="680" w:type="dxa"/>
            <w:vAlign w:val="bottom"/>
          </w:tcPr>
          <w:p>
            <w:pPr>
              <w:jc w:val="right"/>
              <w:spacing w:after="0"/>
              <w:rPr>
                <w:sz w:val="20"/>
                <w:szCs w:val="20"/>
                <w:color w:val="auto"/>
              </w:rPr>
            </w:pPr>
            <w:r>
              <w:rPr>
                <w:rFonts w:ascii="Arial" w:cs="Arial" w:eastAsia="Arial" w:hAnsi="Arial"/>
                <w:sz w:val="10"/>
                <w:szCs w:val="10"/>
                <w:color w:val="auto"/>
              </w:rPr>
              <w:t>48.7 %</w:t>
            </w:r>
          </w:p>
        </w:tc>
      </w:tr>
      <w:tr>
        <w:trPr>
          <w:trHeight w:val="216"/>
        </w:trPr>
        <w:tc>
          <w:tcPr>
            <w:tcW w:w="700" w:type="dxa"/>
            <w:vAlign w:val="bottom"/>
          </w:tcPr>
          <w:p>
            <w:pPr>
              <w:jc w:val="right"/>
              <w:ind w:right="331"/>
              <w:spacing w:after="0"/>
              <w:rPr>
                <w:sz w:val="20"/>
                <w:szCs w:val="20"/>
                <w:color w:val="auto"/>
              </w:rPr>
            </w:pPr>
            <w:r>
              <w:rPr>
                <w:rFonts w:ascii="Arial" w:cs="Arial" w:eastAsia="Arial" w:hAnsi="Arial"/>
                <w:sz w:val="10"/>
                <w:szCs w:val="10"/>
                <w:color w:val="auto"/>
                <w:w w:val="96"/>
              </w:rPr>
              <w:t>54.4 %</w:t>
            </w:r>
          </w:p>
        </w:tc>
        <w:tc>
          <w:tcPr>
            <w:tcW w:w="1360" w:type="dxa"/>
            <w:vAlign w:val="bottom"/>
          </w:tcPr>
          <w:p>
            <w:pPr>
              <w:jc w:val="right"/>
              <w:ind w:right="631"/>
              <w:spacing w:after="0"/>
              <w:rPr>
                <w:sz w:val="20"/>
                <w:szCs w:val="20"/>
                <w:color w:val="auto"/>
              </w:rPr>
            </w:pPr>
            <w:r>
              <w:rPr>
                <w:rFonts w:ascii="Arial" w:cs="Arial" w:eastAsia="Arial" w:hAnsi="Arial"/>
                <w:sz w:val="10"/>
                <w:szCs w:val="10"/>
                <w:color w:val="auto"/>
              </w:rPr>
              <w:t>54.1 %</w:t>
            </w:r>
          </w:p>
        </w:tc>
        <w:tc>
          <w:tcPr>
            <w:tcW w:w="1380" w:type="dxa"/>
            <w:vAlign w:val="bottom"/>
          </w:tcPr>
          <w:p>
            <w:pPr>
              <w:jc w:val="right"/>
              <w:ind w:right="331"/>
              <w:spacing w:after="0"/>
              <w:rPr>
                <w:sz w:val="20"/>
                <w:szCs w:val="20"/>
                <w:color w:val="auto"/>
              </w:rPr>
            </w:pPr>
            <w:r>
              <w:rPr>
                <w:rFonts w:ascii="Arial" w:cs="Arial" w:eastAsia="Arial" w:hAnsi="Arial"/>
                <w:sz w:val="10"/>
                <w:szCs w:val="10"/>
                <w:color w:val="auto"/>
              </w:rPr>
              <w:t>54.9 %</w:t>
            </w:r>
          </w:p>
        </w:tc>
        <w:tc>
          <w:tcPr>
            <w:tcW w:w="680" w:type="dxa"/>
            <w:vAlign w:val="bottom"/>
          </w:tcPr>
          <w:p>
            <w:pPr>
              <w:jc w:val="right"/>
              <w:spacing w:after="0"/>
              <w:rPr>
                <w:sz w:val="20"/>
                <w:szCs w:val="20"/>
                <w:color w:val="auto"/>
              </w:rPr>
            </w:pPr>
            <w:r>
              <w:rPr>
                <w:rFonts w:ascii="Arial" w:cs="Arial" w:eastAsia="Arial" w:hAnsi="Arial"/>
                <w:sz w:val="10"/>
                <w:szCs w:val="10"/>
                <w:color w:val="auto"/>
              </w:rPr>
              <w:t>55.1 %</w:t>
            </w:r>
          </w:p>
        </w:tc>
      </w:tr>
      <w:tr>
        <w:trPr>
          <w:trHeight w:val="187"/>
        </w:trPr>
        <w:tc>
          <w:tcPr>
            <w:tcW w:w="700" w:type="dxa"/>
            <w:vAlign w:val="bottom"/>
          </w:tcPr>
          <w:p>
            <w:pPr>
              <w:jc w:val="right"/>
              <w:ind w:right="331"/>
              <w:spacing w:after="0"/>
              <w:rPr>
                <w:sz w:val="20"/>
                <w:szCs w:val="20"/>
                <w:color w:val="auto"/>
              </w:rPr>
            </w:pPr>
            <w:r>
              <w:rPr>
                <w:rFonts w:ascii="Arial" w:cs="Arial" w:eastAsia="Arial" w:hAnsi="Arial"/>
                <w:sz w:val="10"/>
                <w:szCs w:val="10"/>
                <w:color w:val="auto"/>
                <w:w w:val="96"/>
              </w:rPr>
              <w:t>48.9 %</w:t>
            </w:r>
          </w:p>
        </w:tc>
        <w:tc>
          <w:tcPr>
            <w:tcW w:w="1360" w:type="dxa"/>
            <w:vAlign w:val="bottom"/>
          </w:tcPr>
          <w:p>
            <w:pPr>
              <w:jc w:val="right"/>
              <w:ind w:right="631"/>
              <w:spacing w:after="0"/>
              <w:rPr>
                <w:sz w:val="20"/>
                <w:szCs w:val="20"/>
                <w:color w:val="auto"/>
              </w:rPr>
            </w:pPr>
            <w:r>
              <w:rPr>
                <w:rFonts w:ascii="Arial" w:cs="Arial" w:eastAsia="Arial" w:hAnsi="Arial"/>
                <w:sz w:val="10"/>
                <w:szCs w:val="10"/>
                <w:color w:val="auto"/>
              </w:rPr>
              <w:t>49.7 %</w:t>
            </w:r>
          </w:p>
        </w:tc>
        <w:tc>
          <w:tcPr>
            <w:tcW w:w="1380" w:type="dxa"/>
            <w:vAlign w:val="bottom"/>
          </w:tcPr>
          <w:p>
            <w:pPr>
              <w:jc w:val="right"/>
              <w:ind w:right="331"/>
              <w:spacing w:after="0"/>
              <w:rPr>
                <w:sz w:val="20"/>
                <w:szCs w:val="20"/>
                <w:color w:val="auto"/>
              </w:rPr>
            </w:pPr>
            <w:r>
              <w:rPr>
                <w:rFonts w:ascii="Arial" w:cs="Arial" w:eastAsia="Arial" w:hAnsi="Arial"/>
                <w:sz w:val="10"/>
                <w:szCs w:val="10"/>
                <w:color w:val="auto"/>
              </w:rPr>
              <w:t>49.4 %</w:t>
            </w:r>
          </w:p>
        </w:tc>
        <w:tc>
          <w:tcPr>
            <w:tcW w:w="680" w:type="dxa"/>
            <w:vAlign w:val="bottom"/>
          </w:tcPr>
          <w:p>
            <w:pPr>
              <w:jc w:val="right"/>
              <w:spacing w:after="0"/>
              <w:rPr>
                <w:sz w:val="20"/>
                <w:szCs w:val="20"/>
                <w:color w:val="auto"/>
              </w:rPr>
            </w:pPr>
            <w:r>
              <w:rPr>
                <w:rFonts w:ascii="Arial" w:cs="Arial" w:eastAsia="Arial" w:hAnsi="Arial"/>
                <w:sz w:val="10"/>
                <w:szCs w:val="10"/>
                <w:color w:val="auto"/>
              </w:rPr>
              <w:t>50.5 %</w:t>
            </w:r>
          </w:p>
        </w:tc>
      </w:tr>
    </w:tbl>
    <w:p>
      <w:pPr>
        <w:spacing w:after="0" w:line="101" w:lineRule="exact"/>
        <w:rPr>
          <w:sz w:val="20"/>
          <w:szCs w:val="20"/>
          <w:color w:val="auto"/>
        </w:rPr>
      </w:pPr>
    </w:p>
    <w:p>
      <w:pPr>
        <w:sectPr>
          <w:pgSz w:w="11900" w:h="16838" w:orient="portrait"/>
          <w:cols w:equalWidth="0" w:num="2">
            <w:col w:w="3480" w:space="700"/>
            <w:col w:w="4900"/>
          </w:cols>
          <w:pgMar w:left="1400" w:top="297" w:right="1419" w:bottom="1440" w:gutter="0" w:footer="0" w:header="0"/>
          <w:type w:val="continuous"/>
        </w:sectPr>
      </w:pPr>
    </w:p>
    <w:p>
      <w:pPr>
        <w:ind w:left="780" w:right="2000"/>
        <w:spacing w:after="0" w:line="220" w:lineRule="auto"/>
        <w:tabs>
          <w:tab w:leader="none" w:pos="908" w:val="left"/>
        </w:tabs>
        <w:numPr>
          <w:ilvl w:val="0"/>
          <w:numId w:val="14"/>
        </w:numPr>
        <w:rPr>
          <w:rFonts w:ascii="Arial" w:cs="Arial" w:eastAsia="Arial" w:hAnsi="Arial"/>
          <w:sz w:val="9"/>
          <w:szCs w:val="9"/>
          <w:color w:val="auto"/>
        </w:rPr>
      </w:pPr>
      <w:r>
        <w:rPr>
          <w:rFonts w:ascii="Arial" w:cs="Arial" w:eastAsia="Arial" w:hAnsi="Arial"/>
          <w:sz w:val="9"/>
          <w:szCs w:val="9"/>
          <w:color w:val="auto"/>
        </w:rPr>
        <w:t>The amount represents the Company's share of same-store unconsolidated joint venture activity. The Company does not control investments in unconsolidated joint ventures.</w:t>
      </w:r>
    </w:p>
    <w:p>
      <w:pPr>
        <w:spacing w:after="0" w:line="355"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22</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7" w:right="14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DEBT SUMMARY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-117475</wp:posOffset>
            </wp:positionV>
            <wp:extent cx="7169785" cy="330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785" cy="33083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3"/>
          <w:szCs w:val="13"/>
          <w:b w:val="1"/>
          <w:bCs w:val="1"/>
          <w:color w:val="auto"/>
        </w:rPr>
        <w:t>Consolidated</w:t>
      </w:r>
    </w:p>
    <w:p>
      <w:pPr>
        <w:spacing w:after="0" w:line="211"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37465</wp:posOffset>
            </wp:positionV>
            <wp:extent cx="716978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12065</wp:posOffset>
            </wp:positionV>
            <wp:extent cx="716978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1110" w:type="dxa"/>
        <w:tblCellMar>
          <w:top w:w="0" w:type="dxa"/>
          <w:left w:w="0" w:type="dxa"/>
          <w:bottom w:w="0" w:type="dxa"/>
          <w:right w:w="0" w:type="dxa"/>
        </w:tblCellMar>
      </w:tblPr>
      <w:tr>
        <w:trPr>
          <w:trHeight w:val="107"/>
        </w:trPr>
        <w:tc>
          <w:tcPr>
            <w:tcW w:w="2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Principal</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left="321"/>
              <w:spacing w:after="0"/>
              <w:rPr>
                <w:sz w:val="20"/>
                <w:szCs w:val="20"/>
                <w:color w:val="auto"/>
              </w:rPr>
            </w:pPr>
            <w:r>
              <w:rPr>
                <w:rFonts w:ascii="Arial" w:cs="Arial" w:eastAsia="Arial" w:hAnsi="Arial"/>
                <w:sz w:val="8"/>
                <w:szCs w:val="8"/>
                <w:b w:val="1"/>
                <w:bCs w:val="1"/>
                <w:color w:val="auto"/>
              </w:rPr>
              <w:t>2026</w:t>
            </w:r>
          </w:p>
        </w:tc>
        <w:tc>
          <w:tcPr>
            <w:tcW w:w="1060" w:type="dxa"/>
            <w:vAlign w:val="bottom"/>
          </w:tcPr>
          <w:p>
            <w:pPr>
              <w:jc w:val="right"/>
              <w:ind w:right="221"/>
              <w:spacing w:after="0"/>
              <w:rPr>
                <w:sz w:val="20"/>
                <w:szCs w:val="20"/>
                <w:color w:val="auto"/>
              </w:rPr>
            </w:pPr>
            <w:r>
              <w:rPr>
                <w:rFonts w:ascii="Arial" w:cs="Arial" w:eastAsia="Arial" w:hAnsi="Arial"/>
                <w:sz w:val="8"/>
                <w:szCs w:val="8"/>
                <w:b w:val="1"/>
                <w:bCs w:val="1"/>
                <w:color w:val="auto"/>
              </w:rPr>
              <w:t>Current</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Final</w:t>
            </w:r>
          </w:p>
        </w:tc>
        <w:tc>
          <w:tcPr>
            <w:tcW w:w="12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Principal</w:t>
            </w: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1640" w:type="dxa"/>
            <w:vAlign w:val="bottom"/>
          </w:tcPr>
          <w:p>
            <w:pPr>
              <w:jc w:val="right"/>
              <w:ind w:right="181"/>
              <w:spacing w:after="0"/>
              <w:rPr>
                <w:sz w:val="20"/>
                <w:szCs w:val="20"/>
                <w:color w:val="auto"/>
              </w:rPr>
            </w:pPr>
            <w:r>
              <w:rPr>
                <w:rFonts w:ascii="Arial" w:cs="Arial" w:eastAsia="Arial" w:hAnsi="Arial"/>
                <w:sz w:val="8"/>
                <w:szCs w:val="8"/>
                <w:b w:val="1"/>
                <w:bCs w:val="1"/>
                <w:color w:val="auto"/>
              </w:rPr>
              <w:t>Ownership</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Outstanding</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Principal</w:t>
            </w:r>
          </w:p>
        </w:tc>
        <w:tc>
          <w:tcPr>
            <w:tcW w:w="1060" w:type="dxa"/>
            <w:vAlign w:val="bottom"/>
          </w:tcPr>
          <w:p>
            <w:pPr>
              <w:jc w:val="right"/>
              <w:ind w:right="221"/>
              <w:spacing w:after="0"/>
              <w:rPr>
                <w:sz w:val="20"/>
                <w:szCs w:val="20"/>
                <w:color w:val="auto"/>
              </w:rPr>
            </w:pPr>
            <w:r>
              <w:rPr>
                <w:rFonts w:ascii="Arial" w:cs="Arial" w:eastAsia="Arial" w:hAnsi="Arial"/>
                <w:sz w:val="8"/>
                <w:szCs w:val="8"/>
                <w:b w:val="1"/>
                <w:bCs w:val="1"/>
                <w:color w:val="auto"/>
              </w:rPr>
              <w:t>Maturity</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Maturity</w:t>
            </w: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Due at</w:t>
            </w:r>
          </w:p>
        </w:tc>
        <w:tc>
          <w:tcPr>
            <w:tcW w:w="0" w:type="dxa"/>
            <w:vAlign w:val="bottom"/>
          </w:tcPr>
          <w:p>
            <w:pPr>
              <w:spacing w:after="0"/>
              <w:rPr>
                <w:sz w:val="1"/>
                <w:szCs w:val="1"/>
                <w:color w:val="auto"/>
              </w:rPr>
            </w:pPr>
          </w:p>
        </w:tc>
      </w:tr>
      <w:tr>
        <w:trPr>
          <w:trHeight w:val="124"/>
        </w:trPr>
        <w:tc>
          <w:tcPr>
            <w:tcW w:w="238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Fixed rate debt</w:t>
            </w:r>
          </w:p>
        </w:tc>
        <w:tc>
          <w:tcPr>
            <w:tcW w:w="1640" w:type="dxa"/>
            <w:vAlign w:val="bottom"/>
            <w:tcBorders>
              <w:bottom w:val="single" w:sz="8" w:color="auto"/>
            </w:tcBorders>
          </w:tcPr>
          <w:p>
            <w:pPr>
              <w:jc w:val="right"/>
              <w:ind w:right="181"/>
              <w:spacing w:after="0"/>
              <w:rPr>
                <w:sz w:val="20"/>
                <w:szCs w:val="20"/>
                <w:color w:val="auto"/>
              </w:rPr>
            </w:pPr>
            <w:r>
              <w:rPr>
                <w:rFonts w:ascii="Arial" w:cs="Arial" w:eastAsia="Arial" w:hAnsi="Arial"/>
                <w:sz w:val="8"/>
                <w:szCs w:val="8"/>
                <w:b w:val="1"/>
                <w:bCs w:val="1"/>
                <w:color w:val="auto"/>
              </w:rPr>
              <w:t>Interest (%)</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3/31/2026</w:t>
            </w:r>
          </w:p>
        </w:tc>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Coupon (1)</w:t>
            </w: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Amortization</w:t>
            </w:r>
          </w:p>
        </w:tc>
        <w:tc>
          <w:tcPr>
            <w:tcW w:w="1060" w:type="dxa"/>
            <w:vAlign w:val="bottom"/>
            <w:tcBorders>
              <w:bottom w:val="single" w:sz="8" w:color="auto"/>
            </w:tcBorders>
          </w:tcPr>
          <w:p>
            <w:pPr>
              <w:jc w:val="right"/>
              <w:ind w:right="221"/>
              <w:spacing w:after="0"/>
              <w:rPr>
                <w:sz w:val="20"/>
                <w:szCs w:val="20"/>
                <w:color w:val="auto"/>
              </w:rPr>
            </w:pPr>
            <w:r>
              <w:rPr>
                <w:rFonts w:ascii="Arial" w:cs="Arial" w:eastAsia="Arial" w:hAnsi="Arial"/>
                <w:sz w:val="8"/>
                <w:szCs w:val="8"/>
                <w:b w:val="1"/>
                <w:bCs w:val="1"/>
                <w:color w:val="auto"/>
              </w:rPr>
              <w:t>Date</w:t>
            </w: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8"/>
                <w:szCs w:val="8"/>
                <w:b w:val="1"/>
                <w:bCs w:val="1"/>
                <w:color w:val="auto"/>
              </w:rPr>
              <w:t>Date (2)</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Final Maturity</w:t>
            </w:r>
          </w:p>
        </w:tc>
        <w:tc>
          <w:tcPr>
            <w:tcW w:w="0" w:type="dxa"/>
            <w:vAlign w:val="bottom"/>
          </w:tcPr>
          <w:p>
            <w:pPr>
              <w:spacing w:after="0"/>
              <w:rPr>
                <w:sz w:val="1"/>
                <w:szCs w:val="1"/>
                <w:color w:val="auto"/>
              </w:rPr>
            </w:pPr>
          </w:p>
        </w:tc>
      </w:tr>
      <w:tr>
        <w:trPr>
          <w:trHeight w:val="103"/>
        </w:trPr>
        <w:tc>
          <w:tcPr>
            <w:tcW w:w="2380" w:type="dxa"/>
            <w:vAlign w:val="bottom"/>
          </w:tcPr>
          <w:p>
            <w:pPr>
              <w:spacing w:after="0"/>
              <w:rPr>
                <w:sz w:val="20"/>
                <w:szCs w:val="20"/>
                <w:color w:val="auto"/>
              </w:rPr>
            </w:pPr>
            <w:r>
              <w:rPr>
                <w:rFonts w:ascii="Arial" w:cs="Arial" w:eastAsia="Arial" w:hAnsi="Arial"/>
                <w:sz w:val="8"/>
                <w:szCs w:val="8"/>
                <w:b w:val="1"/>
                <w:bCs w:val="1"/>
                <w:color w:val="auto"/>
              </w:rPr>
              <w:t>Secured fixed rate debt</w:t>
            </w: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380" w:type="dxa"/>
            <w:vAlign w:val="bottom"/>
          </w:tcPr>
          <w:p>
            <w:pPr>
              <w:ind w:left="180"/>
              <w:spacing w:after="0"/>
              <w:rPr>
                <w:sz w:val="20"/>
                <w:szCs w:val="20"/>
                <w:color w:val="auto"/>
              </w:rPr>
            </w:pPr>
            <w:r>
              <w:rPr>
                <w:rFonts w:ascii="Arial" w:cs="Arial" w:eastAsia="Arial" w:hAnsi="Arial"/>
                <w:sz w:val="8"/>
                <w:szCs w:val="8"/>
                <w:color w:val="auto"/>
              </w:rPr>
              <w:t>10 East 53rd Street (swapped)</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jc w:val="right"/>
              <w:ind w:right="41"/>
              <w:spacing w:after="0"/>
              <w:rPr>
                <w:sz w:val="20"/>
                <w:szCs w:val="20"/>
                <w:color w:val="auto"/>
              </w:rPr>
            </w:pPr>
            <w:r>
              <w:rPr>
                <w:rFonts w:ascii="Arial" w:cs="Arial" w:eastAsia="Arial" w:hAnsi="Arial"/>
                <w:sz w:val="8"/>
                <w:szCs w:val="8"/>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204,438</w:t>
            </w:r>
          </w:p>
        </w:tc>
        <w:tc>
          <w:tcPr>
            <w:tcW w:w="22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5.37%</w:t>
            </w:r>
          </w:p>
        </w:tc>
        <w:tc>
          <w:tcPr>
            <w:tcW w:w="280" w:type="dxa"/>
            <w:vAlign w:val="bottom"/>
          </w:tcPr>
          <w:p>
            <w:pPr>
              <w:spacing w:after="0"/>
              <w:rPr>
                <w:sz w:val="9"/>
                <w:szCs w:val="9"/>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May-26</w:t>
            </w:r>
          </w:p>
        </w:tc>
        <w:tc>
          <w:tcPr>
            <w:tcW w:w="840" w:type="dxa"/>
            <w:vAlign w:val="bottom"/>
            <w:gridSpan w:val="2"/>
          </w:tcPr>
          <w:p>
            <w:pPr>
              <w:jc w:val="right"/>
              <w:ind w:right="140"/>
              <w:spacing w:after="0"/>
              <w:rPr>
                <w:sz w:val="20"/>
                <w:szCs w:val="20"/>
                <w:color w:val="auto"/>
              </w:rPr>
            </w:pPr>
            <w:r>
              <w:rPr>
                <w:rFonts w:ascii="Arial" w:cs="Arial" w:eastAsia="Arial" w:hAnsi="Arial"/>
                <w:sz w:val="8"/>
                <w:szCs w:val="8"/>
                <w:color w:val="auto"/>
              </w:rPr>
              <w:t>May-28 (3)</w:t>
            </w: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204,438</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7 Dey Street (4)</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190,148</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6.35%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Nov-26</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Nov-26</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190,148</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100 Church Street (swapped)</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365,000</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5.89%</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Dec-26</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Jun-28</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365,000</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Landmark Square</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100,000</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4.90%</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Jan-27</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Jan-27</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100,000</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485 Lexington Avenue</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450,000</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4.25%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Feb-27</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Feb-27</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450,000</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315 W 33rd St (The Olivia) (5)</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250,000</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4.24%</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Feb-27</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Feb-27</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250,000</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500 Park Avenue (swapped)</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80,000</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6.57%</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Jan-28</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Jan-30</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80,000</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800 Third Avenue (swapped)</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177,000</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5.15%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Feb-29</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Feb-31</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177,000</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610 Park Avenue</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12,200</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4.65%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Nov-29</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Nov-29</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12,200</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65 East 55th Street- Park Avenue Tower</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95.5</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480,000</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5.25%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Feb-31</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Feb-31</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480,000</w:t>
            </w:r>
          </w:p>
        </w:tc>
        <w:tc>
          <w:tcPr>
            <w:tcW w:w="0" w:type="dxa"/>
            <w:vAlign w:val="bottom"/>
          </w:tcPr>
          <w:p>
            <w:pPr>
              <w:spacing w:after="0"/>
              <w:rPr>
                <w:sz w:val="1"/>
                <w:szCs w:val="1"/>
                <w:color w:val="auto"/>
              </w:rPr>
            </w:pPr>
          </w:p>
        </w:tc>
      </w:tr>
      <w:tr>
        <w:trPr>
          <w:trHeight w:val="126"/>
        </w:trPr>
        <w:tc>
          <w:tcPr>
            <w:tcW w:w="2380" w:type="dxa"/>
            <w:vAlign w:val="bottom"/>
          </w:tcPr>
          <w:p>
            <w:pPr>
              <w:ind w:left="180"/>
              <w:spacing w:after="0"/>
              <w:rPr>
                <w:sz w:val="20"/>
                <w:szCs w:val="20"/>
                <w:color w:val="auto"/>
              </w:rPr>
            </w:pPr>
            <w:r>
              <w:rPr>
                <w:rFonts w:ascii="Arial" w:cs="Arial" w:eastAsia="Arial" w:hAnsi="Arial"/>
                <w:sz w:val="8"/>
                <w:szCs w:val="8"/>
                <w:color w:val="auto"/>
              </w:rPr>
              <w:t>420 Lexington Avenue</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254,107</w:t>
            </w:r>
          </w:p>
        </w:tc>
        <w:tc>
          <w:tcPr>
            <w:tcW w:w="220" w:type="dxa"/>
            <w:vAlign w:val="bottom"/>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color w:val="auto"/>
              </w:rPr>
              <w:t>8.24%</w:t>
            </w: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Oct-40</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Oct-40</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rPr>
              <w:t>254,107</w:t>
            </w:r>
          </w:p>
        </w:tc>
        <w:tc>
          <w:tcPr>
            <w:tcW w:w="0" w:type="dxa"/>
            <w:vAlign w:val="bottom"/>
          </w:tcPr>
          <w:p>
            <w:pPr>
              <w:spacing w:after="0"/>
              <w:rPr>
                <w:sz w:val="1"/>
                <w:szCs w:val="1"/>
                <w:color w:val="auto"/>
              </w:rPr>
            </w:pPr>
          </w:p>
        </w:tc>
      </w:tr>
      <w:tr>
        <w:trPr>
          <w:trHeight w:val="105"/>
        </w:trPr>
        <w:tc>
          <w:tcPr>
            <w:tcW w:w="2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2,562,893</w:t>
            </w:r>
          </w:p>
        </w:tc>
        <w:tc>
          <w:tcPr>
            <w:tcW w:w="22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5.47%</w:t>
            </w:r>
          </w:p>
        </w:tc>
        <w:tc>
          <w:tcPr>
            <w:tcW w:w="280" w:type="dxa"/>
            <w:vAlign w:val="bottom"/>
          </w:tcPr>
          <w:p>
            <w:pPr>
              <w:spacing w:after="0"/>
              <w:rPr>
                <w:sz w:val="9"/>
                <w:szCs w:val="9"/>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580" w:type="dxa"/>
            <w:vAlign w:val="bottom"/>
          </w:tcPr>
          <w:p>
            <w:pPr>
              <w:jc w:val="center"/>
              <w:ind w:left="341"/>
              <w:spacing w:after="0"/>
              <w:rPr>
                <w:sz w:val="20"/>
                <w:szCs w:val="20"/>
                <w:color w:val="auto"/>
              </w:rPr>
            </w:pPr>
            <w:r>
              <w:rPr>
                <w:rFonts w:ascii="Arial" w:cs="Arial" w:eastAsia="Arial" w:hAnsi="Arial"/>
                <w:sz w:val="8"/>
                <w:szCs w:val="8"/>
                <w:b w:val="1"/>
                <w:bCs w:val="1"/>
                <w:color w:val="auto"/>
                <w:w w:val="99"/>
              </w:rPr>
              <w:t>—</w:t>
            </w: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b w:val="1"/>
                <w:bCs w:val="1"/>
                <w:color w:val="auto"/>
              </w:rPr>
              <w:t>2,562,893</w:t>
            </w:r>
          </w:p>
        </w:tc>
        <w:tc>
          <w:tcPr>
            <w:tcW w:w="0" w:type="dxa"/>
            <w:vAlign w:val="bottom"/>
          </w:tcPr>
          <w:p>
            <w:pPr>
              <w:spacing w:after="0"/>
              <w:rPr>
                <w:sz w:val="1"/>
                <w:szCs w:val="1"/>
                <w:color w:val="auto"/>
              </w:rPr>
            </w:pPr>
          </w:p>
        </w:tc>
      </w:tr>
      <w:tr>
        <w:trPr>
          <w:trHeight w:val="117"/>
        </w:trPr>
        <w:tc>
          <w:tcPr>
            <w:tcW w:w="2380" w:type="dxa"/>
            <w:vAlign w:val="bottom"/>
          </w:tcPr>
          <w:p>
            <w:pPr>
              <w:spacing w:after="0"/>
              <w:rPr>
                <w:sz w:val="20"/>
                <w:szCs w:val="20"/>
                <w:color w:val="auto"/>
              </w:rPr>
            </w:pPr>
            <w:r>
              <w:rPr>
                <w:rFonts w:ascii="Arial" w:cs="Arial" w:eastAsia="Arial" w:hAnsi="Arial"/>
                <w:sz w:val="8"/>
                <w:szCs w:val="8"/>
                <w:b w:val="1"/>
                <w:bCs w:val="1"/>
                <w:color w:val="auto"/>
              </w:rPr>
              <w:t>Unsecured fixed rate debt</w:t>
            </w: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80" w:type="dxa"/>
            <w:vAlign w:val="bottom"/>
          </w:tcPr>
          <w:p>
            <w:pPr>
              <w:ind w:left="180"/>
              <w:spacing w:after="0"/>
              <w:rPr>
                <w:sz w:val="20"/>
                <w:szCs w:val="20"/>
                <w:color w:val="auto"/>
              </w:rPr>
            </w:pPr>
            <w:r>
              <w:rPr>
                <w:rFonts w:ascii="Arial" w:cs="Arial" w:eastAsia="Arial" w:hAnsi="Arial"/>
                <w:sz w:val="8"/>
                <w:szCs w:val="8"/>
                <w:color w:val="auto"/>
              </w:rPr>
              <w:t>Revolving credit facility (swapped)</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jc w:val="right"/>
              <w:ind w:right="41"/>
              <w:spacing w:after="0"/>
              <w:rPr>
                <w:sz w:val="20"/>
                <w:szCs w:val="20"/>
                <w:color w:val="auto"/>
              </w:rPr>
            </w:pPr>
            <w:r>
              <w:rPr>
                <w:rFonts w:ascii="Arial" w:cs="Arial" w:eastAsia="Arial" w:hAnsi="Arial"/>
                <w:sz w:val="8"/>
                <w:szCs w:val="8"/>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695,779</w:t>
            </w:r>
          </w:p>
        </w:tc>
        <w:tc>
          <w:tcPr>
            <w:tcW w:w="22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5.09%</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(6)</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Jun-30</w:t>
            </w:r>
          </w:p>
        </w:tc>
        <w:tc>
          <w:tcPr>
            <w:tcW w:w="840" w:type="dxa"/>
            <w:vAlign w:val="bottom"/>
            <w:gridSpan w:val="2"/>
          </w:tcPr>
          <w:p>
            <w:pPr>
              <w:jc w:val="right"/>
              <w:ind w:right="140"/>
              <w:spacing w:after="0"/>
              <w:rPr>
                <w:sz w:val="20"/>
                <w:szCs w:val="20"/>
                <w:color w:val="auto"/>
              </w:rPr>
            </w:pPr>
            <w:r>
              <w:rPr>
                <w:rFonts w:ascii="Arial" w:cs="Arial" w:eastAsia="Arial" w:hAnsi="Arial"/>
                <w:sz w:val="8"/>
                <w:szCs w:val="8"/>
                <w:color w:val="auto"/>
              </w:rPr>
              <w:t>Jun-31 (3)</w:t>
            </w: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695,779</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Term Loan C (swapped)</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750,000</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4.33%</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Jun-31</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Jun-31</w:t>
            </w:r>
          </w:p>
        </w:tc>
        <w:tc>
          <w:tcPr>
            <w:tcW w:w="120" w:type="dxa"/>
            <w:vAlign w:val="bottom"/>
          </w:tcPr>
          <w:p>
            <w:pPr>
              <w:spacing w:after="0"/>
              <w:rPr>
                <w:sz w:val="10"/>
                <w:szCs w:val="10"/>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750,000</w:t>
            </w:r>
          </w:p>
        </w:tc>
        <w:tc>
          <w:tcPr>
            <w:tcW w:w="0" w:type="dxa"/>
            <w:vAlign w:val="bottom"/>
          </w:tcPr>
          <w:p>
            <w:pPr>
              <w:spacing w:after="0"/>
              <w:rPr>
                <w:sz w:val="1"/>
                <w:szCs w:val="1"/>
                <w:color w:val="auto"/>
              </w:rPr>
            </w:pPr>
          </w:p>
        </w:tc>
      </w:tr>
      <w:tr>
        <w:trPr>
          <w:trHeight w:val="126"/>
        </w:trPr>
        <w:tc>
          <w:tcPr>
            <w:tcW w:w="2380" w:type="dxa"/>
            <w:vAlign w:val="bottom"/>
          </w:tcPr>
          <w:p>
            <w:pPr>
              <w:ind w:left="180"/>
              <w:spacing w:after="0"/>
              <w:rPr>
                <w:sz w:val="20"/>
                <w:szCs w:val="20"/>
                <w:color w:val="auto"/>
              </w:rPr>
            </w:pPr>
            <w:r>
              <w:rPr>
                <w:rFonts w:ascii="Arial" w:cs="Arial" w:eastAsia="Arial" w:hAnsi="Arial"/>
                <w:sz w:val="8"/>
                <w:szCs w:val="8"/>
                <w:color w:val="auto"/>
                <w:w w:val="99"/>
              </w:rPr>
              <w:t>Junior subordinated deferrable interest debentures (swapped)</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100,000</w:t>
            </w:r>
          </w:p>
        </w:tc>
        <w:tc>
          <w:tcPr>
            <w:tcW w:w="220" w:type="dxa"/>
            <w:vAlign w:val="bottom"/>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color w:val="auto"/>
              </w:rPr>
              <w:t>5.27%</w:t>
            </w: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left="341"/>
              <w:spacing w:after="0"/>
              <w:rPr>
                <w:sz w:val="20"/>
                <w:szCs w:val="20"/>
                <w:color w:val="auto"/>
              </w:rPr>
            </w:pPr>
            <w:r>
              <w:rPr>
                <w:rFonts w:ascii="Arial" w:cs="Arial" w:eastAsia="Arial" w:hAnsi="Arial"/>
                <w:sz w:val="8"/>
                <w:szCs w:val="8"/>
                <w:color w:val="auto"/>
                <w:w w:val="99"/>
              </w:rPr>
              <w:t>—</w:t>
            </w: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Jul-35</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Jul-35</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rPr>
              <w:t>100,000</w:t>
            </w:r>
          </w:p>
        </w:tc>
        <w:tc>
          <w:tcPr>
            <w:tcW w:w="0" w:type="dxa"/>
            <w:vAlign w:val="bottom"/>
          </w:tcPr>
          <w:p>
            <w:pPr>
              <w:spacing w:after="0"/>
              <w:rPr>
                <w:sz w:val="1"/>
                <w:szCs w:val="1"/>
                <w:color w:val="auto"/>
              </w:rPr>
            </w:pPr>
          </w:p>
        </w:tc>
      </w:tr>
      <w:tr>
        <w:trPr>
          <w:trHeight w:val="105"/>
        </w:trPr>
        <w:tc>
          <w:tcPr>
            <w:tcW w:w="2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1,545,779</w:t>
            </w:r>
          </w:p>
        </w:tc>
        <w:tc>
          <w:tcPr>
            <w:tcW w:w="22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4.74%</w:t>
            </w:r>
          </w:p>
        </w:tc>
        <w:tc>
          <w:tcPr>
            <w:tcW w:w="280" w:type="dxa"/>
            <w:vAlign w:val="bottom"/>
          </w:tcPr>
          <w:p>
            <w:pPr>
              <w:spacing w:after="0"/>
              <w:rPr>
                <w:sz w:val="9"/>
                <w:szCs w:val="9"/>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580" w:type="dxa"/>
            <w:vAlign w:val="bottom"/>
          </w:tcPr>
          <w:p>
            <w:pPr>
              <w:jc w:val="center"/>
              <w:ind w:left="341"/>
              <w:spacing w:after="0"/>
              <w:rPr>
                <w:sz w:val="20"/>
                <w:szCs w:val="20"/>
                <w:color w:val="auto"/>
              </w:rPr>
            </w:pPr>
            <w:r>
              <w:rPr>
                <w:rFonts w:ascii="Arial" w:cs="Arial" w:eastAsia="Arial" w:hAnsi="Arial"/>
                <w:sz w:val="8"/>
                <w:szCs w:val="8"/>
                <w:b w:val="1"/>
                <w:bCs w:val="1"/>
                <w:color w:val="auto"/>
                <w:w w:val="99"/>
              </w:rPr>
              <w:t>—</w:t>
            </w: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b w:val="1"/>
                <w:bCs w:val="1"/>
                <w:color w:val="auto"/>
              </w:rPr>
              <w:t>1,545,779</w:t>
            </w:r>
          </w:p>
        </w:tc>
        <w:tc>
          <w:tcPr>
            <w:tcW w:w="0" w:type="dxa"/>
            <w:vAlign w:val="bottom"/>
          </w:tcPr>
          <w:p>
            <w:pPr>
              <w:spacing w:after="0"/>
              <w:rPr>
                <w:sz w:val="1"/>
                <w:szCs w:val="1"/>
                <w:color w:val="auto"/>
              </w:rPr>
            </w:pPr>
          </w:p>
        </w:tc>
      </w:tr>
      <w:tr>
        <w:trPr>
          <w:trHeight w:val="50"/>
        </w:trPr>
        <w:tc>
          <w:tcPr>
            <w:tcW w:w="2380" w:type="dxa"/>
            <w:vAlign w:val="bottom"/>
          </w:tcPr>
          <w:p>
            <w:pPr>
              <w:spacing w:after="0"/>
              <w:rPr>
                <w:sz w:val="4"/>
                <w:szCs w:val="4"/>
                <w:color w:val="auto"/>
              </w:rPr>
            </w:pPr>
          </w:p>
        </w:tc>
        <w:tc>
          <w:tcPr>
            <w:tcW w:w="1640" w:type="dxa"/>
            <w:vAlign w:val="bottom"/>
            <w:vMerge w:val="restart"/>
          </w:tcPr>
          <w:p>
            <w:pPr>
              <w:jc w:val="right"/>
              <w:ind w:right="181"/>
              <w:spacing w:after="0"/>
              <w:rPr>
                <w:sz w:val="20"/>
                <w:szCs w:val="20"/>
                <w:color w:val="auto"/>
              </w:rPr>
            </w:pPr>
            <w:r>
              <w:rPr>
                <w:rFonts w:ascii="Arial" w:cs="Arial" w:eastAsia="Arial" w:hAnsi="Arial"/>
                <w:sz w:val="8"/>
                <w:szCs w:val="8"/>
                <w:b w:val="1"/>
                <w:bCs w:val="1"/>
                <w:color w:val="auto"/>
              </w:rPr>
              <w:t>Total Fixed Rate Debt</w:t>
            </w: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38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4,108,672</w:t>
            </w:r>
          </w:p>
        </w:tc>
        <w:tc>
          <w:tcPr>
            <w:tcW w:w="220" w:type="dxa"/>
            <w:vAlign w:val="bottom"/>
          </w:tcPr>
          <w:p>
            <w:pPr>
              <w:spacing w:after="0"/>
              <w:rPr>
                <w:sz w:val="8"/>
                <w:szCs w:val="8"/>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5.20%</w:t>
            </w:r>
          </w:p>
        </w:tc>
        <w:tc>
          <w:tcPr>
            <w:tcW w:w="280" w:type="dxa"/>
            <w:vAlign w:val="bottom"/>
          </w:tcPr>
          <w:p>
            <w:pPr>
              <w:spacing w:after="0"/>
              <w:rPr>
                <w:sz w:val="8"/>
                <w:szCs w:val="8"/>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580" w:type="dxa"/>
            <w:vAlign w:val="bottom"/>
          </w:tcPr>
          <w:p>
            <w:pPr>
              <w:jc w:val="center"/>
              <w:ind w:left="341"/>
              <w:spacing w:after="0"/>
              <w:rPr>
                <w:sz w:val="20"/>
                <w:szCs w:val="20"/>
                <w:color w:val="auto"/>
              </w:rPr>
            </w:pPr>
            <w:r>
              <w:rPr>
                <w:rFonts w:ascii="Arial" w:cs="Arial" w:eastAsia="Arial" w:hAnsi="Arial"/>
                <w:sz w:val="8"/>
                <w:szCs w:val="8"/>
                <w:b w:val="1"/>
                <w:bCs w:val="1"/>
                <w:color w:val="auto"/>
                <w:w w:val="99"/>
              </w:rPr>
              <w:t>—</w:t>
            </w: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b w:val="1"/>
                <w:bCs w:val="1"/>
                <w:color w:val="auto"/>
              </w:rPr>
              <w:t>4,108,672</w:t>
            </w:r>
          </w:p>
        </w:tc>
        <w:tc>
          <w:tcPr>
            <w:tcW w:w="0" w:type="dxa"/>
            <w:vAlign w:val="bottom"/>
          </w:tcPr>
          <w:p>
            <w:pPr>
              <w:spacing w:after="0"/>
              <w:rPr>
                <w:sz w:val="1"/>
                <w:szCs w:val="1"/>
                <w:color w:val="auto"/>
              </w:rPr>
            </w:pPr>
          </w:p>
        </w:tc>
      </w:tr>
      <w:tr>
        <w:trPr>
          <w:trHeight w:val="123"/>
        </w:trPr>
        <w:tc>
          <w:tcPr>
            <w:tcW w:w="238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Floating rate debt</w:t>
            </w:r>
          </w:p>
        </w:tc>
        <w:tc>
          <w:tcPr>
            <w:tcW w:w="1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380" w:type="dxa"/>
            <w:vAlign w:val="bottom"/>
          </w:tcPr>
          <w:p>
            <w:pPr>
              <w:spacing w:after="0"/>
              <w:rPr>
                <w:sz w:val="20"/>
                <w:szCs w:val="20"/>
                <w:color w:val="auto"/>
              </w:rPr>
            </w:pPr>
            <w:r>
              <w:rPr>
                <w:rFonts w:ascii="Arial" w:cs="Arial" w:eastAsia="Arial" w:hAnsi="Arial"/>
                <w:sz w:val="8"/>
                <w:szCs w:val="8"/>
                <w:b w:val="1"/>
                <w:bCs w:val="1"/>
                <w:color w:val="auto"/>
              </w:rPr>
              <w:t>Unsecured floating rate debt</w:t>
            </w: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380" w:type="dxa"/>
            <w:vAlign w:val="bottom"/>
          </w:tcPr>
          <w:p>
            <w:pPr>
              <w:ind w:left="180"/>
              <w:spacing w:after="0"/>
              <w:rPr>
                <w:sz w:val="20"/>
                <w:szCs w:val="20"/>
                <w:color w:val="auto"/>
              </w:rPr>
            </w:pPr>
            <w:r>
              <w:rPr>
                <w:rFonts w:ascii="Arial" w:cs="Arial" w:eastAsia="Arial" w:hAnsi="Arial"/>
                <w:sz w:val="8"/>
                <w:szCs w:val="8"/>
                <w:color w:val="auto"/>
              </w:rPr>
              <w:t>Term Loan B (SOFR + 180 bps)</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jc w:val="right"/>
              <w:ind w:right="41"/>
              <w:spacing w:after="0"/>
              <w:rPr>
                <w:sz w:val="20"/>
                <w:szCs w:val="20"/>
                <w:color w:val="auto"/>
              </w:rPr>
            </w:pPr>
            <w:r>
              <w:rPr>
                <w:rFonts w:ascii="Arial" w:cs="Arial" w:eastAsia="Arial" w:hAnsi="Arial"/>
                <w:sz w:val="8"/>
                <w:szCs w:val="8"/>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100,000</w:t>
            </w:r>
          </w:p>
        </w:tc>
        <w:tc>
          <w:tcPr>
            <w:tcW w:w="22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5.47%</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May-26</w:t>
            </w:r>
          </w:p>
        </w:tc>
        <w:tc>
          <w:tcPr>
            <w:tcW w:w="840" w:type="dxa"/>
            <w:vAlign w:val="bottom"/>
            <w:gridSpan w:val="2"/>
          </w:tcPr>
          <w:p>
            <w:pPr>
              <w:jc w:val="right"/>
              <w:ind w:right="140"/>
              <w:spacing w:after="0"/>
              <w:rPr>
                <w:sz w:val="20"/>
                <w:szCs w:val="20"/>
                <w:color w:val="auto"/>
              </w:rPr>
            </w:pPr>
            <w:r>
              <w:rPr>
                <w:rFonts w:ascii="Arial" w:cs="Arial" w:eastAsia="Arial" w:hAnsi="Arial"/>
                <w:sz w:val="8"/>
                <w:szCs w:val="8"/>
                <w:color w:val="auto"/>
              </w:rPr>
              <w:t>Nov-26 (3)</w:t>
            </w:r>
          </w:p>
        </w:tc>
        <w:tc>
          <w:tcPr>
            <w:tcW w:w="120" w:type="dxa"/>
            <w:vAlign w:val="bottom"/>
          </w:tcPr>
          <w:p>
            <w:pPr>
              <w:spacing w:after="0"/>
              <w:rPr>
                <w:sz w:val="9"/>
                <w:szCs w:val="9"/>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100,000</w:t>
            </w:r>
          </w:p>
        </w:tc>
        <w:tc>
          <w:tcPr>
            <w:tcW w:w="0" w:type="dxa"/>
            <w:vAlign w:val="bottom"/>
          </w:tcPr>
          <w:p>
            <w:pPr>
              <w:spacing w:after="0"/>
              <w:rPr>
                <w:sz w:val="1"/>
                <w:szCs w:val="1"/>
                <w:color w:val="auto"/>
              </w:rPr>
            </w:pPr>
          </w:p>
        </w:tc>
      </w:tr>
      <w:tr>
        <w:trPr>
          <w:trHeight w:val="122"/>
        </w:trPr>
        <w:tc>
          <w:tcPr>
            <w:tcW w:w="2380" w:type="dxa"/>
            <w:vAlign w:val="bottom"/>
          </w:tcPr>
          <w:p>
            <w:pPr>
              <w:ind w:left="180"/>
              <w:spacing w:after="0"/>
              <w:rPr>
                <w:sz w:val="20"/>
                <w:szCs w:val="20"/>
                <w:color w:val="auto"/>
              </w:rPr>
            </w:pPr>
            <w:r>
              <w:rPr>
                <w:rFonts w:ascii="Arial" w:cs="Arial" w:eastAsia="Arial" w:hAnsi="Arial"/>
                <w:sz w:val="8"/>
                <w:szCs w:val="8"/>
                <w:color w:val="auto"/>
              </w:rPr>
              <w:t>Debt fund subscription line (SOFR + 220 bps)</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9.1</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136,390</w:t>
            </w:r>
          </w:p>
        </w:tc>
        <w:tc>
          <w:tcPr>
            <w:tcW w:w="220" w:type="dxa"/>
            <w:vAlign w:val="bottom"/>
          </w:tcPr>
          <w:p>
            <w:pPr>
              <w:jc w:val="right"/>
              <w:spacing w:after="0"/>
              <w:rPr>
                <w:sz w:val="20"/>
                <w:szCs w:val="20"/>
                <w:color w:val="auto"/>
              </w:rPr>
            </w:pPr>
            <w:r>
              <w:rPr>
                <w:rFonts w:ascii="Arial" w:cs="Arial" w:eastAsia="Arial" w:hAnsi="Arial"/>
                <w:sz w:val="8"/>
                <w:szCs w:val="8"/>
                <w:color w:val="auto"/>
              </w:rPr>
              <w:t>(7)</w:t>
            </w: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5.88%</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Aug-27</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Aug-28</w:t>
            </w:r>
          </w:p>
        </w:tc>
        <w:tc>
          <w:tcPr>
            <w:tcW w:w="120" w:type="dxa"/>
            <w:vAlign w:val="bottom"/>
          </w:tcPr>
          <w:p>
            <w:pPr>
              <w:jc w:val="right"/>
              <w:ind w:right="2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b w:val="1"/>
                <w:bCs w:val="1"/>
                <w:color w:val="auto"/>
              </w:rPr>
              <w:t>136,390</w:t>
            </w:r>
          </w:p>
        </w:tc>
        <w:tc>
          <w:tcPr>
            <w:tcW w:w="0" w:type="dxa"/>
            <w:vAlign w:val="bottom"/>
          </w:tcPr>
          <w:p>
            <w:pPr>
              <w:spacing w:after="0"/>
              <w:rPr>
                <w:sz w:val="1"/>
                <w:szCs w:val="1"/>
                <w:color w:val="auto"/>
              </w:rPr>
            </w:pPr>
          </w:p>
        </w:tc>
      </w:tr>
      <w:tr>
        <w:trPr>
          <w:trHeight w:val="118"/>
        </w:trPr>
        <w:tc>
          <w:tcPr>
            <w:tcW w:w="2380" w:type="dxa"/>
            <w:vAlign w:val="bottom"/>
          </w:tcPr>
          <w:p>
            <w:pPr>
              <w:ind w:left="180"/>
              <w:spacing w:after="0"/>
              <w:rPr>
                <w:sz w:val="20"/>
                <w:szCs w:val="20"/>
                <w:color w:val="auto"/>
              </w:rPr>
            </w:pPr>
            <w:r>
              <w:rPr>
                <w:rFonts w:ascii="Arial" w:cs="Arial" w:eastAsia="Arial" w:hAnsi="Arial"/>
                <w:sz w:val="8"/>
                <w:szCs w:val="8"/>
                <w:color w:val="auto"/>
              </w:rPr>
              <w:t>Revolving credit facility (SOFR + 125 bps)</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Pr>
          <w:p>
            <w:pPr>
              <w:spacing w:after="0"/>
              <w:rPr>
                <w:sz w:val="10"/>
                <w:szCs w:val="10"/>
                <w:color w:val="auto"/>
              </w:rPr>
            </w:pPr>
          </w:p>
        </w:tc>
        <w:tc>
          <w:tcPr>
            <w:tcW w:w="580" w:type="dxa"/>
            <w:vAlign w:val="bottom"/>
          </w:tcPr>
          <w:p>
            <w:pPr>
              <w:jc w:val="right"/>
              <w:ind w:right="21"/>
              <w:spacing w:after="0"/>
              <w:rPr>
                <w:sz w:val="20"/>
                <w:szCs w:val="20"/>
                <w:color w:val="auto"/>
              </w:rPr>
            </w:pPr>
            <w:r>
              <w:rPr>
                <w:rFonts w:ascii="Arial" w:cs="Arial" w:eastAsia="Arial" w:hAnsi="Arial"/>
                <w:sz w:val="8"/>
                <w:szCs w:val="8"/>
                <w:color w:val="auto"/>
              </w:rPr>
              <w:t>129,221</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4.92%</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Jun-30</w:t>
            </w:r>
          </w:p>
        </w:tc>
        <w:tc>
          <w:tcPr>
            <w:tcW w:w="840" w:type="dxa"/>
            <w:vAlign w:val="bottom"/>
            <w:gridSpan w:val="2"/>
          </w:tcPr>
          <w:p>
            <w:pPr>
              <w:jc w:val="right"/>
              <w:ind w:right="140"/>
              <w:spacing w:after="0"/>
              <w:rPr>
                <w:sz w:val="20"/>
                <w:szCs w:val="20"/>
                <w:color w:val="auto"/>
              </w:rPr>
            </w:pPr>
            <w:r>
              <w:rPr>
                <w:rFonts w:ascii="Arial" w:cs="Arial" w:eastAsia="Arial" w:hAnsi="Arial"/>
                <w:sz w:val="8"/>
                <w:szCs w:val="8"/>
                <w:color w:val="auto"/>
              </w:rPr>
              <w:t>Jun-31 (3)</w:t>
            </w:r>
          </w:p>
        </w:tc>
        <w:tc>
          <w:tcPr>
            <w:tcW w:w="120" w:type="dxa"/>
            <w:vAlign w:val="bottom"/>
          </w:tcPr>
          <w:p>
            <w:pPr>
              <w:jc w:val="right"/>
              <w:ind w:right="2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b w:val="1"/>
                <w:bCs w:val="1"/>
                <w:color w:val="auto"/>
              </w:rPr>
              <w:t>129,221</w:t>
            </w:r>
          </w:p>
        </w:tc>
        <w:tc>
          <w:tcPr>
            <w:tcW w:w="0" w:type="dxa"/>
            <w:vAlign w:val="bottom"/>
          </w:tcPr>
          <w:p>
            <w:pPr>
              <w:spacing w:after="0"/>
              <w:rPr>
                <w:sz w:val="1"/>
                <w:szCs w:val="1"/>
                <w:color w:val="auto"/>
              </w:rPr>
            </w:pPr>
          </w:p>
        </w:tc>
      </w:tr>
      <w:tr>
        <w:trPr>
          <w:trHeight w:val="124"/>
        </w:trPr>
        <w:tc>
          <w:tcPr>
            <w:tcW w:w="2380" w:type="dxa"/>
            <w:vAlign w:val="bottom"/>
          </w:tcPr>
          <w:p>
            <w:pPr>
              <w:ind w:left="180"/>
              <w:spacing w:after="0"/>
              <w:rPr>
                <w:sz w:val="20"/>
                <w:szCs w:val="20"/>
                <w:color w:val="auto"/>
              </w:rPr>
            </w:pPr>
            <w:r>
              <w:rPr>
                <w:rFonts w:ascii="Arial" w:cs="Arial" w:eastAsia="Arial" w:hAnsi="Arial"/>
                <w:sz w:val="8"/>
                <w:szCs w:val="8"/>
                <w:color w:val="auto"/>
              </w:rPr>
              <w:t>Term Loan A (SOFR + 170 bps)</w:t>
            </w:r>
          </w:p>
        </w:tc>
        <w:tc>
          <w:tcPr>
            <w:tcW w:w="1640" w:type="dxa"/>
            <w:vAlign w:val="bottom"/>
          </w:tcPr>
          <w:p>
            <w:pPr>
              <w:jc w:val="right"/>
              <w:ind w:right="221"/>
              <w:spacing w:after="0"/>
              <w:rPr>
                <w:sz w:val="20"/>
                <w:szCs w:val="20"/>
                <w:color w:val="auto"/>
              </w:rPr>
            </w:pPr>
            <w:r>
              <w:rPr>
                <w:rFonts w:ascii="Arial" w:cs="Arial" w:eastAsia="Arial" w:hAnsi="Arial"/>
                <w:sz w:val="8"/>
                <w:szCs w:val="8"/>
                <w:color w:val="auto"/>
              </w:rPr>
              <w:t>100.0</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300,000</w:t>
            </w:r>
          </w:p>
        </w:tc>
        <w:tc>
          <w:tcPr>
            <w:tcW w:w="220" w:type="dxa"/>
            <w:vAlign w:val="bottom"/>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color w:val="auto"/>
              </w:rPr>
              <w:t>5.37%</w:t>
            </w: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60" w:type="dxa"/>
            <w:vAlign w:val="bottom"/>
          </w:tcPr>
          <w:p>
            <w:pPr>
              <w:jc w:val="right"/>
              <w:ind w:right="221"/>
              <w:spacing w:after="0"/>
              <w:rPr>
                <w:sz w:val="20"/>
                <w:szCs w:val="20"/>
                <w:color w:val="auto"/>
              </w:rPr>
            </w:pPr>
            <w:r>
              <w:rPr>
                <w:rFonts w:ascii="Arial" w:cs="Arial" w:eastAsia="Arial" w:hAnsi="Arial"/>
                <w:sz w:val="8"/>
                <w:szCs w:val="8"/>
                <w:color w:val="auto"/>
              </w:rPr>
              <w:t>May-27</w:t>
            </w:r>
          </w:p>
        </w:tc>
        <w:tc>
          <w:tcPr>
            <w:tcW w:w="840" w:type="dxa"/>
            <w:vAlign w:val="bottom"/>
            <w:gridSpan w:val="2"/>
          </w:tcPr>
          <w:p>
            <w:pPr>
              <w:jc w:val="right"/>
              <w:ind w:right="260"/>
              <w:spacing w:after="0"/>
              <w:rPr>
                <w:sz w:val="20"/>
                <w:szCs w:val="20"/>
                <w:color w:val="auto"/>
              </w:rPr>
            </w:pPr>
            <w:r>
              <w:rPr>
                <w:rFonts w:ascii="Arial" w:cs="Arial" w:eastAsia="Arial" w:hAnsi="Arial"/>
                <w:sz w:val="8"/>
                <w:szCs w:val="8"/>
                <w:color w:val="auto"/>
              </w:rPr>
              <w:t>May-27</w:t>
            </w:r>
          </w:p>
        </w:tc>
        <w:tc>
          <w:tcPr>
            <w:tcW w:w="12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w w:val="88"/>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rPr>
              <w:t>300,000</w:t>
            </w:r>
          </w:p>
        </w:tc>
        <w:tc>
          <w:tcPr>
            <w:tcW w:w="0" w:type="dxa"/>
            <w:vAlign w:val="bottom"/>
          </w:tcPr>
          <w:p>
            <w:pPr>
              <w:spacing w:after="0"/>
              <w:rPr>
                <w:sz w:val="1"/>
                <w:szCs w:val="1"/>
                <w:color w:val="auto"/>
              </w:rPr>
            </w:pPr>
          </w:p>
        </w:tc>
      </w:tr>
      <w:tr>
        <w:trPr>
          <w:trHeight w:val="103"/>
        </w:trPr>
        <w:tc>
          <w:tcPr>
            <w:tcW w:w="2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665,611</w:t>
            </w:r>
          </w:p>
        </w:tc>
        <w:tc>
          <w:tcPr>
            <w:tcW w:w="220" w:type="dxa"/>
            <w:vAlign w:val="bottom"/>
          </w:tcPr>
          <w:p>
            <w:pPr>
              <w:spacing w:after="0"/>
              <w:rPr>
                <w:sz w:val="8"/>
                <w:szCs w:val="8"/>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5.40%</w:t>
            </w:r>
          </w:p>
        </w:tc>
        <w:tc>
          <w:tcPr>
            <w:tcW w:w="280" w:type="dxa"/>
            <w:vAlign w:val="bottom"/>
          </w:tcPr>
          <w:p>
            <w:pPr>
              <w:spacing w:after="0"/>
              <w:rPr>
                <w:sz w:val="8"/>
                <w:szCs w:val="8"/>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580" w:type="dxa"/>
            <w:vAlign w:val="bottom"/>
          </w:tcPr>
          <w:p>
            <w:pPr>
              <w:jc w:val="center"/>
              <w:ind w:left="341"/>
              <w:spacing w:after="0"/>
              <w:rPr>
                <w:sz w:val="20"/>
                <w:szCs w:val="20"/>
                <w:color w:val="auto"/>
              </w:rPr>
            </w:pPr>
            <w:r>
              <w:rPr>
                <w:rFonts w:ascii="Arial" w:cs="Arial" w:eastAsia="Arial" w:hAnsi="Arial"/>
                <w:sz w:val="8"/>
                <w:szCs w:val="8"/>
                <w:b w:val="1"/>
                <w:bCs w:val="1"/>
                <w:color w:val="auto"/>
                <w:w w:val="99"/>
              </w:rPr>
              <w:t>—</w:t>
            </w: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b w:val="1"/>
                <w:bCs w:val="1"/>
                <w:color w:val="auto"/>
              </w:rPr>
              <w:t>665,611</w:t>
            </w:r>
          </w:p>
        </w:tc>
        <w:tc>
          <w:tcPr>
            <w:tcW w:w="0" w:type="dxa"/>
            <w:vAlign w:val="bottom"/>
          </w:tcPr>
          <w:p>
            <w:pPr>
              <w:spacing w:after="0"/>
              <w:rPr>
                <w:sz w:val="1"/>
                <w:szCs w:val="1"/>
                <w:color w:val="auto"/>
              </w:rPr>
            </w:pPr>
          </w:p>
        </w:tc>
      </w:tr>
      <w:tr>
        <w:trPr>
          <w:trHeight w:val="50"/>
        </w:trPr>
        <w:tc>
          <w:tcPr>
            <w:tcW w:w="2380" w:type="dxa"/>
            <w:vAlign w:val="bottom"/>
          </w:tcPr>
          <w:p>
            <w:pPr>
              <w:spacing w:after="0"/>
              <w:rPr>
                <w:sz w:val="4"/>
                <w:szCs w:val="4"/>
                <w:color w:val="auto"/>
              </w:rPr>
            </w:pPr>
          </w:p>
        </w:tc>
        <w:tc>
          <w:tcPr>
            <w:tcW w:w="1640" w:type="dxa"/>
            <w:vAlign w:val="bottom"/>
            <w:vMerge w:val="restart"/>
          </w:tcPr>
          <w:p>
            <w:pPr>
              <w:jc w:val="right"/>
              <w:ind w:right="181"/>
              <w:spacing w:after="0"/>
              <w:rPr>
                <w:sz w:val="20"/>
                <w:szCs w:val="20"/>
                <w:color w:val="auto"/>
              </w:rPr>
            </w:pPr>
            <w:r>
              <w:rPr>
                <w:rFonts w:ascii="Arial" w:cs="Arial" w:eastAsia="Arial" w:hAnsi="Arial"/>
                <w:sz w:val="8"/>
                <w:szCs w:val="8"/>
                <w:b w:val="1"/>
                <w:bCs w:val="1"/>
                <w:color w:val="auto"/>
              </w:rPr>
              <w:t>Total Floating Rate Debt</w:t>
            </w: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38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665,611</w:t>
            </w:r>
          </w:p>
        </w:tc>
        <w:tc>
          <w:tcPr>
            <w:tcW w:w="220" w:type="dxa"/>
            <w:vAlign w:val="bottom"/>
          </w:tcPr>
          <w:p>
            <w:pPr>
              <w:spacing w:after="0"/>
              <w:rPr>
                <w:sz w:val="8"/>
                <w:szCs w:val="8"/>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5.40%</w:t>
            </w:r>
          </w:p>
        </w:tc>
        <w:tc>
          <w:tcPr>
            <w:tcW w:w="280" w:type="dxa"/>
            <w:vAlign w:val="bottom"/>
          </w:tcPr>
          <w:p>
            <w:pPr>
              <w:spacing w:after="0"/>
              <w:rPr>
                <w:sz w:val="8"/>
                <w:szCs w:val="8"/>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580" w:type="dxa"/>
            <w:vAlign w:val="bottom"/>
          </w:tcPr>
          <w:p>
            <w:pPr>
              <w:jc w:val="center"/>
              <w:ind w:left="341"/>
              <w:spacing w:after="0"/>
              <w:rPr>
                <w:sz w:val="20"/>
                <w:szCs w:val="20"/>
                <w:color w:val="auto"/>
              </w:rPr>
            </w:pPr>
            <w:r>
              <w:rPr>
                <w:rFonts w:ascii="Arial" w:cs="Arial" w:eastAsia="Arial" w:hAnsi="Arial"/>
                <w:sz w:val="8"/>
                <w:szCs w:val="8"/>
                <w:b w:val="1"/>
                <w:bCs w:val="1"/>
                <w:color w:val="auto"/>
                <w:w w:val="99"/>
              </w:rPr>
              <w:t>—</w:t>
            </w: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b w:val="1"/>
                <w:bCs w:val="1"/>
                <w:color w:val="auto"/>
              </w:rPr>
              <w:t>665,611</w:t>
            </w: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1640" w:type="dxa"/>
            <w:vAlign w:val="bottom"/>
          </w:tcPr>
          <w:p>
            <w:pPr>
              <w:jc w:val="right"/>
              <w:ind w:right="181"/>
              <w:spacing w:after="0"/>
              <w:rPr>
                <w:sz w:val="20"/>
                <w:szCs w:val="20"/>
                <w:color w:val="auto"/>
              </w:rPr>
            </w:pPr>
            <w:r>
              <w:rPr>
                <w:rFonts w:ascii="Arial" w:cs="Arial" w:eastAsia="Arial" w:hAnsi="Arial"/>
                <w:sz w:val="8"/>
                <w:szCs w:val="8"/>
                <w:b w:val="1"/>
                <w:bCs w:val="1"/>
                <w:color w:val="auto"/>
              </w:rPr>
              <w:t>Consolidated Debt</w:t>
            </w:r>
          </w:p>
        </w:tc>
        <w:tc>
          <w:tcPr>
            <w:tcW w:w="14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4,774,283</w:t>
            </w:r>
          </w:p>
        </w:tc>
        <w:tc>
          <w:tcPr>
            <w:tcW w:w="220" w:type="dxa"/>
            <w:vAlign w:val="bottom"/>
          </w:tcPr>
          <w:p>
            <w:pPr>
              <w:spacing w:after="0"/>
              <w:rPr>
                <w:sz w:val="13"/>
                <w:szCs w:val="13"/>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rPr>
              <w:t>5.22%</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1640" w:type="dxa"/>
            <w:vAlign w:val="bottom"/>
          </w:tcPr>
          <w:p>
            <w:pPr>
              <w:jc w:val="right"/>
              <w:ind w:right="181"/>
              <w:spacing w:after="0"/>
              <w:rPr>
                <w:sz w:val="20"/>
                <w:szCs w:val="20"/>
                <w:color w:val="auto"/>
              </w:rPr>
            </w:pPr>
            <w:r>
              <w:rPr>
                <w:rFonts w:ascii="Arial" w:cs="Arial" w:eastAsia="Arial" w:hAnsi="Arial"/>
                <w:sz w:val="8"/>
                <w:szCs w:val="8"/>
                <w:b w:val="1"/>
                <w:bCs w:val="1"/>
                <w:color w:val="auto"/>
              </w:rPr>
              <w:t>Total Debt - Consolidated</w:t>
            </w: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4,774,283</w:t>
            </w:r>
          </w:p>
        </w:tc>
        <w:tc>
          <w:tcPr>
            <w:tcW w:w="22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5.22%</w:t>
            </w:r>
          </w:p>
        </w:tc>
        <w:tc>
          <w:tcPr>
            <w:tcW w:w="280" w:type="dxa"/>
            <w:vAlign w:val="bottom"/>
          </w:tcPr>
          <w:p>
            <w:pPr>
              <w:spacing w:after="0"/>
              <w:rPr>
                <w:sz w:val="9"/>
                <w:szCs w:val="9"/>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580" w:type="dxa"/>
            <w:vAlign w:val="bottom"/>
          </w:tcPr>
          <w:p>
            <w:pPr>
              <w:jc w:val="center"/>
              <w:ind w:left="341"/>
              <w:spacing w:after="0"/>
              <w:rPr>
                <w:sz w:val="20"/>
                <w:szCs w:val="20"/>
                <w:color w:val="auto"/>
              </w:rPr>
            </w:pPr>
            <w:r>
              <w:rPr>
                <w:rFonts w:ascii="Arial" w:cs="Arial" w:eastAsia="Arial" w:hAnsi="Arial"/>
                <w:sz w:val="8"/>
                <w:szCs w:val="8"/>
                <w:b w:val="1"/>
                <w:bCs w:val="1"/>
                <w:color w:val="auto"/>
                <w:w w:val="99"/>
              </w:rPr>
              <w:t>—</w:t>
            </w: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1"/>
              <w:spacing w:after="0"/>
              <w:rPr>
                <w:sz w:val="20"/>
                <w:szCs w:val="20"/>
                <w:color w:val="auto"/>
              </w:rPr>
            </w:pPr>
            <w:r>
              <w:rPr>
                <w:rFonts w:ascii="Arial" w:cs="Arial" w:eastAsia="Arial" w:hAnsi="Arial"/>
                <w:sz w:val="8"/>
                <w:szCs w:val="8"/>
                <w:b w:val="1"/>
                <w:bCs w:val="1"/>
                <w:color w:val="auto"/>
              </w:rPr>
              <w:t>4,774,283</w:t>
            </w: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1640" w:type="dxa"/>
            <w:vAlign w:val="bottom"/>
          </w:tcPr>
          <w:p>
            <w:pPr>
              <w:jc w:val="right"/>
              <w:ind w:right="181"/>
              <w:spacing w:after="0"/>
              <w:rPr>
                <w:sz w:val="20"/>
                <w:szCs w:val="20"/>
                <w:color w:val="auto"/>
              </w:rPr>
            </w:pPr>
            <w:r>
              <w:rPr>
                <w:rFonts w:ascii="Arial" w:cs="Arial" w:eastAsia="Arial" w:hAnsi="Arial"/>
                <w:sz w:val="8"/>
                <w:szCs w:val="8"/>
                <w:color w:val="auto"/>
              </w:rPr>
              <w:t>Debt related to assets held for sale</w:t>
            </w:r>
          </w:p>
        </w:tc>
        <w:tc>
          <w:tcPr>
            <w:tcW w:w="14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8"/>
                <w:szCs w:val="8"/>
                <w:color w:val="auto"/>
              </w:rPr>
              <w:t>(190,148)</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380" w:type="dxa"/>
            <w:vAlign w:val="bottom"/>
          </w:tcPr>
          <w:p>
            <w:pPr>
              <w:spacing w:after="0"/>
              <w:rPr>
                <w:sz w:val="10"/>
                <w:szCs w:val="10"/>
                <w:color w:val="auto"/>
              </w:rPr>
            </w:pPr>
          </w:p>
        </w:tc>
        <w:tc>
          <w:tcPr>
            <w:tcW w:w="1640" w:type="dxa"/>
            <w:vAlign w:val="bottom"/>
          </w:tcPr>
          <w:p>
            <w:pPr>
              <w:jc w:val="right"/>
              <w:ind w:right="181"/>
              <w:spacing w:after="0"/>
              <w:rPr>
                <w:sz w:val="20"/>
                <w:szCs w:val="20"/>
                <w:color w:val="auto"/>
              </w:rPr>
            </w:pPr>
            <w:r>
              <w:rPr>
                <w:rFonts w:ascii="Arial" w:cs="Arial" w:eastAsia="Arial" w:hAnsi="Arial"/>
                <w:sz w:val="8"/>
                <w:szCs w:val="8"/>
                <w:color w:val="auto"/>
              </w:rPr>
              <w:t>Deferred financing costs</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rPr>
              <w:t>(35,673)</w:t>
            </w:r>
          </w:p>
        </w:tc>
        <w:tc>
          <w:tcPr>
            <w:tcW w:w="22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1640" w:type="dxa"/>
            <w:vAlign w:val="bottom"/>
          </w:tcPr>
          <w:p>
            <w:pPr>
              <w:jc w:val="right"/>
              <w:ind w:right="181"/>
              <w:spacing w:after="0"/>
              <w:rPr>
                <w:sz w:val="20"/>
                <w:szCs w:val="20"/>
                <w:color w:val="auto"/>
              </w:rPr>
            </w:pPr>
            <w:r>
              <w:rPr>
                <w:rFonts w:ascii="Arial" w:cs="Arial" w:eastAsia="Arial" w:hAnsi="Arial"/>
                <w:sz w:val="8"/>
                <w:szCs w:val="8"/>
                <w:b w:val="1"/>
                <w:bCs w:val="1"/>
                <w:color w:val="auto"/>
              </w:rPr>
              <w:t>Total Debt - Consolidated, net</w:t>
            </w: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4,548,462</w:t>
            </w:r>
          </w:p>
        </w:tc>
        <w:tc>
          <w:tcPr>
            <w:tcW w:w="22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5.44%</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380" w:type="dxa"/>
            <w:vAlign w:val="bottom"/>
          </w:tcPr>
          <w:p>
            <w:pPr>
              <w:spacing w:after="0"/>
              <w:rPr>
                <w:sz w:val="13"/>
                <w:szCs w:val="13"/>
                <w:color w:val="auto"/>
              </w:rPr>
            </w:pPr>
          </w:p>
        </w:tc>
        <w:tc>
          <w:tcPr>
            <w:tcW w:w="1640" w:type="dxa"/>
            <w:vAlign w:val="bottom"/>
          </w:tcPr>
          <w:p>
            <w:pPr>
              <w:jc w:val="right"/>
              <w:ind w:right="181"/>
              <w:spacing w:after="0"/>
              <w:rPr>
                <w:sz w:val="20"/>
                <w:szCs w:val="20"/>
                <w:color w:val="auto"/>
              </w:rPr>
            </w:pPr>
            <w:r>
              <w:rPr>
                <w:rFonts w:ascii="Arial" w:cs="Arial" w:eastAsia="Arial" w:hAnsi="Arial"/>
                <w:sz w:val="8"/>
                <w:szCs w:val="8"/>
                <w:b w:val="1"/>
                <w:bCs w:val="1"/>
                <w:color w:val="auto"/>
              </w:rPr>
              <w:t>Total Debt - Unconsolidated JV, net</w:t>
            </w: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5,944,078</w:t>
            </w:r>
          </w:p>
        </w:tc>
        <w:tc>
          <w:tcPr>
            <w:tcW w:w="220" w:type="dxa"/>
            <w:vAlign w:val="bottom"/>
          </w:tcPr>
          <w:p>
            <w:pPr>
              <w:spacing w:after="0"/>
              <w:rPr>
                <w:sz w:val="13"/>
                <w:szCs w:val="13"/>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4.62%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3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380" w:type="dxa"/>
            <w:vAlign w:val="bottom"/>
            <w:tcBorders>
              <w:left w:val="single" w:sz="8" w:color="auto"/>
            </w:tcBorders>
          </w:tcPr>
          <w:p>
            <w:pPr>
              <w:spacing w:after="0"/>
              <w:rPr>
                <w:sz w:val="8"/>
                <w:szCs w:val="8"/>
                <w:color w:val="auto"/>
              </w:rPr>
            </w:pPr>
          </w:p>
        </w:tc>
        <w:tc>
          <w:tcPr>
            <w:tcW w:w="1640" w:type="dxa"/>
            <w:vAlign w:val="bottom"/>
          </w:tcPr>
          <w:p>
            <w:pPr>
              <w:jc w:val="right"/>
              <w:ind w:right="181"/>
              <w:spacing w:after="0"/>
              <w:rPr>
                <w:sz w:val="20"/>
                <w:szCs w:val="20"/>
                <w:color w:val="auto"/>
              </w:rPr>
            </w:pPr>
            <w:r>
              <w:rPr>
                <w:rFonts w:ascii="Arial" w:cs="Arial" w:eastAsia="Arial" w:hAnsi="Arial"/>
                <w:sz w:val="8"/>
                <w:szCs w:val="8"/>
                <w:b w:val="1"/>
                <w:bCs w:val="1"/>
                <w:color w:val="auto"/>
              </w:rPr>
              <w:t>Debt including SLG share of JV Debt</w:t>
            </w: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10,293,263</w:t>
            </w:r>
          </w:p>
        </w:tc>
        <w:tc>
          <w:tcPr>
            <w:tcW w:w="220" w:type="dxa"/>
            <w:vAlign w:val="bottom"/>
          </w:tcPr>
          <w:p>
            <w:pPr>
              <w:spacing w:after="0"/>
              <w:rPr>
                <w:sz w:val="8"/>
                <w:szCs w:val="8"/>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4.90%</w:t>
            </w:r>
          </w:p>
        </w:tc>
        <w:tc>
          <w:tcPr>
            <w:tcW w:w="2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020" w:type="dxa"/>
            <w:vAlign w:val="bottom"/>
            <w:tcBorders>
              <w:left w:val="single" w:sz="8" w:color="auto"/>
            </w:tcBorders>
            <w:gridSpan w:val="2"/>
          </w:tcPr>
          <w:p>
            <w:pPr>
              <w:jc w:val="right"/>
              <w:ind w:right="181"/>
              <w:spacing w:after="0"/>
              <w:rPr>
                <w:sz w:val="20"/>
                <w:szCs w:val="20"/>
                <w:color w:val="auto"/>
              </w:rPr>
            </w:pPr>
            <w:r>
              <w:rPr>
                <w:rFonts w:ascii="Arial" w:cs="Arial" w:eastAsia="Arial" w:hAnsi="Arial"/>
                <w:sz w:val="8"/>
                <w:szCs w:val="8"/>
                <w:b w:val="1"/>
                <w:bCs w:val="1"/>
                <w:color w:val="auto"/>
              </w:rPr>
              <w:t>Alternative Strategy Portfolio Debt including SLG share of JV Debt</w:t>
            </w:r>
          </w:p>
        </w:tc>
        <w:tc>
          <w:tcPr>
            <w:tcW w:w="140" w:type="dxa"/>
            <w:vAlign w:val="bottom"/>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Pr>
          <w:p>
            <w:pPr>
              <w:jc w:val="right"/>
              <w:ind w:right="21"/>
              <w:spacing w:after="0"/>
              <w:rPr>
                <w:sz w:val="20"/>
                <w:szCs w:val="20"/>
                <w:color w:val="auto"/>
              </w:rPr>
            </w:pPr>
            <w:r>
              <w:rPr>
                <w:rFonts w:ascii="Arial" w:cs="Arial" w:eastAsia="Arial" w:hAnsi="Arial"/>
                <w:sz w:val="8"/>
                <w:szCs w:val="8"/>
                <w:b w:val="1"/>
                <w:bCs w:val="1"/>
                <w:color w:val="auto"/>
              </w:rPr>
              <w:t>478,431</w:t>
            </w:r>
          </w:p>
        </w:tc>
        <w:tc>
          <w:tcPr>
            <w:tcW w:w="22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4.65%</w:t>
            </w:r>
          </w:p>
        </w:tc>
        <w:tc>
          <w:tcPr>
            <w:tcW w:w="2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20" w:type="dxa"/>
            <w:vAlign w:val="bottom"/>
            <w:tcBorders>
              <w:left w:val="single" w:sz="8" w:color="auto"/>
              <w:bottom w:val="single" w:sz="8" w:color="auto"/>
            </w:tcBorders>
            <w:gridSpan w:val="2"/>
          </w:tcPr>
          <w:p>
            <w:pPr>
              <w:jc w:val="right"/>
              <w:ind w:right="181"/>
              <w:spacing w:after="0"/>
              <w:rPr>
                <w:sz w:val="20"/>
                <w:szCs w:val="20"/>
                <w:color w:val="auto"/>
              </w:rPr>
            </w:pPr>
            <w:r>
              <w:rPr>
                <w:rFonts w:ascii="Arial" w:cs="Arial" w:eastAsia="Arial" w:hAnsi="Arial"/>
                <w:sz w:val="8"/>
                <w:szCs w:val="8"/>
                <w:b w:val="1"/>
                <w:bCs w:val="1"/>
                <w:color w:val="auto"/>
              </w:rPr>
              <w:t>Total Debt including SLG share of JV Debt</w:t>
            </w:r>
          </w:p>
        </w:tc>
        <w:tc>
          <w:tcPr>
            <w:tcW w:w="14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10,771,694</w:t>
            </w:r>
          </w:p>
        </w:tc>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rPr>
              <w:t>4.89%</w:t>
            </w:r>
          </w:p>
        </w:tc>
        <w:tc>
          <w:tcPr>
            <w:tcW w:w="280" w:type="dxa"/>
            <w:vAlign w:val="bottom"/>
            <w:tcBorders>
              <w:bottom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3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020" w:type="dxa"/>
            <w:vAlign w:val="bottom"/>
            <w:tcBorders>
              <w:left w:val="single" w:sz="8" w:color="auto"/>
              <w:bottom w:val="single" w:sz="8" w:color="auto"/>
            </w:tcBorders>
            <w:gridSpan w:val="2"/>
          </w:tcPr>
          <w:p>
            <w:pPr>
              <w:jc w:val="right"/>
              <w:ind w:right="181"/>
              <w:spacing w:after="0"/>
              <w:rPr>
                <w:sz w:val="20"/>
                <w:szCs w:val="20"/>
                <w:color w:val="auto"/>
              </w:rPr>
            </w:pPr>
            <w:r>
              <w:rPr>
                <w:rFonts w:ascii="Arial" w:cs="Arial" w:eastAsia="Arial" w:hAnsi="Arial"/>
                <w:sz w:val="8"/>
                <w:szCs w:val="8"/>
                <w:b w:val="1"/>
                <w:bCs w:val="1"/>
                <w:color w:val="auto"/>
              </w:rPr>
              <w:t>Weighted Average Balance &amp; Interest Rate for the quarter, including SLG share of JV Debt</w:t>
            </w:r>
          </w:p>
        </w:tc>
        <w:tc>
          <w:tcPr>
            <w:tcW w:w="14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w w:val="88"/>
              </w:rPr>
              <w:t>$</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10,597,140</w:t>
            </w:r>
          </w:p>
        </w:tc>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rPr>
              <w:t>4.88%</w:t>
            </w:r>
          </w:p>
        </w:tc>
        <w:tc>
          <w:tcPr>
            <w:tcW w:w="280" w:type="dxa"/>
            <w:vAlign w:val="bottom"/>
            <w:tcBorders>
              <w:bottom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220" w:right="100" w:hanging="122"/>
        <w:spacing w:after="0" w:line="301" w:lineRule="auto"/>
        <w:tabs>
          <w:tab w:leader="none" w:pos="1210" w:val="left"/>
        </w:tabs>
        <w:numPr>
          <w:ilvl w:val="0"/>
          <w:numId w:val="15"/>
        </w:numPr>
        <w:rPr>
          <w:rFonts w:ascii="Arial" w:cs="Arial" w:eastAsia="Arial" w:hAnsi="Arial"/>
          <w:sz w:val="7"/>
          <w:szCs w:val="7"/>
          <w:color w:val="auto"/>
        </w:rPr>
      </w:pPr>
      <w:r>
        <w:rPr>
          <w:rFonts w:ascii="Arial" w:cs="Arial" w:eastAsia="Arial" w:hAnsi="Arial"/>
          <w:sz w:val="7"/>
          <w:szCs w:val="7"/>
          <w:color w:val="auto"/>
        </w:rPr>
        <w:t>Coupon for floating rate debt determined using the effective Term SOFR rate at the end of the quarter of 3.66%. Coupon for loans that are subject to alternative SOFR rates, SOFR floors, interest rate caps or interest rate swaps were determined using the alternative SOFR rates, SOFR floors, interest rate cap strike rate, or swapped interest rate plus the applicable loan spread.</w:t>
      </w:r>
    </w:p>
    <w:p>
      <w:pPr>
        <w:spacing w:after="0" w:line="24" w:lineRule="exact"/>
        <w:rPr>
          <w:rFonts w:ascii="Arial" w:cs="Arial" w:eastAsia="Arial" w:hAnsi="Arial"/>
          <w:sz w:val="7"/>
          <w:szCs w:val="7"/>
          <w:color w:val="auto"/>
        </w:rPr>
      </w:pPr>
    </w:p>
    <w:p>
      <w:pPr>
        <w:ind w:left="1200" w:hanging="102"/>
        <w:spacing w:after="0"/>
        <w:tabs>
          <w:tab w:leader="none" w:pos="1200" w:val="left"/>
        </w:tabs>
        <w:numPr>
          <w:ilvl w:val="0"/>
          <w:numId w:val="15"/>
        </w:numPr>
        <w:rPr>
          <w:rFonts w:ascii="Arial" w:cs="Arial" w:eastAsia="Arial" w:hAnsi="Arial"/>
          <w:sz w:val="7"/>
          <w:szCs w:val="7"/>
          <w:color w:val="auto"/>
        </w:rPr>
      </w:pPr>
      <w:r>
        <w:rPr>
          <w:rFonts w:ascii="Arial" w:cs="Arial" w:eastAsia="Arial" w:hAnsi="Arial"/>
          <w:sz w:val="7"/>
          <w:szCs w:val="7"/>
          <w:color w:val="auto"/>
        </w:rPr>
        <w:t>Reflects exercise of all available extension options, which may be subject to conditions and/or result in adjusted terms.</w:t>
      </w:r>
    </w:p>
    <w:p>
      <w:pPr>
        <w:spacing w:after="0" w:line="47" w:lineRule="exact"/>
        <w:rPr>
          <w:rFonts w:ascii="Arial" w:cs="Arial" w:eastAsia="Arial" w:hAnsi="Arial"/>
          <w:sz w:val="7"/>
          <w:szCs w:val="7"/>
          <w:color w:val="auto"/>
        </w:rPr>
      </w:pPr>
    </w:p>
    <w:p>
      <w:pPr>
        <w:ind w:left="1200" w:hanging="102"/>
        <w:spacing w:after="0"/>
        <w:tabs>
          <w:tab w:leader="none" w:pos="1200" w:val="left"/>
        </w:tabs>
        <w:numPr>
          <w:ilvl w:val="0"/>
          <w:numId w:val="15"/>
        </w:numPr>
        <w:rPr>
          <w:rFonts w:ascii="Arial" w:cs="Arial" w:eastAsia="Arial" w:hAnsi="Arial"/>
          <w:sz w:val="7"/>
          <w:szCs w:val="7"/>
          <w:color w:val="auto"/>
        </w:rPr>
      </w:pPr>
      <w:r>
        <w:rPr>
          <w:rFonts w:ascii="Arial" w:cs="Arial" w:eastAsia="Arial" w:hAnsi="Arial"/>
          <w:sz w:val="7"/>
          <w:szCs w:val="7"/>
          <w:color w:val="auto"/>
        </w:rPr>
        <w:t>As-of-right extension.</w:t>
      </w:r>
    </w:p>
    <w:p>
      <w:pPr>
        <w:spacing w:after="0" w:line="47" w:lineRule="exact"/>
        <w:rPr>
          <w:rFonts w:ascii="Arial" w:cs="Arial" w:eastAsia="Arial" w:hAnsi="Arial"/>
          <w:sz w:val="7"/>
          <w:szCs w:val="7"/>
          <w:color w:val="auto"/>
        </w:rPr>
      </w:pPr>
    </w:p>
    <w:p>
      <w:pPr>
        <w:ind w:left="1200" w:hanging="102"/>
        <w:spacing w:after="0"/>
        <w:tabs>
          <w:tab w:leader="none" w:pos="1200" w:val="left"/>
        </w:tabs>
        <w:numPr>
          <w:ilvl w:val="0"/>
          <w:numId w:val="15"/>
        </w:numPr>
        <w:rPr>
          <w:rFonts w:ascii="Arial" w:cs="Arial" w:eastAsia="Arial" w:hAnsi="Arial"/>
          <w:sz w:val="7"/>
          <w:szCs w:val="7"/>
          <w:color w:val="auto"/>
        </w:rPr>
      </w:pPr>
      <w:r>
        <w:rPr>
          <w:rFonts w:ascii="Arial" w:cs="Arial" w:eastAsia="Arial" w:hAnsi="Arial"/>
          <w:sz w:val="7"/>
          <w:szCs w:val="7"/>
          <w:color w:val="auto"/>
        </w:rPr>
        <w:t>This property is held for sale as of March 31, 2026.</w:t>
      </w:r>
    </w:p>
    <w:p>
      <w:pPr>
        <w:spacing w:after="0" w:line="47" w:lineRule="exact"/>
        <w:rPr>
          <w:rFonts w:ascii="Arial" w:cs="Arial" w:eastAsia="Arial" w:hAnsi="Arial"/>
          <w:sz w:val="7"/>
          <w:szCs w:val="7"/>
          <w:color w:val="auto"/>
        </w:rPr>
      </w:pPr>
    </w:p>
    <w:p>
      <w:pPr>
        <w:ind w:left="1200" w:hanging="102"/>
        <w:spacing w:after="0"/>
        <w:tabs>
          <w:tab w:leader="none" w:pos="1200" w:val="left"/>
        </w:tabs>
        <w:numPr>
          <w:ilvl w:val="0"/>
          <w:numId w:val="15"/>
        </w:numPr>
        <w:rPr>
          <w:rFonts w:ascii="Arial" w:cs="Arial" w:eastAsia="Arial" w:hAnsi="Arial"/>
          <w:sz w:val="7"/>
          <w:szCs w:val="7"/>
          <w:color w:val="auto"/>
        </w:rPr>
      </w:pPr>
      <w:r>
        <w:rPr>
          <w:rFonts w:ascii="Arial" w:cs="Arial" w:eastAsia="Arial" w:hAnsi="Arial"/>
          <w:sz w:val="7"/>
          <w:szCs w:val="7"/>
          <w:color w:val="auto"/>
        </w:rPr>
        <w:t>The Company has a preferred equity investment in this property. The debt is consolidated for accounting purposes.</w:t>
      </w:r>
    </w:p>
    <w:p>
      <w:pPr>
        <w:spacing w:after="0" w:line="47" w:lineRule="exact"/>
        <w:rPr>
          <w:rFonts w:ascii="Arial" w:cs="Arial" w:eastAsia="Arial" w:hAnsi="Arial"/>
          <w:sz w:val="7"/>
          <w:szCs w:val="7"/>
          <w:color w:val="auto"/>
        </w:rPr>
      </w:pPr>
    </w:p>
    <w:p>
      <w:pPr>
        <w:ind w:left="1200" w:hanging="102"/>
        <w:spacing w:after="0"/>
        <w:tabs>
          <w:tab w:leader="none" w:pos="1200" w:val="left"/>
        </w:tabs>
        <w:numPr>
          <w:ilvl w:val="0"/>
          <w:numId w:val="15"/>
        </w:numPr>
        <w:rPr>
          <w:rFonts w:ascii="Arial" w:cs="Arial" w:eastAsia="Arial" w:hAnsi="Arial"/>
          <w:sz w:val="7"/>
          <w:szCs w:val="7"/>
          <w:color w:val="auto"/>
        </w:rPr>
      </w:pPr>
      <w:r>
        <w:rPr>
          <w:rFonts w:ascii="Arial" w:cs="Arial" w:eastAsia="Arial" w:hAnsi="Arial"/>
          <w:sz w:val="7"/>
          <w:szCs w:val="7"/>
          <w:color w:val="auto"/>
        </w:rPr>
        <w:t>Represents a blended swapped rate inclusive of multiple swaps.</w:t>
      </w:r>
    </w:p>
    <w:p>
      <w:pPr>
        <w:spacing w:after="0" w:line="47" w:lineRule="exact"/>
        <w:rPr>
          <w:rFonts w:ascii="Arial" w:cs="Arial" w:eastAsia="Arial" w:hAnsi="Arial"/>
          <w:sz w:val="7"/>
          <w:szCs w:val="7"/>
          <w:color w:val="auto"/>
        </w:rPr>
      </w:pPr>
    </w:p>
    <w:p>
      <w:pPr>
        <w:ind w:left="1220" w:right="400" w:hanging="122"/>
        <w:spacing w:after="0" w:line="301" w:lineRule="auto"/>
        <w:tabs>
          <w:tab w:leader="none" w:pos="1210" w:val="left"/>
        </w:tabs>
        <w:numPr>
          <w:ilvl w:val="0"/>
          <w:numId w:val="15"/>
        </w:numPr>
        <w:rPr>
          <w:rFonts w:ascii="Arial" w:cs="Arial" w:eastAsia="Arial" w:hAnsi="Arial"/>
          <w:sz w:val="7"/>
          <w:szCs w:val="7"/>
          <w:color w:val="auto"/>
        </w:rPr>
      </w:pPr>
      <w:r>
        <w:rPr>
          <w:rFonts w:ascii="Arial" w:cs="Arial" w:eastAsia="Arial" w:hAnsi="Arial"/>
          <w:sz w:val="7"/>
          <w:szCs w:val="7"/>
          <w:color w:val="auto"/>
        </w:rPr>
        <w:t>The Fund has access to a subscription line of credit with a maximum commitment of $200 million as of March 31, 2026, secured by investor capital commitments. The facility is used to fund acquisitions prior to capital calls and is repaid through capital contributions. The subscription line of credit is non-recourse to the Company.</w:t>
      </w:r>
    </w:p>
    <w:p>
      <w:pPr>
        <w:spacing w:after="0" w:line="349" w:lineRule="exact"/>
        <w:rPr>
          <w:sz w:val="20"/>
          <w:szCs w:val="20"/>
          <w:color w:val="auto"/>
        </w:rPr>
      </w:pPr>
    </w:p>
    <w:p>
      <w:pPr>
        <w:ind w:left="1100"/>
        <w:spacing w:after="0"/>
        <w:tabs>
          <w:tab w:leader="none" w:pos="5540" w:val="left"/>
          <w:tab w:leader="none" w:pos="938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23</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0160"/>
          </w:cols>
          <w:pgMar w:left="320" w:top="229" w:right="141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DEBT SUMMARY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Unconsolidated JVs</w:t>
      </w:r>
    </w:p>
    <w:p>
      <w:pPr>
        <w:spacing w:after="0" w:line="227"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07"/>
        </w:trPr>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5"/>
          </w:tcPr>
          <w:p>
            <w:pPr>
              <w:ind w:left="340"/>
              <w:spacing w:after="0"/>
              <w:rPr>
                <w:sz w:val="20"/>
                <w:szCs w:val="20"/>
                <w:color w:val="auto"/>
              </w:rPr>
            </w:pPr>
            <w:r>
              <w:rPr>
                <w:rFonts w:ascii="Arial" w:cs="Arial" w:eastAsia="Arial" w:hAnsi="Arial"/>
                <w:sz w:val="8"/>
                <w:szCs w:val="8"/>
                <w:b w:val="1"/>
                <w:bCs w:val="1"/>
                <w:color w:val="auto"/>
              </w:rPr>
              <w:t>Principal Outstanding</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2026 Principal</w:t>
            </w:r>
          </w:p>
        </w:tc>
        <w:tc>
          <w:tcPr>
            <w:tcW w:w="1100" w:type="dxa"/>
            <w:vAlign w:val="bottom"/>
          </w:tcPr>
          <w:p>
            <w:pPr>
              <w:jc w:val="right"/>
              <w:ind w:right="281"/>
              <w:spacing w:after="0"/>
              <w:rPr>
                <w:sz w:val="20"/>
                <w:szCs w:val="20"/>
                <w:color w:val="auto"/>
              </w:rPr>
            </w:pPr>
            <w:r>
              <w:rPr>
                <w:rFonts w:ascii="Arial" w:cs="Arial" w:eastAsia="Arial" w:hAnsi="Arial"/>
                <w:sz w:val="8"/>
                <w:szCs w:val="8"/>
                <w:b w:val="1"/>
                <w:bCs w:val="1"/>
                <w:color w:val="auto"/>
              </w:rPr>
              <w:t>Current</w:t>
            </w:r>
          </w:p>
        </w:tc>
        <w:tc>
          <w:tcPr>
            <w:tcW w:w="780" w:type="dxa"/>
            <w:vAlign w:val="bottom"/>
          </w:tcPr>
          <w:p>
            <w:pPr>
              <w:jc w:val="right"/>
              <w:ind w:right="221"/>
              <w:spacing w:after="0"/>
              <w:rPr>
                <w:sz w:val="20"/>
                <w:szCs w:val="20"/>
                <w:color w:val="auto"/>
              </w:rPr>
            </w:pPr>
            <w:r>
              <w:rPr>
                <w:rFonts w:ascii="Arial" w:cs="Arial" w:eastAsia="Arial" w:hAnsi="Arial"/>
                <w:sz w:val="8"/>
                <w:szCs w:val="8"/>
                <w:b w:val="1"/>
                <w:bCs w:val="1"/>
                <w:color w:val="auto"/>
              </w:rPr>
              <w:t>Final</w:t>
            </w: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w w:val="99"/>
              </w:rPr>
              <w:t>Principal Due at</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tcPr>
          <w:p>
            <w:pPr>
              <w:jc w:val="right"/>
              <w:ind w:right="181"/>
              <w:spacing w:after="0"/>
              <w:rPr>
                <w:sz w:val="20"/>
                <w:szCs w:val="20"/>
                <w:color w:val="auto"/>
              </w:rPr>
            </w:pPr>
            <w:r>
              <w:rPr>
                <w:rFonts w:ascii="Arial" w:cs="Arial" w:eastAsia="Arial" w:hAnsi="Arial"/>
                <w:sz w:val="8"/>
                <w:szCs w:val="8"/>
                <w:b w:val="1"/>
                <w:bCs w:val="1"/>
                <w:color w:val="auto"/>
              </w:rPr>
              <w:t>Ownership</w:t>
            </w:r>
          </w:p>
        </w:tc>
        <w:tc>
          <w:tcPr>
            <w:tcW w:w="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8"/>
                <w:szCs w:val="8"/>
                <w:b w:val="1"/>
                <w:bCs w:val="1"/>
                <w:color w:val="auto"/>
              </w:rPr>
              <w:t>3/31/2026</w:t>
            </w: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Amortization</w:t>
            </w:r>
          </w:p>
        </w:tc>
        <w:tc>
          <w:tcPr>
            <w:tcW w:w="1100" w:type="dxa"/>
            <w:vAlign w:val="bottom"/>
          </w:tcPr>
          <w:p>
            <w:pPr>
              <w:jc w:val="right"/>
              <w:ind w:right="281"/>
              <w:spacing w:after="0"/>
              <w:rPr>
                <w:sz w:val="20"/>
                <w:szCs w:val="20"/>
                <w:color w:val="auto"/>
              </w:rPr>
            </w:pPr>
            <w:r>
              <w:rPr>
                <w:rFonts w:ascii="Arial" w:cs="Arial" w:eastAsia="Arial" w:hAnsi="Arial"/>
                <w:sz w:val="8"/>
                <w:szCs w:val="8"/>
                <w:b w:val="1"/>
                <w:bCs w:val="1"/>
                <w:color w:val="auto"/>
              </w:rPr>
              <w:t>Maturity</w:t>
            </w:r>
          </w:p>
        </w:tc>
        <w:tc>
          <w:tcPr>
            <w:tcW w:w="780" w:type="dxa"/>
            <w:vAlign w:val="bottom"/>
          </w:tcPr>
          <w:p>
            <w:pPr>
              <w:jc w:val="right"/>
              <w:ind w:right="221"/>
              <w:spacing w:after="0"/>
              <w:rPr>
                <w:sz w:val="20"/>
                <w:szCs w:val="20"/>
                <w:color w:val="auto"/>
              </w:rPr>
            </w:pPr>
            <w:r>
              <w:rPr>
                <w:rFonts w:ascii="Arial" w:cs="Arial" w:eastAsia="Arial" w:hAnsi="Arial"/>
                <w:sz w:val="8"/>
                <w:szCs w:val="8"/>
                <w:b w:val="1"/>
                <w:bCs w:val="1"/>
                <w:color w:val="auto"/>
              </w:rPr>
              <w:t>Maturity</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Final Maturity</w:t>
            </w:r>
          </w:p>
        </w:tc>
        <w:tc>
          <w:tcPr>
            <w:tcW w:w="0" w:type="dxa"/>
            <w:vAlign w:val="bottom"/>
          </w:tcPr>
          <w:p>
            <w:pPr>
              <w:spacing w:after="0"/>
              <w:rPr>
                <w:sz w:val="1"/>
                <w:szCs w:val="1"/>
                <w:color w:val="auto"/>
              </w:rPr>
            </w:pPr>
          </w:p>
        </w:tc>
      </w:tr>
      <w:tr>
        <w:trPr>
          <w:trHeight w:val="113"/>
        </w:trPr>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8"/>
                <w:szCs w:val="8"/>
                <w:b w:val="1"/>
                <w:bCs w:val="1"/>
                <w:color w:val="auto"/>
              </w:rPr>
              <w:t>Fixed rate debt</w:t>
            </w:r>
          </w:p>
        </w:tc>
        <w:tc>
          <w:tcPr>
            <w:tcW w:w="1580" w:type="dxa"/>
            <w:vAlign w:val="bottom"/>
            <w:tcBorders>
              <w:bottom w:val="single" w:sz="8" w:color="auto"/>
            </w:tcBorders>
          </w:tcPr>
          <w:p>
            <w:pPr>
              <w:jc w:val="right"/>
              <w:ind w:right="181"/>
              <w:spacing w:after="0"/>
              <w:rPr>
                <w:sz w:val="20"/>
                <w:szCs w:val="20"/>
                <w:color w:val="auto"/>
              </w:rPr>
            </w:pPr>
            <w:r>
              <w:rPr>
                <w:rFonts w:ascii="Arial" w:cs="Arial" w:eastAsia="Arial" w:hAnsi="Arial"/>
                <w:sz w:val="8"/>
                <w:szCs w:val="8"/>
                <w:b w:val="1"/>
                <w:bCs w:val="1"/>
                <w:color w:val="auto"/>
              </w:rPr>
              <w:t>Interest (%)</w:t>
            </w:r>
          </w:p>
        </w:tc>
        <w:tc>
          <w:tcPr>
            <w:tcW w:w="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8"/>
                <w:szCs w:val="8"/>
                <w:b w:val="1"/>
                <w:bCs w:val="1"/>
                <w:color w:val="auto"/>
              </w:rPr>
              <w:t>Gross Principal</w:t>
            </w: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SLG Share</w:t>
            </w: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Coupon (1)</w:t>
            </w: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(SLG Share)</w:t>
            </w: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8"/>
                <w:szCs w:val="8"/>
                <w:b w:val="1"/>
                <w:bCs w:val="1"/>
                <w:color w:val="auto"/>
              </w:rPr>
              <w:t>Date</w:t>
            </w: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8"/>
                <w:szCs w:val="8"/>
                <w:b w:val="1"/>
                <w:bCs w:val="1"/>
                <w:color w:val="auto"/>
              </w:rPr>
              <w:t>Date (2)</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(SLG Share)</w:t>
            </w:r>
          </w:p>
        </w:tc>
        <w:tc>
          <w:tcPr>
            <w:tcW w:w="0" w:type="dxa"/>
            <w:vAlign w:val="bottom"/>
          </w:tcPr>
          <w:p>
            <w:pPr>
              <w:spacing w:after="0"/>
              <w:rPr>
                <w:sz w:val="1"/>
                <w:szCs w:val="1"/>
                <w:color w:val="auto"/>
              </w:rPr>
            </w:pPr>
          </w:p>
        </w:tc>
      </w:tr>
      <w:tr>
        <w:trPr>
          <w:trHeight w:val="98"/>
        </w:trPr>
        <w:tc>
          <w:tcPr>
            <w:tcW w:w="320" w:type="dxa"/>
            <w:vAlign w:val="bottom"/>
            <w:gridSpan w:val="2"/>
          </w:tcPr>
          <w:p>
            <w:pPr>
              <w:ind w:left="180"/>
              <w:spacing w:after="0"/>
              <w:rPr>
                <w:sz w:val="20"/>
                <w:szCs w:val="20"/>
                <w:color w:val="auto"/>
              </w:rPr>
            </w:pPr>
            <w:r>
              <w:rPr>
                <w:rFonts w:ascii="Arial" w:cs="Arial" w:eastAsia="Arial" w:hAnsi="Arial"/>
                <w:sz w:val="8"/>
                <w:szCs w:val="8"/>
                <w:color w:val="auto"/>
                <w:w w:val="89"/>
              </w:rPr>
              <w:t>450</w:t>
            </w:r>
          </w:p>
        </w:tc>
        <w:tc>
          <w:tcPr>
            <w:tcW w:w="1260" w:type="dxa"/>
            <w:vAlign w:val="bottom"/>
            <w:gridSpan w:val="2"/>
          </w:tcPr>
          <w:p>
            <w:pPr>
              <w:spacing w:after="0"/>
              <w:rPr>
                <w:sz w:val="20"/>
                <w:szCs w:val="20"/>
                <w:color w:val="auto"/>
              </w:rPr>
            </w:pPr>
            <w:r>
              <w:rPr>
                <w:rFonts w:ascii="Arial" w:cs="Arial" w:eastAsia="Arial" w:hAnsi="Arial"/>
                <w:sz w:val="8"/>
                <w:szCs w:val="8"/>
                <w:color w:val="auto"/>
              </w:rPr>
              <w:t>Park Avenue (swapped)</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25.1</w:t>
            </w: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290,435</w:t>
            </w:r>
          </w:p>
        </w:tc>
        <w:tc>
          <w:tcPr>
            <w:tcW w:w="200" w:type="dxa"/>
            <w:vAlign w:val="bottom"/>
          </w:tcPr>
          <w:p>
            <w:pPr>
              <w:spacing w:after="0"/>
              <w:rPr>
                <w:sz w:val="8"/>
                <w:szCs w:val="8"/>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72,899</w:t>
            </w:r>
          </w:p>
        </w:tc>
        <w:tc>
          <w:tcPr>
            <w:tcW w:w="200" w:type="dxa"/>
            <w:vAlign w:val="bottom"/>
          </w:tcPr>
          <w:p>
            <w:pPr>
              <w:spacing w:after="0"/>
              <w:rPr>
                <w:sz w:val="8"/>
                <w:szCs w:val="8"/>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6.57%</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(3)</w:t>
            </w: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Jun-26</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Jun-27</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72,899</w:t>
            </w:r>
          </w:p>
        </w:tc>
        <w:tc>
          <w:tcPr>
            <w:tcW w:w="0" w:type="dxa"/>
            <w:vAlign w:val="bottom"/>
          </w:tcPr>
          <w:p>
            <w:pPr>
              <w:spacing w:after="0"/>
              <w:rPr>
                <w:sz w:val="1"/>
                <w:szCs w:val="1"/>
                <w:color w:val="auto"/>
              </w:rPr>
            </w:pPr>
          </w:p>
        </w:tc>
      </w:tr>
      <w:tr>
        <w:trPr>
          <w:trHeight w:val="118"/>
        </w:trPr>
        <w:tc>
          <w:tcPr>
            <w:tcW w:w="320" w:type="dxa"/>
            <w:vAlign w:val="bottom"/>
            <w:gridSpan w:val="2"/>
          </w:tcPr>
          <w:p>
            <w:pPr>
              <w:ind w:left="180"/>
              <w:spacing w:after="0"/>
              <w:rPr>
                <w:sz w:val="20"/>
                <w:szCs w:val="20"/>
                <w:color w:val="auto"/>
              </w:rPr>
            </w:pPr>
            <w:r>
              <w:rPr>
                <w:rFonts w:ascii="Arial" w:cs="Arial" w:eastAsia="Arial" w:hAnsi="Arial"/>
                <w:sz w:val="8"/>
                <w:szCs w:val="8"/>
                <w:color w:val="auto"/>
                <w:w w:val="89"/>
              </w:rPr>
              <w:t>280</w:t>
            </w:r>
          </w:p>
        </w:tc>
        <w:tc>
          <w:tcPr>
            <w:tcW w:w="1260" w:type="dxa"/>
            <w:vAlign w:val="bottom"/>
            <w:gridSpan w:val="2"/>
          </w:tcPr>
          <w:p>
            <w:pPr>
              <w:spacing w:after="0"/>
              <w:rPr>
                <w:sz w:val="20"/>
                <w:szCs w:val="20"/>
                <w:color w:val="auto"/>
              </w:rPr>
            </w:pPr>
            <w:r>
              <w:rPr>
                <w:rFonts w:ascii="Arial" w:cs="Arial" w:eastAsia="Arial" w:hAnsi="Arial"/>
                <w:sz w:val="8"/>
                <w:szCs w:val="8"/>
                <w:color w:val="auto"/>
              </w:rPr>
              <w:t>Park Avenue (swapped)</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50.0</w:t>
            </w:r>
          </w:p>
        </w:tc>
        <w:tc>
          <w:tcPr>
            <w:tcW w:w="60" w:type="dxa"/>
            <w:vAlign w:val="bottom"/>
          </w:tcPr>
          <w:p>
            <w:pPr>
              <w:spacing w:after="0"/>
              <w:rPr>
                <w:sz w:val="10"/>
                <w:szCs w:val="10"/>
                <w:color w:val="auto"/>
              </w:rPr>
            </w:pP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1,075,000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537,500</w:t>
            </w:r>
          </w:p>
        </w:tc>
        <w:tc>
          <w:tcPr>
            <w:tcW w:w="2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5.84%</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Sep-26</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Sep-28</w:t>
            </w:r>
          </w:p>
        </w:tc>
        <w:tc>
          <w:tcPr>
            <w:tcW w:w="80" w:type="dxa"/>
            <w:vAlign w:val="bottom"/>
          </w:tcPr>
          <w:p>
            <w:pPr>
              <w:spacing w:after="0"/>
              <w:rPr>
                <w:sz w:val="10"/>
                <w:szCs w:val="10"/>
                <w:color w:val="auto"/>
              </w:rPr>
            </w:pP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537,500</w:t>
            </w: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8"/>
                <w:szCs w:val="8"/>
                <w:color w:val="auto"/>
              </w:rPr>
              <w:t>1515 Broadway</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56.9</w:t>
            </w:r>
          </w:p>
        </w:tc>
        <w:tc>
          <w:tcPr>
            <w:tcW w:w="60" w:type="dxa"/>
            <w:vAlign w:val="bottom"/>
          </w:tcPr>
          <w:p>
            <w:pPr>
              <w:spacing w:after="0"/>
              <w:rPr>
                <w:sz w:val="10"/>
                <w:szCs w:val="10"/>
                <w:color w:val="auto"/>
              </w:rPr>
            </w:pP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678,215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385,694</w:t>
            </w:r>
          </w:p>
        </w:tc>
        <w:tc>
          <w:tcPr>
            <w:tcW w:w="2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3.93%</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10,363</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Mar-27</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Mar-28</w:t>
            </w:r>
          </w:p>
        </w:tc>
        <w:tc>
          <w:tcPr>
            <w:tcW w:w="80" w:type="dxa"/>
            <w:vAlign w:val="bottom"/>
          </w:tcPr>
          <w:p>
            <w:pPr>
              <w:spacing w:after="0"/>
              <w:rPr>
                <w:sz w:val="10"/>
                <w:szCs w:val="10"/>
                <w:color w:val="auto"/>
              </w:rPr>
            </w:pP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358,544</w:t>
            </w:r>
          </w:p>
        </w:tc>
        <w:tc>
          <w:tcPr>
            <w:tcW w:w="0" w:type="dxa"/>
            <w:vAlign w:val="bottom"/>
          </w:tcPr>
          <w:p>
            <w:pPr>
              <w:spacing w:after="0"/>
              <w:rPr>
                <w:sz w:val="1"/>
                <w:szCs w:val="1"/>
                <w:color w:val="auto"/>
              </w:rPr>
            </w:pPr>
          </w:p>
        </w:tc>
      </w:tr>
      <w:tr>
        <w:trPr>
          <w:trHeight w:val="118"/>
        </w:trPr>
        <w:tc>
          <w:tcPr>
            <w:tcW w:w="320" w:type="dxa"/>
            <w:vAlign w:val="bottom"/>
            <w:gridSpan w:val="2"/>
          </w:tcPr>
          <w:p>
            <w:pPr>
              <w:ind w:left="180"/>
              <w:spacing w:after="0"/>
              <w:rPr>
                <w:sz w:val="20"/>
                <w:szCs w:val="20"/>
                <w:color w:val="auto"/>
              </w:rPr>
            </w:pPr>
            <w:r>
              <w:rPr>
                <w:rFonts w:ascii="Arial" w:cs="Arial" w:eastAsia="Arial" w:hAnsi="Arial"/>
                <w:sz w:val="8"/>
                <w:szCs w:val="8"/>
                <w:color w:val="auto"/>
                <w:w w:val="89"/>
              </w:rPr>
              <w:t>245</w:t>
            </w:r>
          </w:p>
        </w:tc>
        <w:tc>
          <w:tcPr>
            <w:tcW w:w="1260" w:type="dxa"/>
            <w:vAlign w:val="bottom"/>
            <w:gridSpan w:val="2"/>
          </w:tcPr>
          <w:p>
            <w:pPr>
              <w:spacing w:after="0"/>
              <w:rPr>
                <w:sz w:val="20"/>
                <w:szCs w:val="20"/>
                <w:color w:val="auto"/>
              </w:rPr>
            </w:pPr>
            <w:r>
              <w:rPr>
                <w:rFonts w:ascii="Arial" w:cs="Arial" w:eastAsia="Arial" w:hAnsi="Arial"/>
                <w:sz w:val="8"/>
                <w:szCs w:val="8"/>
                <w:color w:val="auto"/>
              </w:rPr>
              <w:t>Park Avenue</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50.1</w:t>
            </w:r>
          </w:p>
        </w:tc>
        <w:tc>
          <w:tcPr>
            <w:tcW w:w="60" w:type="dxa"/>
            <w:vAlign w:val="bottom"/>
          </w:tcPr>
          <w:p>
            <w:pPr>
              <w:spacing w:after="0"/>
              <w:rPr>
                <w:sz w:val="10"/>
                <w:szCs w:val="10"/>
                <w:color w:val="auto"/>
              </w:rPr>
            </w:pP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1,768,000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885,768</w:t>
            </w:r>
          </w:p>
        </w:tc>
        <w:tc>
          <w:tcPr>
            <w:tcW w:w="2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4.30%</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Jun-27</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Jun-27</w:t>
            </w:r>
          </w:p>
        </w:tc>
        <w:tc>
          <w:tcPr>
            <w:tcW w:w="80" w:type="dxa"/>
            <w:vAlign w:val="bottom"/>
          </w:tcPr>
          <w:p>
            <w:pPr>
              <w:spacing w:after="0"/>
              <w:rPr>
                <w:sz w:val="10"/>
                <w:szCs w:val="10"/>
                <w:color w:val="auto"/>
              </w:rPr>
            </w:pP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885,768</w:t>
            </w:r>
          </w:p>
        </w:tc>
        <w:tc>
          <w:tcPr>
            <w:tcW w:w="0" w:type="dxa"/>
            <w:vAlign w:val="bottom"/>
          </w:tcPr>
          <w:p>
            <w:pPr>
              <w:spacing w:after="0"/>
              <w:rPr>
                <w:sz w:val="1"/>
                <w:szCs w:val="1"/>
                <w:color w:val="auto"/>
              </w:rPr>
            </w:pPr>
          </w:p>
        </w:tc>
      </w:tr>
      <w:tr>
        <w:trPr>
          <w:trHeight w:val="118"/>
        </w:trPr>
        <w:tc>
          <w:tcPr>
            <w:tcW w:w="320" w:type="dxa"/>
            <w:vAlign w:val="bottom"/>
            <w:gridSpan w:val="2"/>
          </w:tcPr>
          <w:p>
            <w:pPr>
              <w:ind w:left="180"/>
              <w:spacing w:after="0"/>
              <w:rPr>
                <w:sz w:val="20"/>
                <w:szCs w:val="20"/>
                <w:color w:val="auto"/>
              </w:rPr>
            </w:pPr>
            <w:r>
              <w:rPr>
                <w:rFonts w:ascii="Arial" w:cs="Arial" w:eastAsia="Arial" w:hAnsi="Arial"/>
                <w:sz w:val="8"/>
                <w:szCs w:val="8"/>
                <w:color w:val="auto"/>
                <w:w w:val="89"/>
              </w:rPr>
              <w:t>220</w:t>
            </w:r>
          </w:p>
        </w:tc>
        <w:tc>
          <w:tcPr>
            <w:tcW w:w="1260" w:type="dxa"/>
            <w:vAlign w:val="bottom"/>
            <w:gridSpan w:val="2"/>
          </w:tcPr>
          <w:p>
            <w:pPr>
              <w:spacing w:after="0"/>
              <w:rPr>
                <w:sz w:val="20"/>
                <w:szCs w:val="20"/>
                <w:color w:val="auto"/>
              </w:rPr>
            </w:pPr>
            <w:r>
              <w:rPr>
                <w:rFonts w:ascii="Arial" w:cs="Arial" w:eastAsia="Arial" w:hAnsi="Arial"/>
                <w:sz w:val="8"/>
                <w:szCs w:val="8"/>
                <w:color w:val="auto"/>
              </w:rPr>
              <w:t>East 42nd</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51.0</w:t>
            </w:r>
          </w:p>
        </w:tc>
        <w:tc>
          <w:tcPr>
            <w:tcW w:w="60" w:type="dxa"/>
            <w:vAlign w:val="bottom"/>
          </w:tcPr>
          <w:p>
            <w:pPr>
              <w:spacing w:after="0"/>
              <w:rPr>
                <w:sz w:val="10"/>
                <w:szCs w:val="10"/>
                <w:color w:val="auto"/>
              </w:rPr>
            </w:pP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496,412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253,170</w:t>
            </w:r>
          </w:p>
        </w:tc>
        <w:tc>
          <w:tcPr>
            <w:tcW w:w="2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6.77%</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Dec-27</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Dec-27</w:t>
            </w:r>
          </w:p>
        </w:tc>
        <w:tc>
          <w:tcPr>
            <w:tcW w:w="80" w:type="dxa"/>
            <w:vAlign w:val="bottom"/>
          </w:tcPr>
          <w:p>
            <w:pPr>
              <w:spacing w:after="0"/>
              <w:rPr>
                <w:sz w:val="10"/>
                <w:szCs w:val="10"/>
                <w:color w:val="auto"/>
              </w:rPr>
            </w:pP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253,170</w:t>
            </w:r>
          </w:p>
        </w:tc>
        <w:tc>
          <w:tcPr>
            <w:tcW w:w="0" w:type="dxa"/>
            <w:vAlign w:val="bottom"/>
          </w:tcPr>
          <w:p>
            <w:pPr>
              <w:spacing w:after="0"/>
              <w:rPr>
                <w:sz w:val="1"/>
                <w:szCs w:val="1"/>
                <w:color w:val="auto"/>
              </w:rPr>
            </w:pPr>
          </w:p>
        </w:tc>
      </w:tr>
      <w:tr>
        <w:trPr>
          <w:trHeight w:val="118"/>
        </w:trPr>
        <w:tc>
          <w:tcPr>
            <w:tcW w:w="320" w:type="dxa"/>
            <w:vAlign w:val="bottom"/>
            <w:gridSpan w:val="2"/>
          </w:tcPr>
          <w:p>
            <w:pPr>
              <w:ind w:left="180"/>
              <w:spacing w:after="0"/>
              <w:rPr>
                <w:sz w:val="20"/>
                <w:szCs w:val="20"/>
                <w:color w:val="auto"/>
              </w:rPr>
            </w:pPr>
            <w:r>
              <w:rPr>
                <w:rFonts w:ascii="Arial" w:cs="Arial" w:eastAsia="Arial" w:hAnsi="Arial"/>
                <w:sz w:val="8"/>
                <w:szCs w:val="8"/>
                <w:color w:val="auto"/>
                <w:w w:val="89"/>
              </w:rPr>
              <w:t>100</w:t>
            </w:r>
          </w:p>
        </w:tc>
        <w:tc>
          <w:tcPr>
            <w:tcW w:w="1260" w:type="dxa"/>
            <w:vAlign w:val="bottom"/>
            <w:gridSpan w:val="2"/>
          </w:tcPr>
          <w:p>
            <w:pPr>
              <w:spacing w:after="0"/>
              <w:rPr>
                <w:sz w:val="20"/>
                <w:szCs w:val="20"/>
                <w:color w:val="auto"/>
              </w:rPr>
            </w:pPr>
            <w:r>
              <w:rPr>
                <w:rFonts w:ascii="Arial" w:cs="Arial" w:eastAsia="Arial" w:hAnsi="Arial"/>
                <w:sz w:val="8"/>
                <w:szCs w:val="8"/>
                <w:color w:val="auto"/>
              </w:rPr>
              <w:t>Park Avenue</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50.8</w:t>
            </w:r>
          </w:p>
        </w:tc>
        <w:tc>
          <w:tcPr>
            <w:tcW w:w="60" w:type="dxa"/>
            <w:vAlign w:val="bottom"/>
          </w:tcPr>
          <w:p>
            <w:pPr>
              <w:spacing w:after="0"/>
              <w:rPr>
                <w:sz w:val="10"/>
                <w:szCs w:val="10"/>
                <w:color w:val="auto"/>
              </w:rPr>
            </w:pP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382,872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194,499</w:t>
            </w:r>
          </w:p>
        </w:tc>
        <w:tc>
          <w:tcPr>
            <w:tcW w:w="2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5.73%</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Jan-28</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Jan-29</w:t>
            </w:r>
          </w:p>
        </w:tc>
        <w:tc>
          <w:tcPr>
            <w:tcW w:w="80" w:type="dxa"/>
            <w:vAlign w:val="bottom"/>
          </w:tcPr>
          <w:p>
            <w:pPr>
              <w:spacing w:after="0"/>
              <w:rPr>
                <w:sz w:val="10"/>
                <w:szCs w:val="10"/>
                <w:color w:val="auto"/>
              </w:rPr>
            </w:pP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194,499</w:t>
            </w: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8"/>
                <w:szCs w:val="8"/>
                <w:color w:val="auto"/>
              </w:rPr>
              <w:t>15 Beekman</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20.0</w:t>
            </w:r>
          </w:p>
        </w:tc>
        <w:tc>
          <w:tcPr>
            <w:tcW w:w="60" w:type="dxa"/>
            <w:vAlign w:val="bottom"/>
          </w:tcPr>
          <w:p>
            <w:pPr>
              <w:spacing w:after="0"/>
              <w:rPr>
                <w:sz w:val="10"/>
                <w:szCs w:val="10"/>
                <w:color w:val="auto"/>
              </w:rPr>
            </w:pP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117,000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23,400</w:t>
            </w:r>
          </w:p>
        </w:tc>
        <w:tc>
          <w:tcPr>
            <w:tcW w:w="2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4.83%</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Jan-28</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Jan-28</w:t>
            </w:r>
          </w:p>
        </w:tc>
        <w:tc>
          <w:tcPr>
            <w:tcW w:w="80" w:type="dxa"/>
            <w:vAlign w:val="bottom"/>
          </w:tcPr>
          <w:p>
            <w:pPr>
              <w:spacing w:after="0"/>
              <w:rPr>
                <w:sz w:val="10"/>
                <w:szCs w:val="10"/>
                <w:color w:val="auto"/>
              </w:rPr>
            </w:pP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23,400</w:t>
            </w: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8"/>
                <w:szCs w:val="8"/>
                <w:color w:val="auto"/>
              </w:rPr>
              <w:t>11 Madison Avenue</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60.0</w:t>
            </w:r>
          </w:p>
        </w:tc>
        <w:tc>
          <w:tcPr>
            <w:tcW w:w="60" w:type="dxa"/>
            <w:vAlign w:val="bottom"/>
          </w:tcPr>
          <w:p>
            <w:pPr>
              <w:spacing w:after="0"/>
              <w:rPr>
                <w:sz w:val="10"/>
                <w:szCs w:val="10"/>
                <w:color w:val="auto"/>
              </w:rPr>
            </w:pP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1,400,000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840,000</w:t>
            </w:r>
          </w:p>
        </w:tc>
        <w:tc>
          <w:tcPr>
            <w:tcW w:w="2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5.63%</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Oct-30</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Oct-30</w:t>
            </w:r>
          </w:p>
        </w:tc>
        <w:tc>
          <w:tcPr>
            <w:tcW w:w="80" w:type="dxa"/>
            <w:vAlign w:val="bottom"/>
          </w:tcPr>
          <w:p>
            <w:pPr>
              <w:spacing w:after="0"/>
              <w:rPr>
                <w:sz w:val="10"/>
                <w:szCs w:val="10"/>
                <w:color w:val="auto"/>
              </w:rPr>
            </w:pP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840,000</w:t>
            </w: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8"/>
                <w:szCs w:val="8"/>
                <w:color w:val="auto"/>
              </w:rPr>
              <w:t>One Madison Avenue</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25.5</w:t>
            </w:r>
          </w:p>
        </w:tc>
        <w:tc>
          <w:tcPr>
            <w:tcW w:w="60" w:type="dxa"/>
            <w:vAlign w:val="bottom"/>
          </w:tcPr>
          <w:p>
            <w:pPr>
              <w:spacing w:after="0"/>
              <w:rPr>
                <w:sz w:val="10"/>
                <w:szCs w:val="10"/>
                <w:color w:val="auto"/>
              </w:rPr>
            </w:pP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1,650,000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420,750</w:t>
            </w:r>
          </w:p>
        </w:tc>
        <w:tc>
          <w:tcPr>
            <w:tcW w:w="2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5.81%</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Apr-31</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Apr-31</w:t>
            </w:r>
          </w:p>
        </w:tc>
        <w:tc>
          <w:tcPr>
            <w:tcW w:w="80" w:type="dxa"/>
            <w:vAlign w:val="bottom"/>
          </w:tcPr>
          <w:p>
            <w:pPr>
              <w:spacing w:after="0"/>
              <w:rPr>
                <w:sz w:val="10"/>
                <w:szCs w:val="10"/>
                <w:color w:val="auto"/>
              </w:rPr>
            </w:pP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420,750</w:t>
            </w: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8"/>
                <w:szCs w:val="8"/>
                <w:color w:val="auto"/>
              </w:rPr>
              <w:t>One Vanderbilt Avenue</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55.0</w:t>
            </w: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3,000,000</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1,650,300</w:t>
            </w:r>
          </w:p>
        </w:tc>
        <w:tc>
          <w:tcPr>
            <w:tcW w:w="200" w:type="dxa"/>
            <w:vAlign w:val="bottom"/>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color w:val="auto"/>
              </w:rPr>
              <w:t>2.95%</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Jul-31</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Jul-31</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rPr>
              <w:t>1,650,300</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b w:val="1"/>
                <w:bCs w:val="1"/>
                <w:color w:val="auto"/>
              </w:rPr>
              <w:t>10,857,934</w:t>
            </w:r>
          </w:p>
        </w:tc>
        <w:tc>
          <w:tcPr>
            <w:tcW w:w="200" w:type="dxa"/>
            <w:vAlign w:val="bottom"/>
          </w:tcPr>
          <w:p>
            <w:pPr>
              <w:spacing w:after="0"/>
              <w:rPr>
                <w:sz w:val="9"/>
                <w:szCs w:val="9"/>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5,263,980</w:t>
            </w:r>
          </w:p>
        </w:tc>
        <w:tc>
          <w:tcPr>
            <w:tcW w:w="20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4.54%</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10,363</w:t>
            </w: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b w:val="1"/>
                <w:bCs w:val="1"/>
                <w:color w:val="auto"/>
              </w:rPr>
              <w:t>5,236,830</w:t>
            </w: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w w:val="96"/>
              </w:rPr>
              <w:t>Alternative strategy portfolio</w:t>
            </w:r>
          </w:p>
        </w:tc>
        <w:tc>
          <w:tcPr>
            <w:tcW w:w="4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20" w:type="dxa"/>
            <w:vAlign w:val="bottom"/>
            <w:gridSpan w:val="2"/>
          </w:tcPr>
          <w:p>
            <w:pPr>
              <w:ind w:left="180"/>
              <w:spacing w:after="0"/>
              <w:rPr>
                <w:sz w:val="20"/>
                <w:szCs w:val="20"/>
                <w:color w:val="auto"/>
              </w:rPr>
            </w:pPr>
            <w:r>
              <w:rPr>
                <w:rFonts w:ascii="Arial" w:cs="Arial" w:eastAsia="Arial" w:hAnsi="Arial"/>
                <w:sz w:val="8"/>
                <w:szCs w:val="8"/>
                <w:color w:val="auto"/>
                <w:w w:val="89"/>
              </w:rPr>
              <w:t>650</w:t>
            </w:r>
          </w:p>
        </w:tc>
        <w:tc>
          <w:tcPr>
            <w:tcW w:w="1260" w:type="dxa"/>
            <w:vAlign w:val="bottom"/>
            <w:gridSpan w:val="2"/>
          </w:tcPr>
          <w:p>
            <w:pPr>
              <w:spacing w:after="0"/>
              <w:rPr>
                <w:sz w:val="20"/>
                <w:szCs w:val="20"/>
                <w:color w:val="auto"/>
              </w:rPr>
            </w:pPr>
            <w:r>
              <w:rPr>
                <w:rFonts w:ascii="Arial" w:cs="Arial" w:eastAsia="Arial" w:hAnsi="Arial"/>
                <w:sz w:val="8"/>
                <w:szCs w:val="8"/>
                <w:color w:val="auto"/>
              </w:rPr>
              <w:t>Fifth Avenue</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50.0</w:t>
            </w: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65,000</w:t>
            </w:r>
          </w:p>
        </w:tc>
        <w:tc>
          <w:tcPr>
            <w:tcW w:w="200" w:type="dxa"/>
            <w:vAlign w:val="bottom"/>
          </w:tcPr>
          <w:p>
            <w:pPr>
              <w:spacing w:after="0"/>
              <w:rPr>
                <w:sz w:val="9"/>
                <w:szCs w:val="9"/>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32,500</w:t>
            </w:r>
          </w:p>
        </w:tc>
        <w:tc>
          <w:tcPr>
            <w:tcW w:w="20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5.45%</w:t>
            </w:r>
          </w:p>
        </w:tc>
        <w:tc>
          <w:tcPr>
            <w:tcW w:w="280" w:type="dxa"/>
            <w:vAlign w:val="bottom"/>
          </w:tcPr>
          <w:p>
            <w:pPr>
              <w:spacing w:after="0"/>
              <w:rPr>
                <w:sz w:val="9"/>
                <w:szCs w:val="9"/>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Jul-26</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Jul-26</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32,500</w:t>
            </w: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8"/>
                <w:szCs w:val="8"/>
                <w:color w:val="auto"/>
              </w:rPr>
              <w:t>115 Spring Street</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51.0</w:t>
            </w:r>
          </w:p>
        </w:tc>
        <w:tc>
          <w:tcPr>
            <w:tcW w:w="60" w:type="dxa"/>
            <w:vAlign w:val="bottom"/>
          </w:tcPr>
          <w:p>
            <w:pPr>
              <w:spacing w:after="0"/>
              <w:rPr>
                <w:sz w:val="10"/>
                <w:szCs w:val="10"/>
                <w:color w:val="auto"/>
              </w:rPr>
            </w:pP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65,550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33,431</w:t>
            </w:r>
          </w:p>
        </w:tc>
        <w:tc>
          <w:tcPr>
            <w:tcW w:w="2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5.50%</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Sep-26</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Sep-26</w:t>
            </w:r>
          </w:p>
        </w:tc>
        <w:tc>
          <w:tcPr>
            <w:tcW w:w="80" w:type="dxa"/>
            <w:vAlign w:val="bottom"/>
          </w:tcPr>
          <w:p>
            <w:pPr>
              <w:spacing w:after="0"/>
              <w:rPr>
                <w:sz w:val="10"/>
                <w:szCs w:val="10"/>
                <w:color w:val="auto"/>
              </w:rPr>
            </w:pP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33,431</w:t>
            </w: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8"/>
                <w:szCs w:val="8"/>
                <w:color w:val="auto"/>
              </w:rPr>
              <w:t>Worldwide Plaza</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25.1</w:t>
            </w: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1,200,000</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300,600</w:t>
            </w:r>
          </w:p>
        </w:tc>
        <w:tc>
          <w:tcPr>
            <w:tcW w:w="200" w:type="dxa"/>
            <w:vAlign w:val="bottom"/>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color w:val="auto"/>
              </w:rPr>
              <w:t>3.98%</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Nov-27</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Nov-27</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rPr>
              <w:t>300,600</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b w:val="1"/>
                <w:bCs w:val="1"/>
                <w:color w:val="auto"/>
              </w:rPr>
              <w:t>1,330,550</w:t>
            </w:r>
          </w:p>
        </w:tc>
        <w:tc>
          <w:tcPr>
            <w:tcW w:w="200" w:type="dxa"/>
            <w:vAlign w:val="bottom"/>
          </w:tcPr>
          <w:p>
            <w:pPr>
              <w:spacing w:after="0"/>
              <w:rPr>
                <w:sz w:val="9"/>
                <w:szCs w:val="9"/>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366,531</w:t>
            </w:r>
          </w:p>
        </w:tc>
        <w:tc>
          <w:tcPr>
            <w:tcW w:w="20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4.25%</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w:t>
            </w: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b w:val="1"/>
                <w:bCs w:val="1"/>
                <w:color w:val="auto"/>
              </w:rPr>
              <w:t>366,531</w:t>
            </w:r>
          </w:p>
        </w:tc>
        <w:tc>
          <w:tcPr>
            <w:tcW w:w="0" w:type="dxa"/>
            <w:vAlign w:val="bottom"/>
          </w:tcPr>
          <w:p>
            <w:pPr>
              <w:spacing w:after="0"/>
              <w:rPr>
                <w:sz w:val="1"/>
                <w:szCs w:val="1"/>
                <w:color w:val="auto"/>
              </w:rPr>
            </w:pPr>
          </w:p>
        </w:tc>
      </w:tr>
      <w:tr>
        <w:trPr>
          <w:trHeight w:val="50"/>
        </w:trPr>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vMerge w:val="restart"/>
          </w:tcPr>
          <w:p>
            <w:pPr>
              <w:jc w:val="right"/>
              <w:ind w:right="181"/>
              <w:spacing w:after="0"/>
              <w:rPr>
                <w:sz w:val="20"/>
                <w:szCs w:val="20"/>
                <w:color w:val="auto"/>
              </w:rPr>
            </w:pPr>
            <w:r>
              <w:rPr>
                <w:rFonts w:ascii="Arial" w:cs="Arial" w:eastAsia="Arial" w:hAnsi="Arial"/>
                <w:sz w:val="8"/>
                <w:szCs w:val="8"/>
                <w:b w:val="1"/>
                <w:bCs w:val="1"/>
                <w:color w:val="auto"/>
              </w:rPr>
              <w:t>Total Fixed Rate Debt</w:t>
            </w: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vMerge w:val="restart"/>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b w:val="1"/>
                <w:bCs w:val="1"/>
                <w:color w:val="auto"/>
              </w:rPr>
              <w:t>12,188,484</w:t>
            </w:r>
          </w:p>
        </w:tc>
        <w:tc>
          <w:tcPr>
            <w:tcW w:w="200" w:type="dxa"/>
            <w:vAlign w:val="bottom"/>
          </w:tcPr>
          <w:p>
            <w:pPr>
              <w:spacing w:after="0"/>
              <w:rPr>
                <w:sz w:val="8"/>
                <w:szCs w:val="8"/>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5,630,511</w:t>
            </w:r>
          </w:p>
        </w:tc>
        <w:tc>
          <w:tcPr>
            <w:tcW w:w="200" w:type="dxa"/>
            <w:vAlign w:val="bottom"/>
          </w:tcPr>
          <w:p>
            <w:pPr>
              <w:spacing w:after="0"/>
              <w:rPr>
                <w:sz w:val="8"/>
                <w:szCs w:val="8"/>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4.52%</w:t>
            </w:r>
          </w:p>
        </w:tc>
        <w:tc>
          <w:tcPr>
            <w:tcW w:w="280" w:type="dxa"/>
            <w:vAlign w:val="bottom"/>
            <w:vMerge w:val="continue"/>
          </w:tcPr>
          <w:p>
            <w:pPr>
              <w:spacing w:after="0"/>
              <w:rPr>
                <w:sz w:val="8"/>
                <w:szCs w:val="8"/>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10,363</w:t>
            </w: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b w:val="1"/>
                <w:bCs w:val="1"/>
                <w:color w:val="auto"/>
              </w:rPr>
              <w:t>5,603,361</w:t>
            </w:r>
          </w:p>
        </w:tc>
        <w:tc>
          <w:tcPr>
            <w:tcW w:w="0" w:type="dxa"/>
            <w:vAlign w:val="bottom"/>
          </w:tcPr>
          <w:p>
            <w:pPr>
              <w:spacing w:after="0"/>
              <w:rPr>
                <w:sz w:val="1"/>
                <w:szCs w:val="1"/>
                <w:color w:val="auto"/>
              </w:rPr>
            </w:pPr>
          </w:p>
        </w:tc>
      </w:tr>
      <w:tr>
        <w:trPr>
          <w:trHeight w:val="123"/>
        </w:trPr>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8"/>
                <w:szCs w:val="8"/>
                <w:b w:val="1"/>
                <w:bCs w:val="1"/>
                <w:color w:val="auto"/>
              </w:rPr>
              <w:t>Floating rate debt</w:t>
            </w:r>
          </w:p>
        </w:tc>
        <w:tc>
          <w:tcPr>
            <w:tcW w:w="1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20" w:type="dxa"/>
            <w:vAlign w:val="bottom"/>
            <w:gridSpan w:val="2"/>
          </w:tcPr>
          <w:p>
            <w:pPr>
              <w:ind w:left="180"/>
              <w:spacing w:after="0"/>
              <w:rPr>
                <w:sz w:val="20"/>
                <w:szCs w:val="20"/>
                <w:color w:val="auto"/>
              </w:rPr>
            </w:pPr>
            <w:r>
              <w:rPr>
                <w:rFonts w:ascii="Arial" w:cs="Arial" w:eastAsia="Arial" w:hAnsi="Arial"/>
                <w:sz w:val="8"/>
                <w:szCs w:val="8"/>
                <w:color w:val="auto"/>
                <w:w w:val="89"/>
              </w:rPr>
              <w:t>919</w:t>
            </w:r>
          </w:p>
        </w:tc>
        <w:tc>
          <w:tcPr>
            <w:tcW w:w="1260" w:type="dxa"/>
            <w:vAlign w:val="bottom"/>
            <w:gridSpan w:val="2"/>
          </w:tcPr>
          <w:p>
            <w:pPr>
              <w:spacing w:after="0"/>
              <w:rPr>
                <w:sz w:val="20"/>
                <w:szCs w:val="20"/>
                <w:color w:val="auto"/>
              </w:rPr>
            </w:pPr>
            <w:r>
              <w:rPr>
                <w:rFonts w:ascii="Arial" w:cs="Arial" w:eastAsia="Arial" w:hAnsi="Arial"/>
                <w:sz w:val="8"/>
                <w:szCs w:val="8"/>
                <w:color w:val="auto"/>
              </w:rPr>
              <w:t>Third Avenue (SOFR + 250 bps)</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51.0</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500,000</w:t>
            </w:r>
          </w:p>
        </w:tc>
        <w:tc>
          <w:tcPr>
            <w:tcW w:w="200" w:type="dxa"/>
            <w:vAlign w:val="bottom"/>
          </w:tcPr>
          <w:p>
            <w:pPr>
              <w:spacing w:after="0"/>
              <w:rPr>
                <w:sz w:val="8"/>
                <w:szCs w:val="8"/>
                <w:color w:val="auto"/>
              </w:rPr>
            </w:pPr>
          </w:p>
        </w:tc>
        <w:tc>
          <w:tcPr>
            <w:tcW w:w="10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w w:val="88"/>
              </w:rPr>
              <w:t>$</w:t>
            </w: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255,000</w:t>
            </w:r>
          </w:p>
        </w:tc>
        <w:tc>
          <w:tcPr>
            <w:tcW w:w="200" w:type="dxa"/>
            <w:vAlign w:val="bottom"/>
          </w:tcPr>
          <w:p>
            <w:pPr>
              <w:spacing w:after="0"/>
              <w:rPr>
                <w:sz w:val="8"/>
                <w:szCs w:val="8"/>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color w:val="auto"/>
              </w:rPr>
              <w:t>6.17%</w:t>
            </w:r>
          </w:p>
        </w:tc>
        <w:tc>
          <w:tcPr>
            <w:tcW w:w="280" w:type="dxa"/>
            <w:vAlign w:val="bottom"/>
          </w:tcPr>
          <w:p>
            <w:pPr>
              <w:spacing w:after="0"/>
              <w:rPr>
                <w:sz w:val="8"/>
                <w:szCs w:val="8"/>
                <w:color w:val="auto"/>
              </w:rPr>
            </w:pPr>
          </w:p>
        </w:tc>
        <w:tc>
          <w:tcPr>
            <w:tcW w:w="10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w w:val="88"/>
              </w:rPr>
              <w:t>$</w:t>
            </w: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Apr-26</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Apr-28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rPr>
              <w:t>255,000</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b w:val="1"/>
                <w:bCs w:val="1"/>
                <w:color w:val="auto"/>
              </w:rPr>
              <w:t>500,000</w:t>
            </w:r>
          </w:p>
        </w:tc>
        <w:tc>
          <w:tcPr>
            <w:tcW w:w="200" w:type="dxa"/>
            <w:vAlign w:val="bottom"/>
          </w:tcPr>
          <w:p>
            <w:pPr>
              <w:spacing w:after="0"/>
              <w:rPr>
                <w:sz w:val="9"/>
                <w:szCs w:val="9"/>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255,000</w:t>
            </w:r>
          </w:p>
        </w:tc>
        <w:tc>
          <w:tcPr>
            <w:tcW w:w="20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6.17%</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w:t>
            </w: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b w:val="1"/>
                <w:bCs w:val="1"/>
                <w:color w:val="auto"/>
              </w:rPr>
              <w:t>255,000</w:t>
            </w: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w w:val="96"/>
              </w:rPr>
              <w:t>Alternative strategy portfolio</w:t>
            </w:r>
          </w:p>
        </w:tc>
        <w:tc>
          <w:tcPr>
            <w:tcW w:w="4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80" w:type="dxa"/>
            <w:vAlign w:val="bottom"/>
          </w:tcPr>
          <w:p>
            <w:pPr>
              <w:spacing w:after="0"/>
              <w:rPr>
                <w:sz w:val="9"/>
                <w:szCs w:val="9"/>
                <w:color w:val="auto"/>
              </w:rPr>
            </w:pPr>
          </w:p>
        </w:tc>
        <w:tc>
          <w:tcPr>
            <w:tcW w:w="1400" w:type="dxa"/>
            <w:vAlign w:val="bottom"/>
            <w:gridSpan w:val="3"/>
          </w:tcPr>
          <w:p>
            <w:pPr>
              <w:spacing w:after="0"/>
              <w:rPr>
                <w:sz w:val="20"/>
                <w:szCs w:val="20"/>
                <w:color w:val="auto"/>
              </w:rPr>
            </w:pPr>
            <w:r>
              <w:rPr>
                <w:rFonts w:ascii="Arial" w:cs="Arial" w:eastAsia="Arial" w:hAnsi="Arial"/>
                <w:sz w:val="8"/>
                <w:szCs w:val="8"/>
                <w:color w:val="auto"/>
                <w:w w:val="98"/>
              </w:rPr>
              <w:t>11 West 34th Street (LIBOR + 145 bps)</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30.0</w:t>
            </w: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23,000</w:t>
            </w:r>
          </w:p>
        </w:tc>
        <w:tc>
          <w:tcPr>
            <w:tcW w:w="200" w:type="dxa"/>
            <w:vAlign w:val="bottom"/>
          </w:tcPr>
          <w:p>
            <w:pPr>
              <w:spacing w:after="0"/>
              <w:rPr>
                <w:sz w:val="9"/>
                <w:szCs w:val="9"/>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6,900</w:t>
            </w:r>
          </w:p>
        </w:tc>
        <w:tc>
          <w:tcPr>
            <w:tcW w:w="20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color w:val="auto"/>
              </w:rPr>
              <w:t>6.67%</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(5)</w:t>
            </w:r>
          </w:p>
        </w:tc>
        <w:tc>
          <w:tcPr>
            <w:tcW w:w="100" w:type="dxa"/>
            <w:vAlign w:val="bottom"/>
          </w:tcPr>
          <w:p>
            <w:pPr>
              <w:spacing w:after="0"/>
              <w:rPr>
                <w:sz w:val="9"/>
                <w:szCs w:val="9"/>
                <w:color w:val="auto"/>
              </w:rPr>
            </w:pPr>
          </w:p>
        </w:tc>
        <w:tc>
          <w:tcPr>
            <w:tcW w:w="600" w:type="dxa"/>
            <w:vAlign w:val="bottom"/>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161"/>
              <w:spacing w:after="0"/>
              <w:rPr>
                <w:sz w:val="20"/>
                <w:szCs w:val="20"/>
                <w:color w:val="auto"/>
              </w:rPr>
            </w:pPr>
            <w:r>
              <w:rPr>
                <w:rFonts w:ascii="Arial" w:cs="Arial" w:eastAsia="Arial" w:hAnsi="Arial"/>
                <w:sz w:val="8"/>
                <w:szCs w:val="8"/>
                <w:color w:val="auto"/>
              </w:rPr>
              <w:t>Feb-23 (6)</w:t>
            </w:r>
          </w:p>
        </w:tc>
        <w:tc>
          <w:tcPr>
            <w:tcW w:w="780" w:type="dxa"/>
            <w:vAlign w:val="bottom"/>
          </w:tcPr>
          <w:p>
            <w:pPr>
              <w:jc w:val="right"/>
              <w:ind w:right="101"/>
              <w:spacing w:after="0"/>
              <w:rPr>
                <w:sz w:val="20"/>
                <w:szCs w:val="20"/>
                <w:color w:val="auto"/>
              </w:rPr>
            </w:pPr>
            <w:r>
              <w:rPr>
                <w:rFonts w:ascii="Arial" w:cs="Arial" w:eastAsia="Arial" w:hAnsi="Arial"/>
                <w:sz w:val="8"/>
                <w:szCs w:val="8"/>
                <w:color w:val="auto"/>
              </w:rPr>
              <w:t>Feb-23 (6)</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color w:val="auto"/>
              </w:rPr>
              <w:t>6,900</w:t>
            </w:r>
          </w:p>
        </w:tc>
        <w:tc>
          <w:tcPr>
            <w:tcW w:w="0" w:type="dxa"/>
            <w:vAlign w:val="bottom"/>
          </w:tcPr>
          <w:p>
            <w:pPr>
              <w:spacing w:after="0"/>
              <w:rPr>
                <w:sz w:val="1"/>
                <w:szCs w:val="1"/>
                <w:color w:val="auto"/>
              </w:rPr>
            </w:pPr>
          </w:p>
        </w:tc>
      </w:tr>
      <w:tr>
        <w:trPr>
          <w:trHeight w:val="123"/>
        </w:trPr>
        <w:tc>
          <w:tcPr>
            <w:tcW w:w="320" w:type="dxa"/>
            <w:vAlign w:val="bottom"/>
            <w:gridSpan w:val="2"/>
          </w:tcPr>
          <w:p>
            <w:pPr>
              <w:ind w:left="180"/>
              <w:spacing w:after="0"/>
              <w:rPr>
                <w:sz w:val="20"/>
                <w:szCs w:val="20"/>
                <w:color w:val="auto"/>
              </w:rPr>
            </w:pPr>
            <w:r>
              <w:rPr>
                <w:rFonts w:ascii="Arial" w:cs="Arial" w:eastAsia="Arial" w:hAnsi="Arial"/>
                <w:sz w:val="8"/>
                <w:szCs w:val="8"/>
                <w:color w:val="auto"/>
                <w:w w:val="89"/>
              </w:rPr>
              <w:t>650</w:t>
            </w:r>
          </w:p>
        </w:tc>
        <w:tc>
          <w:tcPr>
            <w:tcW w:w="1260" w:type="dxa"/>
            <w:vAlign w:val="bottom"/>
            <w:gridSpan w:val="2"/>
          </w:tcPr>
          <w:p>
            <w:pPr>
              <w:spacing w:after="0"/>
              <w:rPr>
                <w:sz w:val="20"/>
                <w:szCs w:val="20"/>
                <w:color w:val="auto"/>
              </w:rPr>
            </w:pPr>
            <w:r>
              <w:rPr>
                <w:rFonts w:ascii="Arial" w:cs="Arial" w:eastAsia="Arial" w:hAnsi="Arial"/>
                <w:sz w:val="8"/>
                <w:szCs w:val="8"/>
                <w:color w:val="auto"/>
              </w:rPr>
              <w:t>Fifth Avenue (SOFR + 225 bps)</w:t>
            </w:r>
          </w:p>
        </w:tc>
        <w:tc>
          <w:tcPr>
            <w:tcW w:w="1580" w:type="dxa"/>
            <w:vAlign w:val="bottom"/>
          </w:tcPr>
          <w:p>
            <w:pPr>
              <w:jc w:val="right"/>
              <w:ind w:right="221"/>
              <w:spacing w:after="0"/>
              <w:rPr>
                <w:sz w:val="20"/>
                <w:szCs w:val="20"/>
                <w:color w:val="auto"/>
              </w:rPr>
            </w:pPr>
            <w:r>
              <w:rPr>
                <w:rFonts w:ascii="Arial" w:cs="Arial" w:eastAsia="Arial" w:hAnsi="Arial"/>
                <w:sz w:val="8"/>
                <w:szCs w:val="8"/>
                <w:color w:val="auto"/>
              </w:rPr>
              <w:t>50.0</w:t>
            </w: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210,000</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105,000</w:t>
            </w:r>
          </w:p>
        </w:tc>
        <w:tc>
          <w:tcPr>
            <w:tcW w:w="200" w:type="dxa"/>
            <w:vAlign w:val="bottom"/>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color w:val="auto"/>
              </w:rPr>
              <w:t>5.92%</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281"/>
              <w:spacing w:after="0"/>
              <w:rPr>
                <w:sz w:val="20"/>
                <w:szCs w:val="20"/>
                <w:color w:val="auto"/>
              </w:rPr>
            </w:pPr>
            <w:r>
              <w:rPr>
                <w:rFonts w:ascii="Arial" w:cs="Arial" w:eastAsia="Arial" w:hAnsi="Arial"/>
                <w:sz w:val="8"/>
                <w:szCs w:val="8"/>
                <w:color w:val="auto"/>
              </w:rPr>
              <w:t>Jul-26</w:t>
            </w:r>
          </w:p>
        </w:tc>
        <w:tc>
          <w:tcPr>
            <w:tcW w:w="780" w:type="dxa"/>
            <w:vAlign w:val="bottom"/>
          </w:tcPr>
          <w:p>
            <w:pPr>
              <w:jc w:val="right"/>
              <w:ind w:right="221"/>
              <w:spacing w:after="0"/>
              <w:rPr>
                <w:sz w:val="20"/>
                <w:szCs w:val="20"/>
                <w:color w:val="auto"/>
              </w:rPr>
            </w:pPr>
            <w:r>
              <w:rPr>
                <w:rFonts w:ascii="Arial" w:cs="Arial" w:eastAsia="Arial" w:hAnsi="Arial"/>
                <w:sz w:val="8"/>
                <w:szCs w:val="8"/>
                <w:color w:val="auto"/>
              </w:rPr>
              <w:t>Jul-26</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rPr>
              <w:t>105,000</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b w:val="1"/>
                <w:bCs w:val="1"/>
                <w:color w:val="auto"/>
              </w:rPr>
              <w:t>233,000</w:t>
            </w:r>
          </w:p>
        </w:tc>
        <w:tc>
          <w:tcPr>
            <w:tcW w:w="200" w:type="dxa"/>
            <w:vAlign w:val="bottom"/>
          </w:tcPr>
          <w:p>
            <w:pPr>
              <w:spacing w:after="0"/>
              <w:rPr>
                <w:sz w:val="9"/>
                <w:szCs w:val="9"/>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111,900</w:t>
            </w:r>
          </w:p>
        </w:tc>
        <w:tc>
          <w:tcPr>
            <w:tcW w:w="20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5.96%</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w:t>
            </w: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b w:val="1"/>
                <w:bCs w:val="1"/>
                <w:color w:val="auto"/>
              </w:rPr>
              <w:t>111,900</w:t>
            </w:r>
          </w:p>
        </w:tc>
        <w:tc>
          <w:tcPr>
            <w:tcW w:w="0" w:type="dxa"/>
            <w:vAlign w:val="bottom"/>
          </w:tcPr>
          <w:p>
            <w:pPr>
              <w:spacing w:after="0"/>
              <w:rPr>
                <w:sz w:val="1"/>
                <w:szCs w:val="1"/>
                <w:color w:val="auto"/>
              </w:rPr>
            </w:pPr>
          </w:p>
        </w:tc>
      </w:tr>
      <w:tr>
        <w:trPr>
          <w:trHeight w:val="50"/>
        </w:trPr>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vMerge w:val="restart"/>
          </w:tcPr>
          <w:p>
            <w:pPr>
              <w:jc w:val="right"/>
              <w:ind w:right="181"/>
              <w:spacing w:after="0"/>
              <w:rPr>
                <w:sz w:val="20"/>
                <w:szCs w:val="20"/>
                <w:color w:val="auto"/>
              </w:rPr>
            </w:pPr>
            <w:r>
              <w:rPr>
                <w:rFonts w:ascii="Arial" w:cs="Arial" w:eastAsia="Arial" w:hAnsi="Arial"/>
                <w:sz w:val="8"/>
                <w:szCs w:val="8"/>
                <w:b w:val="1"/>
                <w:bCs w:val="1"/>
                <w:color w:val="auto"/>
              </w:rPr>
              <w:t>Total Floating Rate Debt</w:t>
            </w: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vMerge w:val="restart"/>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b w:val="1"/>
                <w:bCs w:val="1"/>
                <w:color w:val="auto"/>
              </w:rPr>
              <w:t>733,000</w:t>
            </w:r>
          </w:p>
        </w:tc>
        <w:tc>
          <w:tcPr>
            <w:tcW w:w="200" w:type="dxa"/>
            <w:vAlign w:val="bottom"/>
          </w:tcPr>
          <w:p>
            <w:pPr>
              <w:spacing w:after="0"/>
              <w:rPr>
                <w:sz w:val="8"/>
                <w:szCs w:val="8"/>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366,900</w:t>
            </w:r>
          </w:p>
        </w:tc>
        <w:tc>
          <w:tcPr>
            <w:tcW w:w="200" w:type="dxa"/>
            <w:vAlign w:val="bottom"/>
          </w:tcPr>
          <w:p>
            <w:pPr>
              <w:spacing w:after="0"/>
              <w:rPr>
                <w:sz w:val="8"/>
                <w:szCs w:val="8"/>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6.10%</w:t>
            </w:r>
          </w:p>
        </w:tc>
        <w:tc>
          <w:tcPr>
            <w:tcW w:w="280" w:type="dxa"/>
            <w:vAlign w:val="bottom"/>
            <w:vMerge w:val="continue"/>
          </w:tcPr>
          <w:p>
            <w:pPr>
              <w:spacing w:after="0"/>
              <w:rPr>
                <w:sz w:val="8"/>
                <w:szCs w:val="8"/>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w:t>
            </w: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b w:val="1"/>
                <w:bCs w:val="1"/>
                <w:color w:val="auto"/>
              </w:rPr>
              <w:t>366,900</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tcPr>
          <w:p>
            <w:pPr>
              <w:jc w:val="right"/>
              <w:ind w:right="181"/>
              <w:spacing w:after="0"/>
              <w:rPr>
                <w:sz w:val="20"/>
                <w:szCs w:val="20"/>
                <w:color w:val="auto"/>
              </w:rPr>
            </w:pPr>
            <w:r>
              <w:rPr>
                <w:rFonts w:ascii="Arial" w:cs="Arial" w:eastAsia="Arial" w:hAnsi="Arial"/>
                <w:sz w:val="8"/>
                <w:szCs w:val="8"/>
                <w:b w:val="1"/>
                <w:bCs w:val="1"/>
                <w:color w:val="auto"/>
              </w:rPr>
              <w:t>Unconsolidated JV Debt</w:t>
            </w: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b w:val="1"/>
                <w:bCs w:val="1"/>
                <w:color w:val="auto"/>
              </w:rPr>
              <w:t>11,357,934</w:t>
            </w:r>
          </w:p>
        </w:tc>
        <w:tc>
          <w:tcPr>
            <w:tcW w:w="200" w:type="dxa"/>
            <w:vAlign w:val="bottom"/>
          </w:tcPr>
          <w:p>
            <w:pPr>
              <w:spacing w:after="0"/>
              <w:rPr>
                <w:sz w:val="13"/>
                <w:szCs w:val="13"/>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5,518,980</w:t>
            </w:r>
          </w:p>
        </w:tc>
        <w:tc>
          <w:tcPr>
            <w:tcW w:w="200" w:type="dxa"/>
            <w:vAlign w:val="bottom"/>
          </w:tcPr>
          <w:p>
            <w:pPr>
              <w:spacing w:after="0"/>
              <w:rPr>
                <w:sz w:val="13"/>
                <w:szCs w:val="13"/>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4.62%</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tcPr>
          <w:p>
            <w:pPr>
              <w:jc w:val="right"/>
              <w:ind w:right="181"/>
              <w:spacing w:after="0"/>
              <w:rPr>
                <w:sz w:val="20"/>
                <w:szCs w:val="20"/>
                <w:color w:val="auto"/>
              </w:rPr>
            </w:pPr>
            <w:r>
              <w:rPr>
                <w:rFonts w:ascii="Arial" w:cs="Arial" w:eastAsia="Arial" w:hAnsi="Arial"/>
                <w:sz w:val="8"/>
                <w:szCs w:val="8"/>
                <w:b w:val="1"/>
                <w:bCs w:val="1"/>
                <w:color w:val="auto"/>
              </w:rPr>
              <w:t>Alternative Strategy Portfolio Debt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1,563,550</w:t>
            </w:r>
          </w:p>
        </w:tc>
        <w:tc>
          <w:tcPr>
            <w:tcW w:w="200" w:type="dxa"/>
            <w:vAlign w:val="bottom"/>
          </w:tcPr>
          <w:p>
            <w:pPr>
              <w:spacing w:after="0"/>
              <w:rPr>
                <w:sz w:val="10"/>
                <w:szCs w:val="10"/>
                <w:color w:val="auto"/>
              </w:rPr>
            </w:pPr>
          </w:p>
        </w:tc>
        <w:tc>
          <w:tcPr>
            <w:tcW w:w="10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478,431</w:t>
            </w:r>
          </w:p>
        </w:tc>
        <w:tc>
          <w:tcPr>
            <w:tcW w:w="200" w:type="dxa"/>
            <w:vAlign w:val="bottom"/>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rPr>
              <w:t>4.65%</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jc w:val="right"/>
              <w:ind w:right="181"/>
              <w:spacing w:after="0"/>
              <w:rPr>
                <w:sz w:val="20"/>
                <w:szCs w:val="20"/>
                <w:color w:val="auto"/>
              </w:rPr>
            </w:pPr>
            <w:r>
              <w:rPr>
                <w:rFonts w:ascii="Arial" w:cs="Arial" w:eastAsia="Arial" w:hAnsi="Arial"/>
                <w:sz w:val="8"/>
                <w:szCs w:val="8"/>
                <w:b w:val="1"/>
                <w:bCs w:val="1"/>
                <w:color w:val="auto"/>
              </w:rPr>
              <w:t>Total Debt - Unconsolidated JV</w:t>
            </w: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b w:val="1"/>
                <w:bCs w:val="1"/>
                <w:color w:val="auto"/>
              </w:rPr>
              <w:t>12,921,484</w:t>
            </w:r>
          </w:p>
        </w:tc>
        <w:tc>
          <w:tcPr>
            <w:tcW w:w="200" w:type="dxa"/>
            <w:vAlign w:val="bottom"/>
          </w:tcPr>
          <w:p>
            <w:pPr>
              <w:spacing w:after="0"/>
              <w:rPr>
                <w:sz w:val="9"/>
                <w:szCs w:val="9"/>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5,997,411</w:t>
            </w:r>
          </w:p>
        </w:tc>
        <w:tc>
          <w:tcPr>
            <w:tcW w:w="20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4.62%</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10,363</w:t>
            </w: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tcPr>
          <w:p>
            <w:pPr>
              <w:jc w:val="right"/>
              <w:ind w:right="1"/>
              <w:spacing w:after="0"/>
              <w:rPr>
                <w:sz w:val="20"/>
                <w:szCs w:val="20"/>
                <w:color w:val="auto"/>
              </w:rPr>
            </w:pPr>
            <w:r>
              <w:rPr>
                <w:rFonts w:ascii="Arial" w:cs="Arial" w:eastAsia="Arial" w:hAnsi="Arial"/>
                <w:sz w:val="8"/>
                <w:szCs w:val="8"/>
                <w:b w:val="1"/>
                <w:bCs w:val="1"/>
                <w:color w:val="auto"/>
              </w:rPr>
              <w:t>5,970,261</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tcPr>
          <w:p>
            <w:pPr>
              <w:jc w:val="right"/>
              <w:ind w:right="181"/>
              <w:spacing w:after="0"/>
              <w:rPr>
                <w:sz w:val="20"/>
                <w:szCs w:val="20"/>
                <w:color w:val="auto"/>
              </w:rPr>
            </w:pPr>
            <w:r>
              <w:rPr>
                <w:rFonts w:ascii="Arial" w:cs="Arial" w:eastAsia="Arial" w:hAnsi="Arial"/>
                <w:sz w:val="8"/>
                <w:szCs w:val="8"/>
                <w:color w:val="auto"/>
              </w:rPr>
              <w:t>Deferred financing costs</w:t>
            </w: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rPr>
              <w:t>(110,972)</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color w:val="auto"/>
              </w:rPr>
              <w:t>(53,333)</w:t>
            </w:r>
          </w:p>
        </w:tc>
        <w:tc>
          <w:tcPr>
            <w:tcW w:w="2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jc w:val="right"/>
              <w:ind w:right="181"/>
              <w:spacing w:after="0"/>
              <w:rPr>
                <w:sz w:val="20"/>
                <w:szCs w:val="20"/>
                <w:color w:val="auto"/>
              </w:rPr>
            </w:pPr>
            <w:r>
              <w:rPr>
                <w:rFonts w:ascii="Arial" w:cs="Arial" w:eastAsia="Arial" w:hAnsi="Arial"/>
                <w:sz w:val="8"/>
                <w:szCs w:val="8"/>
                <w:b w:val="1"/>
                <w:bCs w:val="1"/>
                <w:color w:val="auto"/>
                <w:w w:val="99"/>
              </w:rPr>
              <w:t>Total Debt - Unconsolidated JV, net</w:t>
            </w: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tcPr>
          <w:p>
            <w:pPr>
              <w:jc w:val="right"/>
              <w:ind w:right="21"/>
              <w:spacing w:after="0"/>
              <w:rPr>
                <w:sz w:val="20"/>
                <w:szCs w:val="20"/>
                <w:color w:val="auto"/>
              </w:rPr>
            </w:pPr>
            <w:r>
              <w:rPr>
                <w:rFonts w:ascii="Arial" w:cs="Arial" w:eastAsia="Arial" w:hAnsi="Arial"/>
                <w:sz w:val="8"/>
                <w:szCs w:val="8"/>
                <w:b w:val="1"/>
                <w:bCs w:val="1"/>
                <w:color w:val="auto"/>
              </w:rPr>
              <w:t>12,810,512</w:t>
            </w:r>
          </w:p>
        </w:tc>
        <w:tc>
          <w:tcPr>
            <w:tcW w:w="200" w:type="dxa"/>
            <w:vAlign w:val="bottom"/>
          </w:tcPr>
          <w:p>
            <w:pPr>
              <w:spacing w:after="0"/>
              <w:rPr>
                <w:sz w:val="9"/>
                <w:szCs w:val="9"/>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b w:val="1"/>
                <w:bCs w:val="1"/>
                <w:color w:val="auto"/>
                <w:w w:val="88"/>
              </w:rPr>
              <w:t>$</w:t>
            </w:r>
          </w:p>
        </w:tc>
        <w:tc>
          <w:tcPr>
            <w:tcW w:w="600" w:type="dxa"/>
            <w:vAlign w:val="bottom"/>
          </w:tcPr>
          <w:p>
            <w:pPr>
              <w:jc w:val="right"/>
              <w:ind w:right="21"/>
              <w:spacing w:after="0"/>
              <w:rPr>
                <w:sz w:val="20"/>
                <w:szCs w:val="20"/>
                <w:color w:val="auto"/>
              </w:rPr>
            </w:pPr>
            <w:r>
              <w:rPr>
                <w:rFonts w:ascii="Arial" w:cs="Arial" w:eastAsia="Arial" w:hAnsi="Arial"/>
                <w:sz w:val="8"/>
                <w:szCs w:val="8"/>
                <w:b w:val="1"/>
                <w:bCs w:val="1"/>
                <w:color w:val="auto"/>
              </w:rPr>
              <w:t>5,944,078</w:t>
            </w:r>
          </w:p>
        </w:tc>
        <w:tc>
          <w:tcPr>
            <w:tcW w:w="200" w:type="dxa"/>
            <w:vAlign w:val="bottom"/>
          </w:tcPr>
          <w:p>
            <w:pPr>
              <w:spacing w:after="0"/>
              <w:rPr>
                <w:sz w:val="9"/>
                <w:szCs w:val="9"/>
                <w:color w:val="auto"/>
              </w:rPr>
            </w:pPr>
          </w:p>
        </w:tc>
        <w:tc>
          <w:tcPr>
            <w:tcW w:w="520" w:type="dxa"/>
            <w:vAlign w:val="bottom"/>
          </w:tcPr>
          <w:p>
            <w:pPr>
              <w:jc w:val="right"/>
              <w:ind w:right="101"/>
              <w:spacing w:after="0"/>
              <w:rPr>
                <w:sz w:val="20"/>
                <w:szCs w:val="20"/>
                <w:color w:val="auto"/>
              </w:rPr>
            </w:pPr>
            <w:r>
              <w:rPr>
                <w:rFonts w:ascii="Arial" w:cs="Arial" w:eastAsia="Arial" w:hAnsi="Arial"/>
                <w:sz w:val="8"/>
                <w:szCs w:val="8"/>
                <w:b w:val="1"/>
                <w:bCs w:val="1"/>
                <w:color w:val="auto"/>
              </w:rPr>
              <w:t>4.62%</w:t>
            </w:r>
          </w:p>
        </w:tc>
        <w:tc>
          <w:tcPr>
            <w:tcW w:w="280" w:type="dxa"/>
            <w:vAlign w:val="bottom"/>
          </w:tcPr>
          <w:p>
            <w:pPr>
              <w:jc w:val="right"/>
              <w:ind w:right="121"/>
              <w:spacing w:after="0"/>
              <w:rPr>
                <w:sz w:val="20"/>
                <w:szCs w:val="20"/>
                <w:color w:val="auto"/>
              </w:rPr>
            </w:pPr>
            <w:r>
              <w:rPr>
                <w:rFonts w:ascii="Arial" w:cs="Arial" w:eastAsia="Arial" w:hAnsi="Arial"/>
                <w:sz w:val="8"/>
                <w:szCs w:val="8"/>
                <w:color w:val="auto"/>
              </w:rPr>
              <w:t>(4)</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40" w:right="80" w:hanging="122"/>
        <w:spacing w:after="0" w:line="293" w:lineRule="auto"/>
        <w:tabs>
          <w:tab w:leader="none" w:pos="125" w:val="left"/>
        </w:tabs>
        <w:numPr>
          <w:ilvl w:val="0"/>
          <w:numId w:val="16"/>
        </w:numPr>
        <w:rPr>
          <w:rFonts w:ascii="Arial" w:cs="Arial" w:eastAsia="Arial" w:hAnsi="Arial"/>
          <w:sz w:val="7"/>
          <w:szCs w:val="7"/>
          <w:color w:val="auto"/>
        </w:rPr>
      </w:pPr>
      <w:r>
        <w:rPr>
          <w:rFonts w:ascii="Arial" w:cs="Arial" w:eastAsia="Arial" w:hAnsi="Arial"/>
          <w:sz w:val="7"/>
          <w:szCs w:val="7"/>
          <w:color w:val="auto"/>
        </w:rPr>
        <w:t>Coupon for floating rate debt determined using the effective Term SOFR rate at the end of the quarter of 3.66%. Coupon for loans that are subject to alternative SOFR rates, SOFR floors, interest rate caps or interest rate swaps were determined using the alternative SOFR rates, SOFR floors, interest rate cap strike rate, or swapped interest rate plus the applicable loan spread.</w:t>
      </w:r>
    </w:p>
    <w:p>
      <w:pPr>
        <w:spacing w:after="0" w:line="19" w:lineRule="exact"/>
        <w:rPr>
          <w:rFonts w:ascii="Arial" w:cs="Arial" w:eastAsia="Arial" w:hAnsi="Arial"/>
          <w:sz w:val="7"/>
          <w:szCs w:val="7"/>
          <w:color w:val="auto"/>
        </w:rPr>
      </w:pPr>
    </w:p>
    <w:p>
      <w:pPr>
        <w:ind w:left="120" w:hanging="102"/>
        <w:spacing w:after="0"/>
        <w:tabs>
          <w:tab w:leader="none" w:pos="120" w:val="left"/>
        </w:tabs>
        <w:numPr>
          <w:ilvl w:val="0"/>
          <w:numId w:val="16"/>
        </w:numPr>
        <w:rPr>
          <w:rFonts w:ascii="Arial" w:cs="Arial" w:eastAsia="Arial" w:hAnsi="Arial"/>
          <w:sz w:val="7"/>
          <w:szCs w:val="7"/>
          <w:color w:val="auto"/>
        </w:rPr>
      </w:pPr>
      <w:r>
        <w:rPr>
          <w:rFonts w:ascii="Arial" w:cs="Arial" w:eastAsia="Arial" w:hAnsi="Arial"/>
          <w:sz w:val="7"/>
          <w:szCs w:val="7"/>
          <w:color w:val="auto"/>
        </w:rPr>
        <w:t>Reflects exercise of all available extension options, which may be subject to conditions and/or result in adjusted terms.</w:t>
      </w:r>
    </w:p>
    <w:p>
      <w:pPr>
        <w:spacing w:after="0" w:line="47" w:lineRule="exact"/>
        <w:rPr>
          <w:rFonts w:ascii="Arial" w:cs="Arial" w:eastAsia="Arial" w:hAnsi="Arial"/>
          <w:sz w:val="7"/>
          <w:szCs w:val="7"/>
          <w:color w:val="auto"/>
        </w:rPr>
      </w:pPr>
    </w:p>
    <w:p>
      <w:pPr>
        <w:ind w:left="120" w:hanging="102"/>
        <w:spacing w:after="0"/>
        <w:tabs>
          <w:tab w:leader="none" w:pos="120" w:val="left"/>
        </w:tabs>
        <w:numPr>
          <w:ilvl w:val="0"/>
          <w:numId w:val="16"/>
        </w:numPr>
        <w:rPr>
          <w:rFonts w:ascii="Arial" w:cs="Arial" w:eastAsia="Arial" w:hAnsi="Arial"/>
          <w:sz w:val="7"/>
          <w:szCs w:val="7"/>
          <w:color w:val="auto"/>
        </w:rPr>
      </w:pPr>
      <w:r>
        <w:rPr>
          <w:rFonts w:ascii="Arial" w:cs="Arial" w:eastAsia="Arial" w:hAnsi="Arial"/>
          <w:sz w:val="7"/>
          <w:szCs w:val="7"/>
          <w:color w:val="auto"/>
        </w:rPr>
        <w:t>Coupon reflects interest rate swaps executed at the corporate level for SLG’s share of the outstanding debt.</w:t>
      </w:r>
    </w:p>
    <w:p>
      <w:pPr>
        <w:spacing w:after="0" w:line="47" w:lineRule="exact"/>
        <w:rPr>
          <w:rFonts w:ascii="Arial" w:cs="Arial" w:eastAsia="Arial" w:hAnsi="Arial"/>
          <w:sz w:val="7"/>
          <w:szCs w:val="7"/>
          <w:color w:val="auto"/>
        </w:rPr>
      </w:pPr>
    </w:p>
    <w:p>
      <w:pPr>
        <w:ind w:left="120" w:hanging="102"/>
        <w:spacing w:after="0"/>
        <w:tabs>
          <w:tab w:leader="none" w:pos="120" w:val="left"/>
        </w:tabs>
        <w:numPr>
          <w:ilvl w:val="0"/>
          <w:numId w:val="16"/>
        </w:numPr>
        <w:rPr>
          <w:rFonts w:ascii="Arial" w:cs="Arial" w:eastAsia="Arial" w:hAnsi="Arial"/>
          <w:sz w:val="7"/>
          <w:szCs w:val="7"/>
          <w:color w:val="auto"/>
        </w:rPr>
      </w:pPr>
      <w:r>
        <w:rPr>
          <w:rFonts w:ascii="Arial" w:cs="Arial" w:eastAsia="Arial" w:hAnsi="Arial"/>
          <w:sz w:val="7"/>
          <w:szCs w:val="7"/>
          <w:color w:val="auto"/>
        </w:rPr>
        <w:t>Calculated based on SL Green's share of the outstanding debt.</w:t>
      </w:r>
    </w:p>
    <w:p>
      <w:pPr>
        <w:spacing w:after="0" w:line="47" w:lineRule="exact"/>
        <w:rPr>
          <w:rFonts w:ascii="Arial" w:cs="Arial" w:eastAsia="Arial" w:hAnsi="Arial"/>
          <w:sz w:val="7"/>
          <w:szCs w:val="7"/>
          <w:color w:val="auto"/>
        </w:rPr>
      </w:pPr>
    </w:p>
    <w:p>
      <w:pPr>
        <w:ind w:left="120" w:hanging="102"/>
        <w:spacing w:after="0"/>
        <w:tabs>
          <w:tab w:leader="none" w:pos="120" w:val="left"/>
        </w:tabs>
        <w:numPr>
          <w:ilvl w:val="0"/>
          <w:numId w:val="16"/>
        </w:numPr>
        <w:rPr>
          <w:rFonts w:ascii="Arial" w:cs="Arial" w:eastAsia="Arial" w:hAnsi="Arial"/>
          <w:sz w:val="7"/>
          <w:szCs w:val="7"/>
          <w:color w:val="auto"/>
        </w:rPr>
      </w:pPr>
      <w:r>
        <w:rPr>
          <w:rFonts w:ascii="Arial" w:cs="Arial" w:eastAsia="Arial" w:hAnsi="Arial"/>
          <w:sz w:val="7"/>
          <w:szCs w:val="7"/>
          <w:color w:val="auto"/>
        </w:rPr>
        <w:t>The coupon rate is based on the last available LIBOR on June 30, 2023.</w:t>
      </w:r>
    </w:p>
    <w:p>
      <w:pPr>
        <w:spacing w:after="0" w:line="47" w:lineRule="exact"/>
        <w:rPr>
          <w:rFonts w:ascii="Arial" w:cs="Arial" w:eastAsia="Arial" w:hAnsi="Arial"/>
          <w:sz w:val="7"/>
          <w:szCs w:val="7"/>
          <w:color w:val="auto"/>
        </w:rPr>
      </w:pPr>
    </w:p>
    <w:p>
      <w:pPr>
        <w:ind w:left="120" w:hanging="102"/>
        <w:spacing w:after="0"/>
        <w:tabs>
          <w:tab w:leader="none" w:pos="120" w:val="left"/>
        </w:tabs>
        <w:numPr>
          <w:ilvl w:val="0"/>
          <w:numId w:val="16"/>
        </w:numPr>
        <w:rPr>
          <w:rFonts w:ascii="Arial" w:cs="Arial" w:eastAsia="Arial" w:hAnsi="Arial"/>
          <w:sz w:val="7"/>
          <w:szCs w:val="7"/>
          <w:color w:val="auto"/>
        </w:rPr>
      </w:pPr>
      <w:r>
        <w:rPr>
          <w:rFonts w:ascii="Arial" w:cs="Arial" w:eastAsia="Arial" w:hAnsi="Arial"/>
          <w:sz w:val="7"/>
          <w:szCs w:val="7"/>
          <w:color w:val="auto"/>
        </w:rPr>
        <w:t>The Company's joint venture partner is in discussions with the lender on resolution of the past maturity.</w:t>
      </w: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24</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8" w:right="14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DEBT COMPOSITION AND CORPORATE DEBT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-121285</wp:posOffset>
            </wp:positionV>
            <wp:extent cx="7169785" cy="356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785" cy="35623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31115</wp:posOffset>
            </wp:positionV>
            <wp:extent cx="716978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5715</wp:posOffset>
            </wp:positionV>
            <wp:extent cx="716978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780" w:type="dxa"/>
            <w:vAlign w:val="bottom"/>
            <w:tcBorders>
              <w:right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6"/>
          </w:tcPr>
          <w:p>
            <w:pPr>
              <w:jc w:val="right"/>
              <w:ind w:right="554"/>
              <w:spacing w:after="0"/>
              <w:rPr>
                <w:sz w:val="20"/>
                <w:szCs w:val="20"/>
                <w:color w:val="auto"/>
              </w:rPr>
            </w:pPr>
            <w:r>
              <w:rPr>
                <w:rFonts w:ascii="Arial" w:cs="Arial" w:eastAsia="Arial" w:hAnsi="Arial"/>
                <w:sz w:val="9"/>
                <w:szCs w:val="9"/>
                <w:b w:val="1"/>
                <w:bCs w:val="1"/>
                <w:color w:val="auto"/>
              </w:rPr>
              <w:t>Composition of Debt</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80" w:type="dxa"/>
            <w:vAlign w:val="bottom"/>
            <w:tcBorders>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80" w:type="dxa"/>
            <w:vAlign w:val="bottom"/>
            <w:tcBorders>
              <w:righ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5"/>
          </w:tcPr>
          <w:p>
            <w:pPr>
              <w:jc w:val="right"/>
              <w:ind w:right="820"/>
              <w:spacing w:after="0"/>
              <w:rPr>
                <w:sz w:val="20"/>
                <w:szCs w:val="20"/>
                <w:color w:val="auto"/>
              </w:rPr>
            </w:pPr>
            <w:r>
              <w:rPr>
                <w:rFonts w:ascii="Arial" w:cs="Arial" w:eastAsia="Arial" w:hAnsi="Arial"/>
                <w:sz w:val="9"/>
                <w:szCs w:val="9"/>
                <w:b w:val="1"/>
                <w:bCs w:val="1"/>
                <w:color w:val="auto"/>
              </w:rPr>
              <w:t>Core Portfolio</w:t>
            </w:r>
          </w:p>
        </w:tc>
        <w:tc>
          <w:tcPr>
            <w:tcW w:w="80" w:type="dxa"/>
            <w:vAlign w:val="bottom"/>
          </w:tcPr>
          <w:p>
            <w:pPr>
              <w:spacing w:after="0"/>
              <w:rPr>
                <w:sz w:val="15"/>
                <w:szCs w:val="15"/>
                <w:color w:val="auto"/>
              </w:rPr>
            </w:pPr>
          </w:p>
        </w:tc>
        <w:tc>
          <w:tcPr>
            <w:tcW w:w="1760" w:type="dxa"/>
            <w:vAlign w:val="bottom"/>
            <w:gridSpan w:val="8"/>
          </w:tcPr>
          <w:p>
            <w:pPr>
              <w:spacing w:after="0"/>
              <w:rPr>
                <w:sz w:val="20"/>
                <w:szCs w:val="20"/>
                <w:color w:val="auto"/>
              </w:rPr>
            </w:pPr>
            <w:r>
              <w:rPr>
                <w:rFonts w:ascii="Arial" w:cs="Arial" w:eastAsia="Arial" w:hAnsi="Arial"/>
                <w:sz w:val="9"/>
                <w:szCs w:val="9"/>
                <w:b w:val="1"/>
                <w:bCs w:val="1"/>
                <w:color w:val="auto"/>
              </w:rPr>
              <w:t>Alternative Strategy Portfolio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9"/>
                <w:szCs w:val="9"/>
                <w:b w:val="1"/>
                <w:bCs w:val="1"/>
                <w:color w:val="auto"/>
              </w:rPr>
              <w:t>Total</w:t>
            </w:r>
          </w:p>
        </w:tc>
        <w:tc>
          <w:tcPr>
            <w:tcW w:w="5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80" w:type="dxa"/>
            <w:vAlign w:val="bottom"/>
            <w:tcBorders>
              <w:right w:val="single" w:sz="8" w:color="auto"/>
            </w:tcBorders>
          </w:tcPr>
          <w:p>
            <w:pPr>
              <w:spacing w:after="0"/>
              <w:rPr>
                <w:sz w:val="3"/>
                <w:szCs w:val="3"/>
                <w:color w:val="auto"/>
              </w:rPr>
            </w:pPr>
          </w:p>
        </w:tc>
        <w:tc>
          <w:tcPr>
            <w:tcW w:w="1640" w:type="dxa"/>
            <w:vAlign w:val="bottom"/>
            <w:vMerge w:val="restart"/>
          </w:tcPr>
          <w:p>
            <w:pPr>
              <w:spacing w:after="0"/>
              <w:rPr>
                <w:sz w:val="20"/>
                <w:szCs w:val="20"/>
                <w:color w:val="auto"/>
              </w:rPr>
            </w:pPr>
            <w:r>
              <w:rPr>
                <w:rFonts w:ascii="Arial" w:cs="Arial" w:eastAsia="Arial" w:hAnsi="Arial"/>
                <w:sz w:val="9"/>
                <w:szCs w:val="9"/>
                <w:b w:val="1"/>
                <w:bCs w:val="1"/>
                <w:color w:val="auto"/>
              </w:rPr>
              <w:t>Fixed Rate Debt</w:t>
            </w:r>
          </w:p>
        </w:tc>
        <w:tc>
          <w:tcPr>
            <w:tcW w:w="4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780" w:type="dxa"/>
            <w:vAlign w:val="bottom"/>
            <w:tcBorders>
              <w:right w:val="single" w:sz="8" w:color="auto"/>
            </w:tcBorders>
          </w:tcPr>
          <w:p>
            <w:pPr>
              <w:spacing w:after="0"/>
              <w:rPr>
                <w:sz w:val="8"/>
                <w:szCs w:val="8"/>
                <w:color w:val="auto"/>
              </w:rPr>
            </w:pPr>
          </w:p>
        </w:tc>
        <w:tc>
          <w:tcPr>
            <w:tcW w:w="16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780" w:type="dxa"/>
            <w:vAlign w:val="bottom"/>
            <w:tcBorders>
              <w:right w:val="single" w:sz="8" w:color="auto"/>
            </w:tcBorders>
          </w:tcPr>
          <w:p>
            <w:pPr>
              <w:spacing w:after="0"/>
              <w:rPr>
                <w:sz w:val="13"/>
                <w:szCs w:val="13"/>
                <w:color w:val="auto"/>
              </w:rPr>
            </w:pPr>
          </w:p>
        </w:tc>
        <w:tc>
          <w:tcPr>
            <w:tcW w:w="1640" w:type="dxa"/>
            <w:vAlign w:val="bottom"/>
          </w:tcPr>
          <w:p>
            <w:pPr>
              <w:ind w:left="180"/>
              <w:spacing w:after="0"/>
              <w:rPr>
                <w:sz w:val="20"/>
                <w:szCs w:val="20"/>
                <w:color w:val="auto"/>
              </w:rPr>
            </w:pPr>
            <w:r>
              <w:rPr>
                <w:rFonts w:ascii="Arial" w:cs="Arial" w:eastAsia="Arial" w:hAnsi="Arial"/>
                <w:sz w:val="9"/>
                <w:szCs w:val="9"/>
                <w:color w:val="auto"/>
              </w:rPr>
              <w:t>Consolidated</w:t>
            </w:r>
          </w:p>
        </w:tc>
        <w:tc>
          <w:tcPr>
            <w:tcW w:w="580" w:type="dxa"/>
            <w:vAlign w:val="bottom"/>
            <w:gridSpan w:val="2"/>
          </w:tcPr>
          <w:p>
            <w:pPr>
              <w:jc w:val="right"/>
              <w:ind w:right="14"/>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4,108,672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jc w:val="right"/>
              <w:ind w:right="14"/>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14"/>
              <w:spacing w:after="0"/>
              <w:rPr>
                <w:sz w:val="20"/>
                <w:szCs w:val="20"/>
                <w:color w:val="auto"/>
              </w:rPr>
            </w:pPr>
            <w:r>
              <w:rPr>
                <w:rFonts w:ascii="Arial" w:cs="Arial" w:eastAsia="Arial" w:hAnsi="Arial"/>
                <w:sz w:val="9"/>
                <w:szCs w:val="9"/>
                <w:color w:val="auto"/>
              </w:rPr>
              <w:t>4,108,672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640" w:type="dxa"/>
            <w:vAlign w:val="bottom"/>
          </w:tcPr>
          <w:p>
            <w:pPr>
              <w:ind w:left="180"/>
              <w:spacing w:after="0"/>
              <w:rPr>
                <w:sz w:val="20"/>
                <w:szCs w:val="20"/>
                <w:color w:val="auto"/>
              </w:rPr>
            </w:pPr>
            <w:r>
              <w:rPr>
                <w:rFonts w:ascii="Arial" w:cs="Arial" w:eastAsia="Arial" w:hAnsi="Arial"/>
                <w:sz w:val="9"/>
                <w:szCs w:val="9"/>
                <w:color w:val="auto"/>
              </w:rPr>
              <w:t>SLG Share of JV</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5,263,980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4"/>
              <w:spacing w:after="0"/>
              <w:rPr>
                <w:sz w:val="20"/>
                <w:szCs w:val="20"/>
                <w:color w:val="auto"/>
              </w:rPr>
            </w:pPr>
            <w:r>
              <w:rPr>
                <w:rFonts w:ascii="Arial" w:cs="Arial" w:eastAsia="Arial" w:hAnsi="Arial"/>
                <w:sz w:val="9"/>
                <w:szCs w:val="9"/>
                <w:color w:val="auto"/>
              </w:rPr>
              <w:t>366,531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4"/>
              <w:spacing w:after="0"/>
              <w:rPr>
                <w:sz w:val="20"/>
                <w:szCs w:val="20"/>
                <w:color w:val="auto"/>
              </w:rPr>
            </w:pPr>
            <w:r>
              <w:rPr>
                <w:rFonts w:ascii="Arial" w:cs="Arial" w:eastAsia="Arial" w:hAnsi="Arial"/>
                <w:sz w:val="9"/>
                <w:szCs w:val="9"/>
                <w:color w:val="auto"/>
              </w:rPr>
              <w:t>5,630,511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80" w:type="dxa"/>
            <w:vAlign w:val="bottom"/>
            <w:tcBorders>
              <w:right w:val="single" w:sz="8" w:color="auto"/>
            </w:tcBorders>
          </w:tcPr>
          <w:p>
            <w:pPr>
              <w:spacing w:after="0"/>
              <w:rPr>
                <w:sz w:val="3"/>
                <w:szCs w:val="3"/>
                <w:color w:val="auto"/>
              </w:rPr>
            </w:pPr>
          </w:p>
        </w:tc>
        <w:tc>
          <w:tcPr>
            <w:tcW w:w="1640" w:type="dxa"/>
            <w:vAlign w:val="bottom"/>
            <w:vMerge w:val="restart"/>
          </w:tcPr>
          <w:p>
            <w:pPr>
              <w:ind w:left="180"/>
              <w:spacing w:after="0"/>
              <w:rPr>
                <w:sz w:val="20"/>
                <w:szCs w:val="20"/>
                <w:color w:val="auto"/>
              </w:rPr>
            </w:pPr>
            <w:r>
              <w:rPr>
                <w:rFonts w:ascii="Arial" w:cs="Arial" w:eastAsia="Arial" w:hAnsi="Arial"/>
                <w:sz w:val="9"/>
                <w:szCs w:val="9"/>
                <w:b w:val="1"/>
                <w:bCs w:val="1"/>
                <w:color w:val="auto"/>
              </w:rPr>
              <w:t>Total Fixed Rate Debt</w:t>
            </w:r>
          </w:p>
        </w:tc>
        <w:tc>
          <w:tcPr>
            <w:tcW w:w="58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2"/>
            <w:vMerge w:val="restart"/>
          </w:tcPr>
          <w:p>
            <w:pPr>
              <w:jc w:val="center"/>
              <w:ind w:left="94"/>
              <w:spacing w:after="0"/>
              <w:rPr>
                <w:sz w:val="20"/>
                <w:szCs w:val="20"/>
                <w:color w:val="auto"/>
              </w:rPr>
            </w:pPr>
            <w:r>
              <w:rPr>
                <w:rFonts w:ascii="Arial" w:cs="Arial" w:eastAsia="Arial" w:hAnsi="Arial"/>
                <w:sz w:val="9"/>
                <w:szCs w:val="9"/>
                <w:b w:val="1"/>
                <w:bCs w:val="1"/>
                <w:color w:val="auto"/>
              </w:rPr>
              <w:t>91.1%</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gridSpan w:val="3"/>
            <w:vMerge w:val="restart"/>
          </w:tcPr>
          <w:p>
            <w:pPr>
              <w:jc w:val="center"/>
              <w:ind w:left="54"/>
              <w:spacing w:after="0"/>
              <w:rPr>
                <w:sz w:val="20"/>
                <w:szCs w:val="20"/>
                <w:color w:val="auto"/>
              </w:rPr>
            </w:pPr>
            <w:r>
              <w:rPr>
                <w:rFonts w:ascii="Arial" w:cs="Arial" w:eastAsia="Arial" w:hAnsi="Arial"/>
                <w:sz w:val="9"/>
                <w:szCs w:val="9"/>
                <w:b w:val="1"/>
                <w:bCs w:val="1"/>
                <w:color w:val="auto"/>
              </w:rPr>
              <w:t>76.6%</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90.4%</w:t>
            </w:r>
          </w:p>
        </w:tc>
        <w:tc>
          <w:tcPr>
            <w:tcW w:w="22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780" w:type="dxa"/>
            <w:vAlign w:val="bottom"/>
            <w:tcBorders>
              <w:right w:val="single" w:sz="8" w:color="auto"/>
            </w:tcBorders>
          </w:tcPr>
          <w:p>
            <w:pPr>
              <w:spacing w:after="0"/>
              <w:rPr>
                <w:sz w:val="9"/>
                <w:szCs w:val="9"/>
                <w:color w:val="auto"/>
              </w:rPr>
            </w:pPr>
          </w:p>
        </w:tc>
        <w:tc>
          <w:tcPr>
            <w:tcW w:w="16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rPr>
              <w:t>9,372,652</w:t>
            </w:r>
          </w:p>
        </w:tc>
        <w:tc>
          <w:tcPr>
            <w:tcW w:w="20" w:type="dxa"/>
            <w:vAlign w:val="bottom"/>
            <w:tcBorders>
              <w:top w:val="single" w:sz="8" w:color="auto"/>
            </w:tcBorders>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top w:val="single" w:sz="8" w:color="auto"/>
            </w:tcBorders>
            <w:gridSpan w:val="3"/>
          </w:tcPr>
          <w:p>
            <w:pPr>
              <w:jc w:val="right"/>
              <w:ind w:right="14"/>
              <w:spacing w:after="0"/>
              <w:rPr>
                <w:sz w:val="20"/>
                <w:szCs w:val="20"/>
                <w:color w:val="auto"/>
              </w:rPr>
            </w:pPr>
            <w:r>
              <w:rPr>
                <w:rFonts w:ascii="Arial" w:cs="Arial" w:eastAsia="Arial" w:hAnsi="Arial"/>
                <w:sz w:val="9"/>
                <w:szCs w:val="9"/>
                <w:b w:val="1"/>
                <w:bCs w:val="1"/>
                <w:color w:val="auto"/>
              </w:rPr>
              <w:t>366,531</w:t>
            </w:r>
          </w:p>
        </w:tc>
        <w:tc>
          <w:tcPr>
            <w:tcW w:w="6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9,739,183</w:t>
            </w: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780" w:type="dxa"/>
            <w:vAlign w:val="bottom"/>
            <w:tcBorders>
              <w:right w:val="single" w:sz="8" w:color="auto"/>
            </w:tcBorders>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9"/>
                <w:szCs w:val="9"/>
                <w:b w:val="1"/>
                <w:bCs w:val="1"/>
                <w:color w:val="auto"/>
              </w:rPr>
              <w:t>Floating Rate Debt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80" w:type="dxa"/>
            <w:vAlign w:val="bottom"/>
            <w:tcBorders>
              <w:right w:val="single" w:sz="8" w:color="auto"/>
            </w:tcBorders>
          </w:tcPr>
          <w:p>
            <w:pPr>
              <w:spacing w:after="0"/>
              <w:rPr>
                <w:sz w:val="13"/>
                <w:szCs w:val="13"/>
                <w:color w:val="auto"/>
              </w:rPr>
            </w:pPr>
          </w:p>
        </w:tc>
        <w:tc>
          <w:tcPr>
            <w:tcW w:w="1640" w:type="dxa"/>
            <w:vAlign w:val="bottom"/>
          </w:tcPr>
          <w:p>
            <w:pPr>
              <w:ind w:left="180"/>
              <w:spacing w:after="0"/>
              <w:rPr>
                <w:sz w:val="20"/>
                <w:szCs w:val="20"/>
                <w:color w:val="auto"/>
              </w:rPr>
            </w:pPr>
            <w:r>
              <w:rPr>
                <w:rFonts w:ascii="Arial" w:cs="Arial" w:eastAsia="Arial" w:hAnsi="Arial"/>
                <w:sz w:val="9"/>
                <w:szCs w:val="9"/>
                <w:color w:val="auto"/>
              </w:rPr>
              <w:t>Consolidated</w:t>
            </w:r>
          </w:p>
        </w:tc>
        <w:tc>
          <w:tcPr>
            <w:tcW w:w="580" w:type="dxa"/>
            <w:vAlign w:val="bottom"/>
            <w:gridSpan w:val="2"/>
          </w:tcPr>
          <w:p>
            <w:pPr>
              <w:jc w:val="right"/>
              <w:ind w:right="14"/>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665,611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jc w:val="right"/>
              <w:ind w:right="14"/>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14"/>
              <w:spacing w:after="0"/>
              <w:rPr>
                <w:sz w:val="20"/>
                <w:szCs w:val="20"/>
                <w:color w:val="auto"/>
              </w:rPr>
            </w:pPr>
            <w:r>
              <w:rPr>
                <w:rFonts w:ascii="Arial" w:cs="Arial" w:eastAsia="Arial" w:hAnsi="Arial"/>
                <w:sz w:val="9"/>
                <w:szCs w:val="9"/>
                <w:color w:val="auto"/>
              </w:rPr>
              <w:t>665,611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640" w:type="dxa"/>
            <w:vAlign w:val="bottom"/>
          </w:tcPr>
          <w:p>
            <w:pPr>
              <w:ind w:left="180"/>
              <w:spacing w:after="0"/>
              <w:rPr>
                <w:sz w:val="20"/>
                <w:szCs w:val="20"/>
                <w:color w:val="auto"/>
              </w:rPr>
            </w:pPr>
            <w:r>
              <w:rPr>
                <w:rFonts w:ascii="Arial" w:cs="Arial" w:eastAsia="Arial" w:hAnsi="Arial"/>
                <w:sz w:val="9"/>
                <w:szCs w:val="9"/>
                <w:color w:val="auto"/>
              </w:rPr>
              <w:t>SLG Share of JV</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255,000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4"/>
              <w:spacing w:after="0"/>
              <w:rPr>
                <w:sz w:val="20"/>
                <w:szCs w:val="20"/>
                <w:color w:val="auto"/>
              </w:rPr>
            </w:pPr>
            <w:r>
              <w:rPr>
                <w:rFonts w:ascii="Arial" w:cs="Arial" w:eastAsia="Arial" w:hAnsi="Arial"/>
                <w:sz w:val="9"/>
                <w:szCs w:val="9"/>
                <w:color w:val="auto"/>
              </w:rPr>
              <w:t>111,900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4"/>
              <w:spacing w:after="0"/>
              <w:rPr>
                <w:sz w:val="20"/>
                <w:szCs w:val="20"/>
                <w:color w:val="auto"/>
              </w:rPr>
            </w:pPr>
            <w:r>
              <w:rPr>
                <w:rFonts w:ascii="Arial" w:cs="Arial" w:eastAsia="Arial" w:hAnsi="Arial"/>
                <w:sz w:val="9"/>
                <w:szCs w:val="9"/>
                <w:color w:val="auto"/>
              </w:rPr>
              <w:t>366,900</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80" w:type="dxa"/>
            <w:vAlign w:val="bottom"/>
            <w:tcBorders>
              <w:right w:val="single" w:sz="8" w:color="auto"/>
            </w:tcBorders>
          </w:tcPr>
          <w:p>
            <w:pPr>
              <w:spacing w:after="0"/>
              <w:rPr>
                <w:sz w:val="3"/>
                <w:szCs w:val="3"/>
                <w:color w:val="auto"/>
              </w:rPr>
            </w:pPr>
          </w:p>
        </w:tc>
        <w:tc>
          <w:tcPr>
            <w:tcW w:w="1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gridSpan w:val="2"/>
            <w:vMerge w:val="restart"/>
          </w:tcPr>
          <w:p>
            <w:pPr>
              <w:jc w:val="center"/>
              <w:ind w:left="74"/>
              <w:spacing w:after="0"/>
              <w:rPr>
                <w:sz w:val="20"/>
                <w:szCs w:val="20"/>
                <w:color w:val="auto"/>
              </w:rPr>
            </w:pPr>
            <w:r>
              <w:rPr>
                <w:rFonts w:ascii="Arial" w:cs="Arial" w:eastAsia="Arial" w:hAnsi="Arial"/>
                <w:sz w:val="9"/>
                <w:szCs w:val="9"/>
                <w:b w:val="1"/>
                <w:bCs w:val="1"/>
                <w:color w:val="auto"/>
                <w:w w:val="97"/>
              </w:rPr>
              <w:t>8.9%</w:t>
            </w:r>
          </w:p>
        </w:tc>
        <w:tc>
          <w:tcPr>
            <w:tcW w:w="4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gridSpan w:val="3"/>
            <w:vMerge w:val="restart"/>
          </w:tcPr>
          <w:p>
            <w:pPr>
              <w:jc w:val="center"/>
              <w:ind w:left="54"/>
              <w:spacing w:after="0"/>
              <w:rPr>
                <w:sz w:val="20"/>
                <w:szCs w:val="20"/>
                <w:color w:val="auto"/>
              </w:rPr>
            </w:pPr>
            <w:r>
              <w:rPr>
                <w:rFonts w:ascii="Arial" w:cs="Arial" w:eastAsia="Arial" w:hAnsi="Arial"/>
                <w:sz w:val="9"/>
                <w:szCs w:val="9"/>
                <w:b w:val="1"/>
                <w:bCs w:val="1"/>
                <w:color w:val="auto"/>
              </w:rPr>
              <w:t>23.4%</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9.6%</w:t>
            </w:r>
          </w:p>
        </w:tc>
        <w:tc>
          <w:tcPr>
            <w:tcW w:w="22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780" w:type="dxa"/>
            <w:vAlign w:val="bottom"/>
            <w:tcBorders>
              <w:right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920,611</w:t>
            </w:r>
          </w:p>
        </w:tc>
        <w:tc>
          <w:tcPr>
            <w:tcW w:w="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tcPr>
          <w:p>
            <w:pPr>
              <w:jc w:val="right"/>
              <w:ind w:right="14"/>
              <w:spacing w:after="0"/>
              <w:rPr>
                <w:sz w:val="20"/>
                <w:szCs w:val="20"/>
                <w:color w:val="auto"/>
              </w:rPr>
            </w:pPr>
            <w:r>
              <w:rPr>
                <w:rFonts w:ascii="Arial" w:cs="Arial" w:eastAsia="Arial" w:hAnsi="Arial"/>
                <w:sz w:val="9"/>
                <w:szCs w:val="9"/>
                <w:color w:val="auto"/>
              </w:rPr>
              <w:t>111,900</w:t>
            </w:r>
          </w:p>
        </w:tc>
        <w:tc>
          <w:tcPr>
            <w:tcW w:w="6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14"/>
              <w:spacing w:after="0"/>
              <w:rPr>
                <w:sz w:val="20"/>
                <w:szCs w:val="20"/>
                <w:color w:val="auto"/>
              </w:rPr>
            </w:pPr>
            <w:r>
              <w:rPr>
                <w:rFonts w:ascii="Arial" w:cs="Arial" w:eastAsia="Arial" w:hAnsi="Arial"/>
                <w:sz w:val="9"/>
                <w:szCs w:val="9"/>
                <w:color w:val="auto"/>
              </w:rPr>
              <w:t>1,032,511</w:t>
            </w: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0" w:type="dxa"/>
            <w:vAlign w:val="bottom"/>
            <w:tcBorders>
              <w:right w:val="single" w:sz="8" w:color="auto"/>
            </w:tcBorders>
          </w:tcPr>
          <w:p>
            <w:pPr>
              <w:spacing w:after="0"/>
              <w:rPr>
                <w:sz w:val="10"/>
                <w:szCs w:val="10"/>
                <w:color w:val="auto"/>
              </w:rPr>
            </w:pPr>
          </w:p>
        </w:tc>
        <w:tc>
          <w:tcPr>
            <w:tcW w:w="1640" w:type="dxa"/>
            <w:vAlign w:val="bottom"/>
          </w:tcPr>
          <w:p>
            <w:pPr>
              <w:ind w:left="180"/>
              <w:spacing w:after="0"/>
              <w:rPr>
                <w:sz w:val="20"/>
                <w:szCs w:val="20"/>
                <w:color w:val="auto"/>
              </w:rPr>
            </w:pPr>
            <w:r>
              <w:rPr>
                <w:rFonts w:ascii="Arial" w:cs="Arial" w:eastAsia="Arial" w:hAnsi="Arial"/>
                <w:sz w:val="9"/>
                <w:szCs w:val="9"/>
                <w:color w:val="auto"/>
              </w:rPr>
              <w:t>Debt &amp; Preferred Equity and CMBS</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(78,594)</w:t>
            </w:r>
          </w:p>
        </w:tc>
        <w:tc>
          <w:tcPr>
            <w:tcW w:w="660" w:type="dxa"/>
            <w:vAlign w:val="bottom"/>
            <w:gridSpan w:val="3"/>
          </w:tcPr>
          <w:p>
            <w:pPr>
              <w:jc w:val="center"/>
              <w:ind w:left="94"/>
              <w:spacing w:after="0"/>
              <w:rPr>
                <w:sz w:val="20"/>
                <w:szCs w:val="20"/>
                <w:color w:val="auto"/>
              </w:rPr>
            </w:pPr>
            <w:r>
              <w:rPr>
                <w:rFonts w:ascii="Arial" w:cs="Arial" w:eastAsia="Arial" w:hAnsi="Arial"/>
                <w:sz w:val="9"/>
                <w:szCs w:val="9"/>
                <w:b w:val="1"/>
                <w:bCs w:val="1"/>
                <w:color w:val="auto"/>
              </w:rPr>
              <w:t>(0.8)%</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jc w:val="right"/>
              <w:ind w:right="14"/>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900" w:type="dxa"/>
            <w:vAlign w:val="bottom"/>
            <w:gridSpan w:val="4"/>
          </w:tcPr>
          <w:p>
            <w:pPr>
              <w:jc w:val="center"/>
              <w:ind w:right="400"/>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(78,594)</w:t>
            </w:r>
          </w:p>
        </w:tc>
        <w:tc>
          <w:tcPr>
            <w:tcW w:w="1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rPr>
              <w:t>(0.7)%</w:t>
            </w:r>
          </w:p>
        </w:tc>
        <w:tc>
          <w:tcPr>
            <w:tcW w:w="2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80" w:type="dxa"/>
            <w:vAlign w:val="bottom"/>
            <w:tcBorders>
              <w:right w:val="single" w:sz="8" w:color="auto"/>
            </w:tcBorders>
          </w:tcPr>
          <w:p>
            <w:pPr>
              <w:spacing w:after="0"/>
              <w:rPr>
                <w:sz w:val="11"/>
                <w:szCs w:val="11"/>
                <w:color w:val="auto"/>
              </w:rPr>
            </w:pPr>
          </w:p>
        </w:tc>
        <w:tc>
          <w:tcPr>
            <w:tcW w:w="1640" w:type="dxa"/>
            <w:vAlign w:val="bottom"/>
          </w:tcPr>
          <w:p>
            <w:pPr>
              <w:ind w:left="180"/>
              <w:spacing w:after="0"/>
              <w:rPr>
                <w:sz w:val="20"/>
                <w:szCs w:val="20"/>
                <w:color w:val="auto"/>
              </w:rPr>
            </w:pPr>
            <w:r>
              <w:rPr>
                <w:rFonts w:ascii="Arial" w:cs="Arial" w:eastAsia="Arial" w:hAnsi="Arial"/>
                <w:sz w:val="9"/>
                <w:szCs w:val="9"/>
                <w:color w:val="auto"/>
              </w:rPr>
              <w:t>Investments</w:t>
            </w: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80" w:type="dxa"/>
            <w:vAlign w:val="bottom"/>
            <w:tcBorders>
              <w:right w:val="single" w:sz="8" w:color="auto"/>
            </w:tcBorders>
          </w:tcPr>
          <w:p>
            <w:pPr>
              <w:spacing w:after="0"/>
              <w:rPr>
                <w:sz w:val="10"/>
                <w:szCs w:val="10"/>
                <w:color w:val="auto"/>
              </w:rPr>
            </w:pPr>
          </w:p>
        </w:tc>
        <w:tc>
          <w:tcPr>
            <w:tcW w:w="1640" w:type="dxa"/>
            <w:vAlign w:val="bottom"/>
          </w:tcPr>
          <w:p>
            <w:pPr>
              <w:ind w:left="180"/>
              <w:spacing w:after="0"/>
              <w:rPr>
                <w:sz w:val="20"/>
                <w:szCs w:val="20"/>
                <w:color w:val="auto"/>
              </w:rPr>
            </w:pPr>
            <w:r>
              <w:rPr>
                <w:rFonts w:ascii="Arial" w:cs="Arial" w:eastAsia="Arial" w:hAnsi="Arial"/>
                <w:sz w:val="9"/>
                <w:szCs w:val="9"/>
                <w:b w:val="1"/>
                <w:bCs w:val="1"/>
                <w:color w:val="auto"/>
              </w:rPr>
              <w:t>Total Floating Rate Debt</w:t>
            </w:r>
          </w:p>
        </w:tc>
        <w:tc>
          <w:tcPr>
            <w:tcW w:w="460" w:type="dxa"/>
            <w:vAlign w:val="bottom"/>
          </w:tcPr>
          <w:p>
            <w:pPr>
              <w:spacing w:after="0"/>
              <w:rPr>
                <w:sz w:val="10"/>
                <w:szCs w:val="10"/>
                <w:color w:val="auto"/>
              </w:rPr>
            </w:pPr>
          </w:p>
        </w:tc>
        <w:tc>
          <w:tcPr>
            <w:tcW w:w="120" w:type="dxa"/>
            <w:vAlign w:val="bottom"/>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842,017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7"/>
              </w:rPr>
              <w:t>8.2%</w:t>
            </w:r>
          </w:p>
        </w:tc>
        <w:tc>
          <w:tcPr>
            <w:tcW w:w="4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40" w:type="dxa"/>
            <w:vAlign w:val="bottom"/>
            <w:gridSpan w:val="3"/>
          </w:tcPr>
          <w:p>
            <w:pPr>
              <w:jc w:val="right"/>
              <w:ind w:right="14"/>
              <w:spacing w:after="0"/>
              <w:rPr>
                <w:sz w:val="20"/>
                <w:szCs w:val="20"/>
                <w:color w:val="auto"/>
              </w:rPr>
            </w:pPr>
            <w:r>
              <w:rPr>
                <w:rFonts w:ascii="Arial" w:cs="Arial" w:eastAsia="Arial" w:hAnsi="Arial"/>
                <w:sz w:val="9"/>
                <w:szCs w:val="9"/>
                <w:b w:val="1"/>
                <w:bCs w:val="1"/>
                <w:color w:val="auto"/>
              </w:rPr>
              <w:t>111,900</w:t>
            </w:r>
          </w:p>
        </w:tc>
        <w:tc>
          <w:tcPr>
            <w:tcW w:w="12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9"/>
                <w:szCs w:val="9"/>
                <w:b w:val="1"/>
                <w:bCs w:val="1"/>
                <w:color w:val="auto"/>
              </w:rPr>
              <w:t>23.4%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78"/>
              </w:rPr>
              <w:t>$</w:t>
            </w:r>
          </w:p>
        </w:tc>
        <w:tc>
          <w:tcPr>
            <w:tcW w:w="640" w:type="dxa"/>
            <w:vAlign w:val="bottom"/>
          </w:tcPr>
          <w:p>
            <w:pPr>
              <w:jc w:val="right"/>
              <w:ind w:right="14"/>
              <w:spacing w:after="0"/>
              <w:rPr>
                <w:sz w:val="20"/>
                <w:szCs w:val="20"/>
                <w:color w:val="auto"/>
              </w:rPr>
            </w:pPr>
            <w:r>
              <w:rPr>
                <w:rFonts w:ascii="Arial" w:cs="Arial" w:eastAsia="Arial" w:hAnsi="Arial"/>
                <w:sz w:val="9"/>
                <w:szCs w:val="9"/>
                <w:b w:val="1"/>
                <w:bCs w:val="1"/>
                <w:color w:val="auto"/>
              </w:rPr>
              <w:t>953,917</w:t>
            </w:r>
          </w:p>
        </w:tc>
        <w:tc>
          <w:tcPr>
            <w:tcW w:w="1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7"/>
              </w:rPr>
              <w:t>8.9%</w:t>
            </w:r>
          </w:p>
        </w:tc>
        <w:tc>
          <w:tcPr>
            <w:tcW w:w="2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780" w:type="dxa"/>
            <w:vAlign w:val="bottom"/>
            <w:tcBorders>
              <w:right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780" w:type="dxa"/>
            <w:vAlign w:val="bottom"/>
            <w:tcBorders>
              <w:right w:val="single" w:sz="8" w:color="auto"/>
            </w:tcBorders>
          </w:tcPr>
          <w:p>
            <w:pPr>
              <w:spacing w:after="0"/>
              <w:rPr>
                <w:sz w:val="23"/>
                <w:szCs w:val="23"/>
                <w:color w:val="auto"/>
              </w:rPr>
            </w:pPr>
          </w:p>
        </w:tc>
        <w:tc>
          <w:tcPr>
            <w:tcW w:w="1640" w:type="dxa"/>
            <w:vAlign w:val="bottom"/>
          </w:tcPr>
          <w:p>
            <w:pPr>
              <w:ind w:left="180"/>
              <w:spacing w:after="0"/>
              <w:rPr>
                <w:sz w:val="20"/>
                <w:szCs w:val="20"/>
                <w:color w:val="auto"/>
              </w:rPr>
            </w:pPr>
            <w:r>
              <w:rPr>
                <w:rFonts w:ascii="Arial" w:cs="Arial" w:eastAsia="Arial" w:hAnsi="Arial"/>
                <w:sz w:val="9"/>
                <w:szCs w:val="9"/>
                <w:b w:val="1"/>
                <w:bCs w:val="1"/>
                <w:color w:val="auto"/>
              </w:rPr>
              <w:t>Total Debt</w:t>
            </w:r>
          </w:p>
        </w:tc>
        <w:tc>
          <w:tcPr>
            <w:tcW w:w="580" w:type="dxa"/>
            <w:vAlign w:val="bottom"/>
            <w:gridSpan w:val="2"/>
          </w:tcPr>
          <w:p>
            <w:pPr>
              <w:jc w:val="right"/>
              <w:ind w:right="14"/>
              <w:spacing w:after="0"/>
              <w:rPr>
                <w:sz w:val="20"/>
                <w:szCs w:val="20"/>
                <w:color w:val="auto"/>
              </w:rPr>
            </w:pPr>
            <w:r>
              <w:rPr>
                <w:rFonts w:ascii="Arial" w:cs="Arial" w:eastAsia="Arial" w:hAnsi="Arial"/>
                <w:sz w:val="9"/>
                <w:szCs w:val="9"/>
                <w:b w:val="1"/>
                <w:bCs w:val="1"/>
                <w:color w:val="auto"/>
              </w:rPr>
              <w:t>$</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10,293,263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40" w:type="dxa"/>
            <w:vAlign w:val="bottom"/>
            <w:gridSpan w:val="3"/>
          </w:tcPr>
          <w:p>
            <w:pPr>
              <w:jc w:val="right"/>
              <w:ind w:right="14"/>
              <w:spacing w:after="0"/>
              <w:rPr>
                <w:sz w:val="20"/>
                <w:szCs w:val="20"/>
                <w:color w:val="auto"/>
              </w:rPr>
            </w:pPr>
            <w:r>
              <w:rPr>
                <w:rFonts w:ascii="Arial" w:cs="Arial" w:eastAsia="Arial" w:hAnsi="Arial"/>
                <w:sz w:val="9"/>
                <w:szCs w:val="9"/>
                <w:b w:val="1"/>
                <w:bCs w:val="1"/>
                <w:color w:val="auto"/>
              </w:rPr>
              <w:t>478,431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78"/>
              </w:rPr>
              <w:t>$</w:t>
            </w:r>
          </w:p>
        </w:tc>
        <w:tc>
          <w:tcPr>
            <w:tcW w:w="640" w:type="dxa"/>
            <w:vAlign w:val="bottom"/>
          </w:tcPr>
          <w:p>
            <w:pPr>
              <w:jc w:val="right"/>
              <w:ind w:right="14"/>
              <w:spacing w:after="0"/>
              <w:rPr>
                <w:sz w:val="20"/>
                <w:szCs w:val="20"/>
                <w:color w:val="auto"/>
              </w:rPr>
            </w:pPr>
            <w:r>
              <w:rPr>
                <w:rFonts w:ascii="Arial" w:cs="Arial" w:eastAsia="Arial" w:hAnsi="Arial"/>
                <w:sz w:val="9"/>
                <w:szCs w:val="9"/>
                <w:b w:val="1"/>
                <w:bCs w:val="1"/>
                <w:color w:val="auto"/>
              </w:rPr>
              <w:t>10,771,694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780" w:type="dxa"/>
            <w:vAlign w:val="bottom"/>
            <w:tcBorders>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3"/>
        </w:trPr>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78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8"/>
          </w:tcPr>
          <w:p>
            <w:pPr>
              <w:jc w:val="right"/>
              <w:ind w:right="154"/>
              <w:spacing w:after="0" w:line="118" w:lineRule="exact"/>
              <w:rPr>
                <w:sz w:val="20"/>
                <w:szCs w:val="20"/>
                <w:color w:val="auto"/>
              </w:rPr>
            </w:pPr>
            <w:r>
              <w:rPr>
                <w:rFonts w:ascii="Arial" w:cs="Arial" w:eastAsia="Arial" w:hAnsi="Arial"/>
                <w:sz w:val="9"/>
                <w:szCs w:val="9"/>
                <w:b w:val="1"/>
                <w:bCs w:val="1"/>
                <w:color w:val="auto"/>
              </w:rPr>
              <w:t xml:space="preserve">Revolving Credit Facility Covenants </w:t>
            </w:r>
            <w:r>
              <w:rPr>
                <w:rFonts w:ascii="Arial" w:cs="Arial" w:eastAsia="Arial" w:hAnsi="Arial"/>
                <w:sz w:val="11"/>
                <w:szCs w:val="11"/>
                <w:b w:val="1"/>
                <w:bCs w:val="1"/>
                <w:color w:val="auto"/>
                <w:vertAlign w:val="superscript"/>
              </w:rPr>
              <w:t>(1)</w:t>
            </w: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3"/>
          </w:tcPr>
          <w:p>
            <w:pPr>
              <w:jc w:val="right"/>
              <w:ind w:right="274"/>
              <w:spacing w:after="0" w:line="88" w:lineRule="exact"/>
              <w:rPr>
                <w:sz w:val="20"/>
                <w:szCs w:val="20"/>
                <w:color w:val="auto"/>
              </w:rPr>
            </w:pPr>
            <w:r>
              <w:rPr>
                <w:rFonts w:ascii="Arial" w:cs="Arial" w:eastAsia="Arial" w:hAnsi="Arial"/>
                <w:sz w:val="9"/>
                <w:szCs w:val="9"/>
                <w:b w:val="1"/>
                <w:bCs w:val="1"/>
                <w:color w:val="auto"/>
              </w:rPr>
              <w:t>Actual</w:t>
            </w: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3"/>
          </w:tcPr>
          <w:p>
            <w:pPr>
              <w:spacing w:after="0" w:line="88" w:lineRule="exact"/>
              <w:rPr>
                <w:sz w:val="20"/>
                <w:szCs w:val="20"/>
                <w:color w:val="auto"/>
              </w:rPr>
            </w:pPr>
            <w:r>
              <w:rPr>
                <w:rFonts w:ascii="Arial" w:cs="Arial" w:eastAsia="Arial" w:hAnsi="Arial"/>
                <w:sz w:val="9"/>
                <w:szCs w:val="9"/>
                <w:b w:val="1"/>
                <w:bCs w:val="1"/>
                <w:color w:val="auto"/>
              </w:rPr>
              <w:t>Required</w:t>
            </w:r>
          </w:p>
        </w:tc>
        <w:tc>
          <w:tcPr>
            <w:tcW w:w="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8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5"/>
          </w:tcPr>
          <w:p>
            <w:pPr>
              <w:jc w:val="right"/>
              <w:ind w:right="140"/>
              <w:spacing w:after="0"/>
              <w:rPr>
                <w:sz w:val="20"/>
                <w:szCs w:val="20"/>
                <w:color w:val="auto"/>
              </w:rPr>
            </w:pPr>
            <w:r>
              <w:rPr>
                <w:rFonts w:ascii="Arial" w:cs="Arial" w:eastAsia="Arial" w:hAnsi="Arial"/>
                <w:sz w:val="9"/>
                <w:szCs w:val="9"/>
                <w:color w:val="auto"/>
              </w:rPr>
              <w:t>Total Debt / Total Assets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9"/>
                <w:szCs w:val="9"/>
                <w:color w:val="auto"/>
              </w:rPr>
              <w:t>47.7%</w:t>
            </w:r>
          </w:p>
        </w:tc>
        <w:tc>
          <w:tcPr>
            <w:tcW w:w="320" w:type="dxa"/>
            <w:vAlign w:val="bottom"/>
          </w:tcPr>
          <w:p>
            <w:pPr>
              <w:spacing w:after="0"/>
              <w:rPr>
                <w:sz w:val="10"/>
                <w:szCs w:val="10"/>
                <w:color w:val="auto"/>
              </w:rPr>
            </w:pPr>
          </w:p>
        </w:tc>
        <w:tc>
          <w:tcPr>
            <w:tcW w:w="1020" w:type="dxa"/>
            <w:vAlign w:val="bottom"/>
            <w:gridSpan w:val="5"/>
          </w:tcPr>
          <w:p>
            <w:pPr>
              <w:ind w:left="20"/>
              <w:spacing w:after="0"/>
              <w:rPr>
                <w:sz w:val="20"/>
                <w:szCs w:val="20"/>
                <w:color w:val="auto"/>
              </w:rPr>
            </w:pPr>
            <w:r>
              <w:rPr>
                <w:rFonts w:ascii="Arial" w:cs="Arial" w:eastAsia="Arial" w:hAnsi="Arial"/>
                <w:sz w:val="9"/>
                <w:szCs w:val="9"/>
                <w:color w:val="auto"/>
              </w:rPr>
              <w:t>Less than 60%</w:t>
            </w:r>
          </w:p>
        </w:tc>
        <w:tc>
          <w:tcPr>
            <w:tcW w:w="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5"/>
          </w:tcPr>
          <w:p>
            <w:pPr>
              <w:jc w:val="right"/>
              <w:ind w:right="140"/>
              <w:spacing w:after="0"/>
              <w:rPr>
                <w:sz w:val="20"/>
                <w:szCs w:val="20"/>
                <w:color w:val="auto"/>
              </w:rPr>
            </w:pPr>
            <w:r>
              <w:rPr>
                <w:rFonts w:ascii="Arial" w:cs="Arial" w:eastAsia="Arial" w:hAnsi="Arial"/>
                <w:sz w:val="9"/>
                <w:szCs w:val="9"/>
                <w:color w:val="auto"/>
              </w:rPr>
              <w:t>Consolidated Fixed Charge Coverage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294"/>
              <w:spacing w:after="0"/>
              <w:rPr>
                <w:sz w:val="20"/>
                <w:szCs w:val="20"/>
                <w:color w:val="auto"/>
              </w:rPr>
            </w:pPr>
            <w:r>
              <w:rPr>
                <w:rFonts w:ascii="Arial" w:cs="Arial" w:eastAsia="Arial" w:hAnsi="Arial"/>
                <w:sz w:val="9"/>
                <w:szCs w:val="9"/>
                <w:color w:val="auto"/>
                <w:w w:val="99"/>
              </w:rPr>
              <w:t>2.20x</w:t>
            </w:r>
          </w:p>
        </w:tc>
        <w:tc>
          <w:tcPr>
            <w:tcW w:w="1020" w:type="dxa"/>
            <w:vAlign w:val="bottom"/>
            <w:gridSpan w:val="5"/>
          </w:tcPr>
          <w:p>
            <w:pPr>
              <w:ind w:left="20"/>
              <w:spacing w:after="0"/>
              <w:rPr>
                <w:sz w:val="20"/>
                <w:szCs w:val="20"/>
                <w:color w:val="auto"/>
              </w:rPr>
            </w:pPr>
            <w:r>
              <w:rPr>
                <w:rFonts w:ascii="Arial" w:cs="Arial" w:eastAsia="Arial" w:hAnsi="Arial"/>
                <w:sz w:val="9"/>
                <w:szCs w:val="9"/>
                <w:color w:val="auto"/>
              </w:rPr>
              <w:t>Greater than 1.50x</w:t>
            </w:r>
          </w:p>
        </w:tc>
        <w:tc>
          <w:tcPr>
            <w:tcW w:w="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5"/>
          </w:tcPr>
          <w:p>
            <w:pPr>
              <w:jc w:val="right"/>
              <w:ind w:right="140"/>
              <w:spacing w:after="0"/>
              <w:rPr>
                <w:sz w:val="20"/>
                <w:szCs w:val="20"/>
                <w:color w:val="auto"/>
              </w:rPr>
            </w:pPr>
            <w:r>
              <w:rPr>
                <w:rFonts w:ascii="Arial" w:cs="Arial" w:eastAsia="Arial" w:hAnsi="Arial"/>
                <w:sz w:val="9"/>
                <w:szCs w:val="9"/>
                <w:color w:val="auto"/>
              </w:rPr>
              <w:t>Maximum Secured Indebtedness</w:t>
            </w:r>
          </w:p>
        </w:tc>
        <w:tc>
          <w:tcPr>
            <w:tcW w:w="80" w:type="dxa"/>
            <w:vAlign w:val="bottom"/>
          </w:tcPr>
          <w:p>
            <w:pPr>
              <w:spacing w:after="0"/>
              <w:rPr>
                <w:sz w:val="11"/>
                <w:szCs w:val="11"/>
                <w:color w:val="auto"/>
              </w:rPr>
            </w:pPr>
          </w:p>
        </w:tc>
        <w:tc>
          <w:tcPr>
            <w:tcW w:w="420" w:type="dxa"/>
            <w:vAlign w:val="bottom"/>
            <w:gridSpan w:val="2"/>
          </w:tcPr>
          <w:p>
            <w:pPr>
              <w:jc w:val="center"/>
              <w:ind w:left="74"/>
              <w:spacing w:after="0"/>
              <w:rPr>
                <w:sz w:val="20"/>
                <w:szCs w:val="20"/>
                <w:color w:val="auto"/>
              </w:rPr>
            </w:pPr>
            <w:r>
              <w:rPr>
                <w:rFonts w:ascii="Arial" w:cs="Arial" w:eastAsia="Arial" w:hAnsi="Arial"/>
                <w:sz w:val="9"/>
                <w:szCs w:val="9"/>
                <w:color w:val="auto"/>
              </w:rPr>
              <w:t>27.8%</w:t>
            </w:r>
          </w:p>
        </w:tc>
        <w:tc>
          <w:tcPr>
            <w:tcW w:w="320" w:type="dxa"/>
            <w:vAlign w:val="bottom"/>
          </w:tcPr>
          <w:p>
            <w:pPr>
              <w:spacing w:after="0"/>
              <w:rPr>
                <w:sz w:val="11"/>
                <w:szCs w:val="11"/>
                <w:color w:val="auto"/>
              </w:rPr>
            </w:pPr>
          </w:p>
        </w:tc>
        <w:tc>
          <w:tcPr>
            <w:tcW w:w="1020" w:type="dxa"/>
            <w:vAlign w:val="bottom"/>
            <w:gridSpan w:val="5"/>
          </w:tcPr>
          <w:p>
            <w:pPr>
              <w:ind w:left="20"/>
              <w:spacing w:after="0"/>
              <w:rPr>
                <w:sz w:val="20"/>
                <w:szCs w:val="20"/>
                <w:color w:val="auto"/>
              </w:rPr>
            </w:pPr>
            <w:r>
              <w:rPr>
                <w:rFonts w:ascii="Arial" w:cs="Arial" w:eastAsia="Arial" w:hAnsi="Arial"/>
                <w:sz w:val="9"/>
                <w:szCs w:val="9"/>
                <w:color w:val="auto"/>
              </w:rPr>
              <w:t>Less than 50%</w:t>
            </w:r>
          </w:p>
        </w:tc>
        <w:tc>
          <w:tcPr>
            <w:tcW w:w="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9"/>
                <w:szCs w:val="9"/>
                <w:color w:val="auto"/>
              </w:rPr>
              <w:t>Maximum Unencumbered Leverage Ratio</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center"/>
              <w:ind w:left="74"/>
              <w:spacing w:after="0"/>
              <w:rPr>
                <w:sz w:val="20"/>
                <w:szCs w:val="20"/>
                <w:color w:val="auto"/>
              </w:rPr>
            </w:pPr>
            <w:r>
              <w:rPr>
                <w:rFonts w:ascii="Arial" w:cs="Arial" w:eastAsia="Arial" w:hAnsi="Arial"/>
                <w:sz w:val="9"/>
                <w:szCs w:val="9"/>
                <w:color w:val="auto"/>
              </w:rPr>
              <w:t>44.9%</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5"/>
          </w:tcPr>
          <w:p>
            <w:pPr>
              <w:ind w:left="20"/>
              <w:spacing w:after="0"/>
              <w:rPr>
                <w:sz w:val="20"/>
                <w:szCs w:val="20"/>
                <w:color w:val="auto"/>
              </w:rPr>
            </w:pPr>
            <w:r>
              <w:rPr>
                <w:rFonts w:ascii="Arial" w:cs="Arial" w:eastAsia="Arial" w:hAnsi="Arial"/>
                <w:sz w:val="9"/>
                <w:szCs w:val="9"/>
                <w:color w:val="auto"/>
              </w:rPr>
              <w:t>Less than 60%</w:t>
            </w:r>
          </w:p>
        </w:tc>
        <w:tc>
          <w:tcPr>
            <w:tcW w:w="80" w:type="dxa"/>
            <w:vAlign w:val="bottom"/>
            <w:tcBorders>
              <w:bottom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140" w:type="dxa"/>
            <w:vAlign w:val="bottom"/>
            <w:gridSpan w:val="11"/>
          </w:tcPr>
          <w:p>
            <w:pPr>
              <w:jc w:val="right"/>
              <w:ind w:right="274"/>
              <w:spacing w:after="0"/>
              <w:rPr>
                <w:sz w:val="20"/>
                <w:szCs w:val="20"/>
                <w:color w:val="auto"/>
              </w:rPr>
            </w:pPr>
            <w:r>
              <w:rPr>
                <w:rFonts w:ascii="Arial" w:cs="Arial" w:eastAsia="Arial" w:hAnsi="Arial"/>
                <w:sz w:val="8"/>
                <w:szCs w:val="8"/>
                <w:color w:val="auto"/>
                <w:w w:val="98"/>
              </w:rPr>
              <w:t>(1) Covenants calculated pursuant to the terms of the underlying facility or notes.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6"/>
        </w:trPr>
        <w:tc>
          <w:tcPr>
            <w:tcW w:w="2420" w:type="dxa"/>
            <w:vAlign w:val="bottom"/>
            <w:gridSpan w:val="2"/>
          </w:tcPr>
          <w:p>
            <w:pPr>
              <w:spacing w:after="0"/>
              <w:rPr>
                <w:sz w:val="20"/>
                <w:szCs w:val="20"/>
                <w:color w:val="auto"/>
              </w:rPr>
            </w:pPr>
            <w:r>
              <w:rPr>
                <w:rFonts w:ascii="Arial" w:cs="Arial" w:eastAsia="Arial" w:hAnsi="Arial"/>
                <w:sz w:val="9"/>
                <w:szCs w:val="9"/>
                <w:color w:val="auto"/>
              </w:rPr>
              <w:t>Supplemental Information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9"/>
                <w:szCs w:val="9"/>
                <w:color w:val="auto"/>
              </w:rPr>
              <w:t>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9"/>
                <w:szCs w:val="9"/>
                <w:color w:val="auto"/>
              </w:rPr>
              <w:t>First Quarter 2026</w:t>
            </w:r>
          </w:p>
        </w:tc>
        <w:tc>
          <w:tcPr>
            <w:tcW w:w="0" w:type="dxa"/>
            <w:vAlign w:val="bottom"/>
          </w:tcPr>
          <w:p>
            <w:pPr>
              <w:spacing w:after="0"/>
              <w:rPr>
                <w:sz w:val="1"/>
                <w:szCs w:val="1"/>
                <w:color w:val="auto"/>
              </w:rPr>
            </w:pPr>
          </w:p>
        </w:tc>
      </w:tr>
    </w:tbl>
    <w:p>
      <w:pPr>
        <w:sectPr>
          <w:pgSz w:w="11900" w:h="16838" w:orient="portrait"/>
          <w:cols w:equalWidth="0" w:num="1">
            <w:col w:w="10160"/>
          </w:cols>
          <w:pgMar w:left="320" w:top="235" w:right="141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DERIVATIVE SUMMARY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-121285</wp:posOffset>
            </wp:positionV>
            <wp:extent cx="7169785" cy="356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785" cy="35623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wp:posOffset>
            </wp:positionV>
            <wp:extent cx="716978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100" w:type="dxa"/>
        <w:tblCellMar>
          <w:top w:w="0" w:type="dxa"/>
          <w:left w:w="0" w:type="dxa"/>
          <w:bottom w:w="0" w:type="dxa"/>
          <w:right w:w="0" w:type="dxa"/>
        </w:tblCellMar>
      </w:tblPr>
      <w:tr>
        <w:trPr>
          <w:trHeight w:val="103"/>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Consolidated Interest Rate Derivatives</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gridSpan w:val="3"/>
          </w:tcPr>
          <w:p>
            <w:pPr>
              <w:ind w:left="160"/>
              <w:spacing w:after="0"/>
              <w:rPr>
                <w:sz w:val="20"/>
                <w:szCs w:val="20"/>
                <w:color w:val="auto"/>
              </w:rPr>
            </w:pPr>
            <w:r>
              <w:rPr>
                <w:rFonts w:ascii="Arial" w:cs="Arial" w:eastAsia="Arial" w:hAnsi="Arial"/>
                <w:sz w:val="9"/>
                <w:szCs w:val="9"/>
                <w:b w:val="1"/>
                <w:bCs w:val="1"/>
                <w:color w:val="auto"/>
              </w:rPr>
              <w:t>Notional Value</w:t>
            </w:r>
          </w:p>
        </w:tc>
        <w:tc>
          <w:tcPr>
            <w:tcW w:w="1340" w:type="dxa"/>
            <w:vAlign w:val="bottom"/>
            <w:gridSpan w:val="3"/>
          </w:tcPr>
          <w:p>
            <w:pPr>
              <w:jc w:val="right"/>
              <w:ind w:right="414"/>
              <w:spacing w:after="0"/>
              <w:rPr>
                <w:sz w:val="20"/>
                <w:szCs w:val="20"/>
                <w:color w:val="auto"/>
              </w:rPr>
            </w:pPr>
            <w:r>
              <w:rPr>
                <w:rFonts w:ascii="Arial" w:cs="Arial" w:eastAsia="Arial" w:hAnsi="Arial"/>
                <w:sz w:val="9"/>
                <w:szCs w:val="9"/>
                <w:b w:val="1"/>
                <w:bCs w:val="1"/>
                <w:color w:val="auto"/>
              </w:rPr>
              <w:t>Fair Value</w:t>
            </w: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rPr>
              <w:t>Ownership</w:t>
            </w: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434"/>
              <w:spacing w:after="0"/>
              <w:rPr>
                <w:sz w:val="20"/>
                <w:szCs w:val="20"/>
                <w:color w:val="auto"/>
              </w:rPr>
            </w:pPr>
            <w:r>
              <w:rPr>
                <w:rFonts w:ascii="Arial" w:cs="Arial" w:eastAsia="Arial" w:hAnsi="Arial"/>
                <w:sz w:val="9"/>
                <w:szCs w:val="9"/>
                <w:b w:val="1"/>
                <w:bCs w:val="1"/>
                <w:color w:val="auto"/>
              </w:rPr>
              <w:t>3/31/2026</w:t>
            </w:r>
          </w:p>
        </w:tc>
        <w:tc>
          <w:tcPr>
            <w:tcW w:w="120" w:type="dxa"/>
            <w:vAlign w:val="bottom"/>
          </w:tcPr>
          <w:p>
            <w:pPr>
              <w:spacing w:after="0"/>
              <w:rPr>
                <w:sz w:val="9"/>
                <w:szCs w:val="9"/>
                <w:color w:val="auto"/>
              </w:rPr>
            </w:pPr>
          </w:p>
        </w:tc>
        <w:tc>
          <w:tcPr>
            <w:tcW w:w="1340" w:type="dxa"/>
            <w:vAlign w:val="bottom"/>
            <w:gridSpan w:val="3"/>
          </w:tcPr>
          <w:p>
            <w:pPr>
              <w:jc w:val="right"/>
              <w:ind w:right="434"/>
              <w:spacing w:after="0"/>
              <w:rPr>
                <w:sz w:val="20"/>
                <w:szCs w:val="20"/>
                <w:color w:val="auto"/>
              </w:rPr>
            </w:pPr>
            <w:r>
              <w:rPr>
                <w:rFonts w:ascii="Arial" w:cs="Arial" w:eastAsia="Arial" w:hAnsi="Arial"/>
                <w:sz w:val="9"/>
                <w:szCs w:val="9"/>
                <w:b w:val="1"/>
                <w:bCs w:val="1"/>
                <w:color w:val="auto"/>
              </w:rPr>
              <w:t>3/31/2026</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Secured Debt</w:t>
            </w:r>
          </w:p>
        </w:tc>
        <w:tc>
          <w:tcPr>
            <w:tcW w:w="820" w:type="dxa"/>
            <w:vAlign w:val="bottom"/>
            <w:gridSpan w:val="3"/>
          </w:tcPr>
          <w:p>
            <w:pPr>
              <w:jc w:val="right"/>
              <w:ind w:right="320"/>
              <w:spacing w:after="0"/>
              <w:rPr>
                <w:sz w:val="20"/>
                <w:szCs w:val="20"/>
                <w:color w:val="auto"/>
              </w:rPr>
            </w:pPr>
            <w:r>
              <w:rPr>
                <w:rFonts w:ascii="Arial" w:cs="Arial" w:eastAsia="Arial" w:hAnsi="Arial"/>
                <w:sz w:val="9"/>
                <w:szCs w:val="9"/>
                <w:b w:val="1"/>
                <w:bCs w:val="1"/>
                <w:color w:val="auto"/>
                <w:w w:val="97"/>
              </w:rPr>
              <w:t>Interest (%)</w:t>
            </w:r>
          </w:p>
        </w:tc>
        <w:tc>
          <w:tcPr>
            <w:tcW w:w="540" w:type="dxa"/>
            <w:vAlign w:val="bottom"/>
          </w:tcPr>
          <w:p>
            <w:pPr>
              <w:jc w:val="right"/>
              <w:ind w:right="94"/>
              <w:spacing w:after="0"/>
              <w:rPr>
                <w:sz w:val="20"/>
                <w:szCs w:val="20"/>
                <w:color w:val="auto"/>
              </w:rPr>
            </w:pPr>
            <w:r>
              <w:rPr>
                <w:rFonts w:ascii="Arial" w:cs="Arial" w:eastAsia="Arial" w:hAnsi="Arial"/>
                <w:sz w:val="9"/>
                <w:szCs w:val="9"/>
                <w:b w:val="1"/>
                <w:bCs w:val="1"/>
                <w:color w:val="auto"/>
              </w:rPr>
              <w:t>Gross</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rPr>
              <w:t>SLG Share</w:t>
            </w:r>
          </w:p>
        </w:tc>
        <w:tc>
          <w:tcPr>
            <w:tcW w:w="76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rPr>
              <w:t>Gross</w:t>
            </w:r>
          </w:p>
        </w:tc>
        <w:tc>
          <w:tcPr>
            <w:tcW w:w="580" w:type="dxa"/>
            <w:vAlign w:val="bottom"/>
          </w:tcPr>
          <w:p>
            <w:pPr>
              <w:jc w:val="right"/>
              <w:spacing w:after="0"/>
              <w:rPr>
                <w:sz w:val="20"/>
                <w:szCs w:val="20"/>
                <w:color w:val="auto"/>
              </w:rPr>
            </w:pPr>
            <w:r>
              <w:rPr>
                <w:rFonts w:ascii="Arial" w:cs="Arial" w:eastAsia="Arial" w:hAnsi="Arial"/>
                <w:sz w:val="9"/>
                <w:szCs w:val="9"/>
                <w:b w:val="1"/>
                <w:bCs w:val="1"/>
                <w:color w:val="auto"/>
              </w:rPr>
              <w:t>SLG Share</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b w:val="1"/>
                <w:bCs w:val="1"/>
                <w:color w:val="auto"/>
              </w:rPr>
              <w:t xml:space="preserve">Instrument </w:t>
            </w:r>
            <w:r>
              <w:rPr>
                <w:rFonts w:ascii="Arial" w:cs="Arial" w:eastAsia="Arial" w:hAnsi="Arial"/>
                <w:sz w:val="11"/>
                <w:szCs w:val="11"/>
                <w:b w:val="1"/>
                <w:bCs w:val="1"/>
                <w:color w:val="auto"/>
                <w:vertAlign w:val="superscript"/>
              </w:rPr>
              <w:t>(1)</w:t>
            </w:r>
          </w:p>
        </w:tc>
        <w:tc>
          <w:tcPr>
            <w:tcW w:w="820" w:type="dxa"/>
            <w:vAlign w:val="bottom"/>
          </w:tcPr>
          <w:p>
            <w:pPr>
              <w:jc w:val="right"/>
              <w:ind w:right="54"/>
              <w:spacing w:after="0"/>
              <w:rPr>
                <w:sz w:val="20"/>
                <w:szCs w:val="20"/>
                <w:color w:val="auto"/>
              </w:rPr>
            </w:pPr>
            <w:r>
              <w:rPr>
                <w:rFonts w:ascii="Arial" w:cs="Arial" w:eastAsia="Arial" w:hAnsi="Arial"/>
                <w:sz w:val="9"/>
                <w:szCs w:val="9"/>
                <w:b w:val="1"/>
                <w:bCs w:val="1"/>
                <w:color w:val="auto"/>
              </w:rPr>
              <w:t xml:space="preserve">Strike Rate </w:t>
            </w:r>
            <w:r>
              <w:rPr>
                <w:rFonts w:ascii="Arial" w:cs="Arial" w:eastAsia="Arial" w:hAnsi="Arial"/>
                <w:sz w:val="11"/>
                <w:szCs w:val="11"/>
                <w:b w:val="1"/>
                <w:bCs w:val="1"/>
                <w:color w:val="auto"/>
                <w:vertAlign w:val="superscript"/>
              </w:rPr>
              <w:t>(1)</w:t>
            </w:r>
          </w:p>
        </w:tc>
        <w:tc>
          <w:tcPr>
            <w:tcW w:w="840" w:type="dxa"/>
            <w:vAlign w:val="bottom"/>
          </w:tcPr>
          <w:p>
            <w:pPr>
              <w:jc w:val="right"/>
              <w:ind w:right="34"/>
              <w:spacing w:after="0"/>
              <w:rPr>
                <w:sz w:val="20"/>
                <w:szCs w:val="20"/>
                <w:color w:val="auto"/>
              </w:rPr>
            </w:pPr>
            <w:r>
              <w:rPr>
                <w:rFonts w:ascii="Arial" w:cs="Arial" w:eastAsia="Arial" w:hAnsi="Arial"/>
                <w:sz w:val="9"/>
                <w:szCs w:val="9"/>
                <w:b w:val="1"/>
                <w:bCs w:val="1"/>
                <w:color w:val="auto"/>
              </w:rPr>
              <w:t>Effective Date</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Maturity Date</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80" w:type="dxa"/>
            <w:vAlign w:val="bottom"/>
            <w:tcBorders>
              <w:top w:val="single" w:sz="8" w:color="auto"/>
            </w:tcBorders>
            <w:gridSpan w:val="2"/>
          </w:tcPr>
          <w:p>
            <w:pPr>
              <w:ind w:left="80"/>
              <w:spacing w:after="0"/>
              <w:rPr>
                <w:sz w:val="20"/>
                <w:szCs w:val="20"/>
                <w:color w:val="auto"/>
              </w:rPr>
            </w:pPr>
            <w:r>
              <w:rPr>
                <w:rFonts w:ascii="Arial" w:cs="Arial" w:eastAsia="Arial" w:hAnsi="Arial"/>
                <w:sz w:val="9"/>
                <w:szCs w:val="9"/>
                <w:color w:val="auto"/>
              </w:rPr>
              <w:t>7 Dey Street</w:t>
            </w:r>
          </w:p>
        </w:tc>
        <w:tc>
          <w:tcPr>
            <w:tcW w:w="6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ind w:right="94"/>
              <w:spacing w:after="0"/>
              <w:rPr>
                <w:sz w:val="20"/>
                <w:szCs w:val="20"/>
                <w:color w:val="auto"/>
              </w:rPr>
            </w:pPr>
            <w:r>
              <w:rPr>
                <w:rFonts w:ascii="Arial" w:cs="Arial" w:eastAsia="Arial" w:hAnsi="Arial"/>
                <w:sz w:val="9"/>
                <w:szCs w:val="9"/>
                <w:color w:val="auto"/>
              </w:rPr>
              <w:t>$190,148</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$190,148</w:t>
            </w: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$289</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$289</w:t>
            </w: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95"/>
              <w:spacing w:after="0"/>
              <w:rPr>
                <w:sz w:val="20"/>
                <w:szCs w:val="20"/>
                <w:color w:val="auto"/>
              </w:rPr>
            </w:pPr>
            <w:r>
              <w:rPr>
                <w:rFonts w:ascii="Arial" w:cs="Arial" w:eastAsia="Arial" w:hAnsi="Arial"/>
                <w:sz w:val="9"/>
                <w:szCs w:val="9"/>
                <w:color w:val="auto"/>
              </w:rPr>
              <w:t>Cap</w:t>
            </w:r>
          </w:p>
        </w:tc>
        <w:tc>
          <w:tcPr>
            <w:tcW w:w="820" w:type="dxa"/>
            <w:vAlign w:val="bottom"/>
            <w:tcBorders>
              <w:top w:val="single" w:sz="8" w:color="auto"/>
            </w:tcBorders>
          </w:tcPr>
          <w:p>
            <w:pPr>
              <w:jc w:val="right"/>
              <w:ind w:right="54"/>
              <w:spacing w:after="0"/>
              <w:rPr>
                <w:sz w:val="20"/>
                <w:szCs w:val="20"/>
                <w:color w:val="auto"/>
              </w:rPr>
            </w:pPr>
            <w:r>
              <w:rPr>
                <w:rFonts w:ascii="Arial" w:cs="Arial" w:eastAsia="Arial" w:hAnsi="Arial"/>
                <w:sz w:val="9"/>
                <w:szCs w:val="9"/>
                <w:color w:val="auto"/>
              </w:rPr>
              <w:t>3.50 %</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9"/>
                <w:szCs w:val="9"/>
                <w:color w:val="auto"/>
              </w:rPr>
              <w:t>November 2025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November 2026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100 Church Street</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0"/>
                <w:szCs w:val="10"/>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370,000</w:t>
            </w:r>
          </w:p>
        </w:tc>
        <w:tc>
          <w:tcPr>
            <w:tcW w:w="620" w:type="dxa"/>
            <w:vAlign w:val="bottom"/>
          </w:tcPr>
          <w:p>
            <w:pPr>
              <w:jc w:val="right"/>
              <w:spacing w:after="0"/>
              <w:rPr>
                <w:sz w:val="20"/>
                <w:szCs w:val="20"/>
                <w:color w:val="auto"/>
              </w:rPr>
            </w:pPr>
            <w:r>
              <w:rPr>
                <w:rFonts w:ascii="Arial" w:cs="Arial" w:eastAsia="Arial" w:hAnsi="Arial"/>
                <w:sz w:val="9"/>
                <w:szCs w:val="9"/>
                <w:color w:val="auto"/>
              </w:rPr>
              <w:t>370,000</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(1,132)</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(1,132)</w:t>
            </w:r>
          </w:p>
        </w:tc>
        <w:tc>
          <w:tcPr>
            <w:tcW w:w="200" w:type="dxa"/>
            <w:vAlign w:val="bottom"/>
          </w:tcPr>
          <w:p>
            <w:pPr>
              <w:spacing w:after="0"/>
              <w:rPr>
                <w:sz w:val="10"/>
                <w:szCs w:val="10"/>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3.89 %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November 2022</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June 2027</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SLGOP – 450 Park Avenue</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68,678</w:t>
            </w:r>
          </w:p>
        </w:tc>
        <w:tc>
          <w:tcPr>
            <w:tcW w:w="620" w:type="dxa"/>
            <w:vAlign w:val="bottom"/>
          </w:tcPr>
          <w:p>
            <w:pPr>
              <w:jc w:val="right"/>
              <w:spacing w:after="0"/>
              <w:rPr>
                <w:sz w:val="20"/>
                <w:szCs w:val="20"/>
                <w:color w:val="auto"/>
              </w:rPr>
            </w:pPr>
            <w:r>
              <w:rPr>
                <w:rFonts w:ascii="Arial" w:cs="Arial" w:eastAsia="Arial" w:hAnsi="Arial"/>
                <w:sz w:val="9"/>
                <w:szCs w:val="9"/>
                <w:color w:val="auto"/>
              </w:rPr>
              <w:t>68,678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(701)</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(701)</w:t>
            </w:r>
          </w:p>
        </w:tc>
        <w:tc>
          <w:tcPr>
            <w:tcW w:w="200" w:type="dxa"/>
            <w:vAlign w:val="bottom"/>
          </w:tcPr>
          <w:p>
            <w:pPr>
              <w:jc w:val="right"/>
              <w:ind w:right="34"/>
              <w:spacing w:after="0"/>
              <w:rPr>
                <w:sz w:val="20"/>
                <w:szCs w:val="20"/>
                <w:color w:val="auto"/>
              </w:rPr>
            </w:pPr>
            <w:r>
              <w:rPr>
                <w:rFonts w:ascii="Arial" w:cs="Arial" w:eastAsia="Arial" w:hAnsi="Arial"/>
                <w:sz w:val="9"/>
                <w:szCs w:val="9"/>
                <w:color w:val="auto"/>
                <w:w w:val="90"/>
              </w:rPr>
              <w:t>(2)</w:t>
            </w: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4.47 %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August 2024</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June 2027</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SLGOP – 450 Park Avenue</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4,221</w:t>
            </w:r>
          </w:p>
        </w:tc>
        <w:tc>
          <w:tcPr>
            <w:tcW w:w="620" w:type="dxa"/>
            <w:vAlign w:val="bottom"/>
          </w:tcPr>
          <w:p>
            <w:pPr>
              <w:jc w:val="right"/>
              <w:spacing w:after="0"/>
              <w:rPr>
                <w:sz w:val="20"/>
                <w:szCs w:val="20"/>
                <w:color w:val="auto"/>
              </w:rPr>
            </w:pPr>
            <w:r>
              <w:rPr>
                <w:rFonts w:ascii="Arial" w:cs="Arial" w:eastAsia="Arial" w:hAnsi="Arial"/>
                <w:sz w:val="9"/>
                <w:szCs w:val="9"/>
                <w:color w:val="auto"/>
              </w:rPr>
              <w:t>4,221</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(59)</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(59)</w:t>
            </w:r>
          </w:p>
        </w:tc>
        <w:tc>
          <w:tcPr>
            <w:tcW w:w="200" w:type="dxa"/>
            <w:vAlign w:val="bottom"/>
          </w:tcPr>
          <w:p>
            <w:pPr>
              <w:jc w:val="right"/>
              <w:ind w:right="34"/>
              <w:spacing w:after="0"/>
              <w:rPr>
                <w:sz w:val="20"/>
                <w:szCs w:val="20"/>
                <w:color w:val="auto"/>
              </w:rPr>
            </w:pPr>
            <w:r>
              <w:rPr>
                <w:rFonts w:ascii="Arial" w:cs="Arial" w:eastAsia="Arial" w:hAnsi="Arial"/>
                <w:sz w:val="9"/>
                <w:szCs w:val="9"/>
                <w:color w:val="auto"/>
                <w:w w:val="90"/>
              </w:rPr>
              <w:t>(2)</w:t>
            </w: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4.49 %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November 2024</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November 2027</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500 Park Avenue</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80,000</w:t>
            </w:r>
          </w:p>
        </w:tc>
        <w:tc>
          <w:tcPr>
            <w:tcW w:w="620" w:type="dxa"/>
            <w:vAlign w:val="bottom"/>
          </w:tcPr>
          <w:p>
            <w:pPr>
              <w:jc w:val="right"/>
              <w:spacing w:after="0"/>
              <w:rPr>
                <w:sz w:val="20"/>
                <w:szCs w:val="20"/>
                <w:color w:val="auto"/>
              </w:rPr>
            </w:pPr>
            <w:r>
              <w:rPr>
                <w:rFonts w:ascii="Arial" w:cs="Arial" w:eastAsia="Arial" w:hAnsi="Arial"/>
                <w:sz w:val="9"/>
                <w:szCs w:val="9"/>
                <w:color w:val="auto"/>
              </w:rPr>
              <w:t>80,000</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(854)</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(854)</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4.17 %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February 2025</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February 2028</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10 East 53rd Street</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204,438</w:t>
            </w:r>
          </w:p>
        </w:tc>
        <w:tc>
          <w:tcPr>
            <w:tcW w:w="620" w:type="dxa"/>
            <w:vAlign w:val="bottom"/>
          </w:tcPr>
          <w:p>
            <w:pPr>
              <w:jc w:val="right"/>
              <w:spacing w:after="0"/>
              <w:rPr>
                <w:sz w:val="20"/>
                <w:szCs w:val="20"/>
                <w:color w:val="auto"/>
              </w:rPr>
            </w:pPr>
            <w:r>
              <w:rPr>
                <w:rFonts w:ascii="Arial" w:cs="Arial" w:eastAsia="Arial" w:hAnsi="Arial"/>
                <w:sz w:val="9"/>
                <w:szCs w:val="9"/>
                <w:color w:val="auto"/>
              </w:rPr>
              <w:t>204,438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(1,400)</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(1,400)</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3.92 %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February 2025</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May 2028</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800 Third Avenue</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177,000</w:t>
            </w:r>
          </w:p>
        </w:tc>
        <w:tc>
          <w:tcPr>
            <w:tcW w:w="620" w:type="dxa"/>
            <w:vAlign w:val="bottom"/>
          </w:tcPr>
          <w:p>
            <w:pPr>
              <w:jc w:val="right"/>
              <w:spacing w:after="0"/>
              <w:rPr>
                <w:sz w:val="20"/>
                <w:szCs w:val="20"/>
                <w:color w:val="auto"/>
              </w:rPr>
            </w:pPr>
            <w:r>
              <w:rPr>
                <w:rFonts w:ascii="Arial" w:cs="Arial" w:eastAsia="Arial" w:hAnsi="Arial"/>
                <w:sz w:val="9"/>
                <w:szCs w:val="9"/>
                <w:color w:val="auto"/>
              </w:rPr>
              <w:t>177,000</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985</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985</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3.33 %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February 2026</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February 2029</w:t>
            </w:r>
          </w:p>
        </w:tc>
        <w:tc>
          <w:tcPr>
            <w:tcW w:w="0" w:type="dxa"/>
            <w:vAlign w:val="bottom"/>
          </w:tcPr>
          <w:p>
            <w:pPr>
              <w:spacing w:after="0"/>
              <w:rPr>
                <w:sz w:val="1"/>
                <w:szCs w:val="1"/>
                <w:color w:val="auto"/>
              </w:rPr>
            </w:pPr>
          </w:p>
        </w:tc>
      </w:tr>
      <w:tr>
        <w:trPr>
          <w:trHeight w:val="51"/>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rPr>
              <w:t>Subtotal</w:t>
            </w:r>
          </w:p>
        </w:tc>
        <w:tc>
          <w:tcPr>
            <w:tcW w:w="6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$(2,872)</w:t>
            </w:r>
          </w:p>
        </w:tc>
        <w:tc>
          <w:tcPr>
            <w:tcW w:w="160" w:type="dxa"/>
            <w:vAlign w:val="bottom"/>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$(2,872)</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Unsecured Debt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Term Loan C</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9"/>
                <w:szCs w:val="9"/>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$200,000</w:t>
            </w:r>
          </w:p>
        </w:tc>
        <w:tc>
          <w:tcPr>
            <w:tcW w:w="620" w:type="dxa"/>
            <w:vAlign w:val="bottom"/>
          </w:tcPr>
          <w:p>
            <w:pPr>
              <w:jc w:val="right"/>
              <w:spacing w:after="0"/>
              <w:rPr>
                <w:sz w:val="20"/>
                <w:szCs w:val="20"/>
                <w:color w:val="auto"/>
              </w:rPr>
            </w:pPr>
            <w:r>
              <w:rPr>
                <w:rFonts w:ascii="Arial" w:cs="Arial" w:eastAsia="Arial" w:hAnsi="Arial"/>
                <w:sz w:val="9"/>
                <w:szCs w:val="9"/>
                <w:color w:val="auto"/>
              </w:rPr>
              <w:t>$200,000</w:t>
            </w:r>
          </w:p>
        </w:tc>
        <w:tc>
          <w:tcPr>
            <w:tcW w:w="1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$1,771</w:t>
            </w:r>
          </w:p>
        </w:tc>
        <w:tc>
          <w:tcPr>
            <w:tcW w:w="1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$1,771</w:t>
            </w:r>
          </w:p>
        </w:tc>
        <w:tc>
          <w:tcPr>
            <w:tcW w:w="200" w:type="dxa"/>
            <w:vAlign w:val="bottom"/>
          </w:tcPr>
          <w:p>
            <w:pPr>
              <w:spacing w:after="0"/>
              <w:rPr>
                <w:sz w:val="9"/>
                <w:szCs w:val="9"/>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2.59 %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February 2023</w:t>
            </w:r>
          </w:p>
        </w:tc>
        <w:tc>
          <w:tcPr>
            <w:tcW w:w="1160" w:type="dxa"/>
            <w:vAlign w:val="bottom"/>
          </w:tcPr>
          <w:p>
            <w:pPr>
              <w:jc w:val="right"/>
              <w:spacing w:after="0"/>
              <w:rPr>
                <w:sz w:val="20"/>
                <w:szCs w:val="20"/>
                <w:color w:val="auto"/>
              </w:rPr>
            </w:pPr>
            <w:r>
              <w:rPr>
                <w:rFonts w:ascii="Arial" w:cs="Arial" w:eastAsia="Arial" w:hAnsi="Arial"/>
                <w:sz w:val="9"/>
                <w:szCs w:val="9"/>
                <w:color w:val="auto"/>
              </w:rPr>
              <w:t>February 2027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Term Loan C</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0"/>
                <w:szCs w:val="10"/>
                <w:color w:val="auto"/>
              </w:rPr>
            </w:pPr>
          </w:p>
        </w:tc>
        <w:tc>
          <w:tcPr>
            <w:tcW w:w="540" w:type="dxa"/>
            <w:vAlign w:val="bottom"/>
          </w:tcPr>
          <w:p>
            <w:pPr>
              <w:jc w:val="right"/>
              <w:ind w:right="134"/>
              <w:spacing w:after="0"/>
              <w:rPr>
                <w:sz w:val="20"/>
                <w:szCs w:val="20"/>
                <w:color w:val="auto"/>
              </w:rPr>
            </w:pPr>
            <w:r>
              <w:rPr>
                <w:rFonts w:ascii="Arial" w:cs="Arial" w:eastAsia="Arial" w:hAnsi="Arial"/>
                <w:sz w:val="9"/>
                <w:szCs w:val="9"/>
                <w:color w:val="auto"/>
              </w:rPr>
              <w:t>100,000</w:t>
            </w:r>
          </w:p>
        </w:tc>
        <w:tc>
          <w:tcPr>
            <w:tcW w:w="620" w:type="dxa"/>
            <w:vAlign w:val="bottom"/>
          </w:tcPr>
          <w:p>
            <w:pPr>
              <w:jc w:val="right"/>
              <w:spacing w:after="0"/>
              <w:rPr>
                <w:sz w:val="20"/>
                <w:szCs w:val="20"/>
                <w:color w:val="auto"/>
              </w:rPr>
            </w:pPr>
            <w:r>
              <w:rPr>
                <w:rFonts w:ascii="Arial" w:cs="Arial" w:eastAsia="Arial" w:hAnsi="Arial"/>
                <w:sz w:val="9"/>
                <w:szCs w:val="9"/>
                <w:color w:val="auto"/>
              </w:rPr>
              <w:t>100,000</w:t>
            </w:r>
          </w:p>
        </w:tc>
        <w:tc>
          <w:tcPr>
            <w:tcW w:w="120" w:type="dxa"/>
            <w:vAlign w:val="bottom"/>
          </w:tcPr>
          <w:p>
            <w:pPr>
              <w:spacing w:after="0"/>
              <w:rPr>
                <w:sz w:val="10"/>
                <w:szCs w:val="10"/>
                <w:color w:val="auto"/>
              </w:rPr>
            </w:pPr>
          </w:p>
        </w:tc>
        <w:tc>
          <w:tcPr>
            <w:tcW w:w="600" w:type="dxa"/>
            <w:vAlign w:val="bottom"/>
          </w:tcPr>
          <w:p>
            <w:pPr>
              <w:jc w:val="right"/>
              <w:ind w:right="14"/>
              <w:spacing w:after="0"/>
              <w:rPr>
                <w:sz w:val="20"/>
                <w:szCs w:val="20"/>
                <w:color w:val="auto"/>
              </w:rPr>
            </w:pPr>
            <w:r>
              <w:rPr>
                <w:rFonts w:ascii="Arial" w:cs="Arial" w:eastAsia="Arial" w:hAnsi="Arial"/>
                <w:sz w:val="9"/>
                <w:szCs w:val="9"/>
                <w:color w:val="auto"/>
              </w:rPr>
              <w:t>625</w:t>
            </w:r>
          </w:p>
        </w:tc>
        <w:tc>
          <w:tcPr>
            <w:tcW w:w="16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Arial" w:cs="Arial" w:eastAsia="Arial" w:hAnsi="Arial"/>
                <w:sz w:val="9"/>
                <w:szCs w:val="9"/>
                <w:color w:val="auto"/>
              </w:rPr>
              <w:t>625</w:t>
            </w:r>
          </w:p>
        </w:tc>
        <w:tc>
          <w:tcPr>
            <w:tcW w:w="200" w:type="dxa"/>
            <w:vAlign w:val="bottom"/>
          </w:tcPr>
          <w:p>
            <w:pPr>
              <w:spacing w:after="0"/>
              <w:rPr>
                <w:sz w:val="10"/>
                <w:szCs w:val="10"/>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2.90 %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February 2023</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February 2027</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Term Loan C</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134"/>
              <w:spacing w:after="0"/>
              <w:rPr>
                <w:sz w:val="20"/>
                <w:szCs w:val="20"/>
                <w:color w:val="auto"/>
              </w:rPr>
            </w:pPr>
            <w:r>
              <w:rPr>
                <w:rFonts w:ascii="Arial" w:cs="Arial" w:eastAsia="Arial" w:hAnsi="Arial"/>
                <w:sz w:val="9"/>
                <w:szCs w:val="9"/>
                <w:color w:val="auto"/>
              </w:rPr>
              <w:t>100,000</w:t>
            </w:r>
          </w:p>
        </w:tc>
        <w:tc>
          <w:tcPr>
            <w:tcW w:w="620" w:type="dxa"/>
            <w:vAlign w:val="bottom"/>
          </w:tcPr>
          <w:p>
            <w:pPr>
              <w:jc w:val="right"/>
              <w:spacing w:after="0"/>
              <w:rPr>
                <w:sz w:val="20"/>
                <w:szCs w:val="20"/>
                <w:color w:val="auto"/>
              </w:rPr>
            </w:pPr>
            <w:r>
              <w:rPr>
                <w:rFonts w:ascii="Arial" w:cs="Arial" w:eastAsia="Arial" w:hAnsi="Arial"/>
                <w:sz w:val="9"/>
                <w:szCs w:val="9"/>
                <w:color w:val="auto"/>
              </w:rPr>
              <w:t>100,000</w:t>
            </w:r>
          </w:p>
        </w:tc>
        <w:tc>
          <w:tcPr>
            <w:tcW w:w="120" w:type="dxa"/>
            <w:vAlign w:val="bottom"/>
          </w:tcPr>
          <w:p>
            <w:pPr>
              <w:spacing w:after="0"/>
              <w:rPr>
                <w:sz w:val="11"/>
                <w:szCs w:val="11"/>
                <w:color w:val="auto"/>
              </w:rPr>
            </w:pPr>
          </w:p>
        </w:tc>
        <w:tc>
          <w:tcPr>
            <w:tcW w:w="600" w:type="dxa"/>
            <w:vAlign w:val="bottom"/>
          </w:tcPr>
          <w:p>
            <w:pPr>
              <w:jc w:val="right"/>
              <w:ind w:right="14"/>
              <w:spacing w:after="0"/>
              <w:rPr>
                <w:sz w:val="20"/>
                <w:szCs w:val="20"/>
                <w:color w:val="auto"/>
              </w:rPr>
            </w:pPr>
            <w:r>
              <w:rPr>
                <w:rFonts w:ascii="Arial" w:cs="Arial" w:eastAsia="Arial" w:hAnsi="Arial"/>
                <w:sz w:val="9"/>
                <w:szCs w:val="9"/>
                <w:color w:val="auto"/>
              </w:rPr>
              <w:t>767</w:t>
            </w:r>
          </w:p>
        </w:tc>
        <w:tc>
          <w:tcPr>
            <w:tcW w:w="160" w:type="dxa"/>
            <w:vAlign w:val="bottom"/>
          </w:tcPr>
          <w:p>
            <w:pPr>
              <w:spacing w:after="0"/>
              <w:rPr>
                <w:sz w:val="11"/>
                <w:szCs w:val="11"/>
                <w:color w:val="auto"/>
              </w:rPr>
            </w:pPr>
          </w:p>
        </w:tc>
        <w:tc>
          <w:tcPr>
            <w:tcW w:w="580" w:type="dxa"/>
            <w:vAlign w:val="bottom"/>
          </w:tcPr>
          <w:p>
            <w:pPr>
              <w:jc w:val="right"/>
              <w:ind w:right="14"/>
              <w:spacing w:after="0"/>
              <w:rPr>
                <w:sz w:val="20"/>
                <w:szCs w:val="20"/>
                <w:color w:val="auto"/>
              </w:rPr>
            </w:pPr>
            <w:r>
              <w:rPr>
                <w:rFonts w:ascii="Arial" w:cs="Arial" w:eastAsia="Arial" w:hAnsi="Arial"/>
                <w:sz w:val="9"/>
                <w:szCs w:val="9"/>
                <w:color w:val="auto"/>
              </w:rPr>
              <w:t>767</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2.73 %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February 2023</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February 2027</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Term Loan C</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134"/>
              <w:spacing w:after="0"/>
              <w:rPr>
                <w:sz w:val="20"/>
                <w:szCs w:val="20"/>
                <w:color w:val="auto"/>
              </w:rPr>
            </w:pPr>
            <w:r>
              <w:rPr>
                <w:rFonts w:ascii="Arial" w:cs="Arial" w:eastAsia="Arial" w:hAnsi="Arial"/>
                <w:sz w:val="9"/>
                <w:szCs w:val="9"/>
                <w:color w:val="auto"/>
              </w:rPr>
              <w:t>50,000</w:t>
            </w:r>
          </w:p>
        </w:tc>
        <w:tc>
          <w:tcPr>
            <w:tcW w:w="620" w:type="dxa"/>
            <w:vAlign w:val="bottom"/>
          </w:tcPr>
          <w:p>
            <w:pPr>
              <w:jc w:val="right"/>
              <w:spacing w:after="0"/>
              <w:rPr>
                <w:sz w:val="20"/>
                <w:szCs w:val="20"/>
                <w:color w:val="auto"/>
              </w:rPr>
            </w:pPr>
            <w:r>
              <w:rPr>
                <w:rFonts w:ascii="Arial" w:cs="Arial" w:eastAsia="Arial" w:hAnsi="Arial"/>
                <w:sz w:val="9"/>
                <w:szCs w:val="9"/>
                <w:color w:val="auto"/>
              </w:rPr>
              <w:t>50,000</w:t>
            </w:r>
          </w:p>
        </w:tc>
        <w:tc>
          <w:tcPr>
            <w:tcW w:w="120" w:type="dxa"/>
            <w:vAlign w:val="bottom"/>
          </w:tcPr>
          <w:p>
            <w:pPr>
              <w:spacing w:after="0"/>
              <w:rPr>
                <w:sz w:val="11"/>
                <w:szCs w:val="11"/>
                <w:color w:val="auto"/>
              </w:rPr>
            </w:pPr>
          </w:p>
        </w:tc>
        <w:tc>
          <w:tcPr>
            <w:tcW w:w="600" w:type="dxa"/>
            <w:vAlign w:val="bottom"/>
          </w:tcPr>
          <w:p>
            <w:pPr>
              <w:jc w:val="right"/>
              <w:ind w:right="14"/>
              <w:spacing w:after="0"/>
              <w:rPr>
                <w:sz w:val="20"/>
                <w:szCs w:val="20"/>
                <w:color w:val="auto"/>
              </w:rPr>
            </w:pPr>
            <w:r>
              <w:rPr>
                <w:rFonts w:ascii="Arial" w:cs="Arial" w:eastAsia="Arial" w:hAnsi="Arial"/>
                <w:sz w:val="9"/>
                <w:szCs w:val="9"/>
                <w:color w:val="auto"/>
              </w:rPr>
              <w:t>496</w:t>
            </w:r>
          </w:p>
        </w:tc>
        <w:tc>
          <w:tcPr>
            <w:tcW w:w="160" w:type="dxa"/>
            <w:vAlign w:val="bottom"/>
          </w:tcPr>
          <w:p>
            <w:pPr>
              <w:spacing w:after="0"/>
              <w:rPr>
                <w:sz w:val="11"/>
                <w:szCs w:val="11"/>
                <w:color w:val="auto"/>
              </w:rPr>
            </w:pPr>
          </w:p>
        </w:tc>
        <w:tc>
          <w:tcPr>
            <w:tcW w:w="580" w:type="dxa"/>
            <w:vAlign w:val="bottom"/>
          </w:tcPr>
          <w:p>
            <w:pPr>
              <w:jc w:val="right"/>
              <w:ind w:right="14"/>
              <w:spacing w:after="0"/>
              <w:rPr>
                <w:sz w:val="20"/>
                <w:szCs w:val="20"/>
                <w:color w:val="auto"/>
              </w:rPr>
            </w:pPr>
            <w:r>
              <w:rPr>
                <w:rFonts w:ascii="Arial" w:cs="Arial" w:eastAsia="Arial" w:hAnsi="Arial"/>
                <w:sz w:val="9"/>
                <w:szCs w:val="9"/>
                <w:color w:val="auto"/>
              </w:rPr>
              <w:t>496</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2.46 %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February 2023</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February 2027</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gridSpan w:val="2"/>
          </w:tcPr>
          <w:p>
            <w:pPr>
              <w:ind w:left="80"/>
              <w:spacing w:after="0" w:line="100" w:lineRule="exact"/>
              <w:rPr>
                <w:sz w:val="20"/>
                <w:szCs w:val="20"/>
                <w:color w:val="auto"/>
              </w:rPr>
            </w:pPr>
            <w:r>
              <w:rPr>
                <w:rFonts w:ascii="Arial" w:cs="Arial" w:eastAsia="Arial" w:hAnsi="Arial"/>
                <w:sz w:val="9"/>
                <w:szCs w:val="9"/>
                <w:color w:val="auto"/>
              </w:rPr>
              <w:t>Term Loan C &amp; Revolving Credit</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8"/>
                <w:szCs w:val="8"/>
                <w:color w:val="auto"/>
              </w:rPr>
            </w:pPr>
          </w:p>
        </w:tc>
        <w:tc>
          <w:tcPr>
            <w:tcW w:w="540" w:type="dxa"/>
            <w:vAlign w:val="bottom"/>
            <w:vMerge w:val="restart"/>
          </w:tcPr>
          <w:p>
            <w:pPr>
              <w:jc w:val="right"/>
              <w:ind w:right="134"/>
              <w:spacing w:after="0"/>
              <w:rPr>
                <w:sz w:val="20"/>
                <w:szCs w:val="20"/>
                <w:color w:val="auto"/>
              </w:rPr>
            </w:pPr>
            <w:r>
              <w:rPr>
                <w:rFonts w:ascii="Arial" w:cs="Arial" w:eastAsia="Arial" w:hAnsi="Arial"/>
                <w:sz w:val="9"/>
                <w:szCs w:val="9"/>
                <w:color w:val="auto"/>
              </w:rPr>
              <w:t>300,000</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300,000</w:t>
            </w:r>
          </w:p>
        </w:tc>
        <w:tc>
          <w:tcPr>
            <w:tcW w:w="120" w:type="dxa"/>
            <w:vAlign w:val="bottom"/>
          </w:tcPr>
          <w:p>
            <w:pPr>
              <w:spacing w:after="0"/>
              <w:rPr>
                <w:sz w:val="8"/>
                <w:szCs w:val="8"/>
                <w:color w:val="auto"/>
              </w:rPr>
            </w:pPr>
          </w:p>
        </w:tc>
        <w:tc>
          <w:tcPr>
            <w:tcW w:w="600" w:type="dxa"/>
            <w:vAlign w:val="bottom"/>
            <w:vMerge w:val="restart"/>
          </w:tcPr>
          <w:p>
            <w:pPr>
              <w:jc w:val="right"/>
              <w:ind w:right="14"/>
              <w:spacing w:after="0"/>
              <w:rPr>
                <w:sz w:val="20"/>
                <w:szCs w:val="20"/>
                <w:color w:val="auto"/>
              </w:rPr>
            </w:pPr>
            <w:r>
              <w:rPr>
                <w:rFonts w:ascii="Arial" w:cs="Arial" w:eastAsia="Arial" w:hAnsi="Arial"/>
                <w:sz w:val="9"/>
                <w:szCs w:val="9"/>
                <w:color w:val="auto"/>
              </w:rPr>
              <w:t>2,491</w:t>
            </w:r>
          </w:p>
        </w:tc>
        <w:tc>
          <w:tcPr>
            <w:tcW w:w="160" w:type="dxa"/>
            <w:vAlign w:val="bottom"/>
          </w:tcPr>
          <w:p>
            <w:pPr>
              <w:spacing w:after="0"/>
              <w:rPr>
                <w:sz w:val="8"/>
                <w:szCs w:val="8"/>
                <w:color w:val="auto"/>
              </w:rPr>
            </w:pPr>
          </w:p>
        </w:tc>
        <w:tc>
          <w:tcPr>
            <w:tcW w:w="580" w:type="dxa"/>
            <w:vAlign w:val="bottom"/>
            <w:vMerge w:val="restart"/>
          </w:tcPr>
          <w:p>
            <w:pPr>
              <w:jc w:val="right"/>
              <w:ind w:right="14"/>
              <w:spacing w:after="0"/>
              <w:rPr>
                <w:sz w:val="20"/>
                <w:szCs w:val="20"/>
                <w:color w:val="auto"/>
              </w:rPr>
            </w:pPr>
            <w:r>
              <w:rPr>
                <w:rFonts w:ascii="Arial" w:cs="Arial" w:eastAsia="Arial" w:hAnsi="Arial"/>
                <w:sz w:val="9"/>
                <w:szCs w:val="9"/>
                <w:color w:val="auto"/>
              </w:rPr>
              <w:t>2,491</w:t>
            </w:r>
          </w:p>
        </w:tc>
        <w:tc>
          <w:tcPr>
            <w:tcW w:w="200" w:type="dxa"/>
            <w:vAlign w:val="bottom"/>
          </w:tcPr>
          <w:p>
            <w:pPr>
              <w:spacing w:after="0"/>
              <w:rPr>
                <w:sz w:val="8"/>
                <w:szCs w:val="8"/>
                <w:color w:val="auto"/>
              </w:rPr>
            </w:pPr>
          </w:p>
        </w:tc>
        <w:tc>
          <w:tcPr>
            <w:tcW w:w="800" w:type="dxa"/>
            <w:vAlign w:val="bottom"/>
            <w:vMerge w:val="restart"/>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vMerge w:val="restart"/>
          </w:tcPr>
          <w:p>
            <w:pPr>
              <w:jc w:val="right"/>
              <w:ind w:right="54"/>
              <w:spacing w:after="0"/>
              <w:rPr>
                <w:sz w:val="20"/>
                <w:szCs w:val="20"/>
                <w:color w:val="auto"/>
              </w:rPr>
            </w:pPr>
            <w:r>
              <w:rPr>
                <w:rFonts w:ascii="Arial" w:cs="Arial" w:eastAsia="Arial" w:hAnsi="Arial"/>
                <w:sz w:val="9"/>
                <w:szCs w:val="9"/>
                <w:color w:val="auto"/>
              </w:rPr>
              <w:t>2.87 %</w:t>
            </w:r>
          </w:p>
        </w:tc>
        <w:tc>
          <w:tcPr>
            <w:tcW w:w="840" w:type="dxa"/>
            <w:vAlign w:val="bottom"/>
            <w:vMerge w:val="restart"/>
          </w:tcPr>
          <w:p>
            <w:pPr>
              <w:jc w:val="right"/>
              <w:ind w:right="34"/>
              <w:spacing w:after="0"/>
              <w:rPr>
                <w:sz w:val="20"/>
                <w:szCs w:val="20"/>
                <w:color w:val="auto"/>
              </w:rPr>
            </w:pPr>
            <w:r>
              <w:rPr>
                <w:rFonts w:ascii="Arial" w:cs="Arial" w:eastAsia="Arial" w:hAnsi="Arial"/>
                <w:sz w:val="9"/>
                <w:szCs w:val="9"/>
                <w:color w:val="auto"/>
              </w:rPr>
              <w:t>July 2023</w:t>
            </w:r>
          </w:p>
        </w:tc>
        <w:tc>
          <w:tcPr>
            <w:tcW w:w="122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May 2027</w:t>
            </w: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9"/>
                <w:szCs w:val="9"/>
                <w:color w:val="auto"/>
              </w:rPr>
              <w:t>Facility</w:t>
            </w:r>
          </w:p>
        </w:tc>
        <w:tc>
          <w:tcPr>
            <w:tcW w:w="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Term Loan C</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134"/>
              <w:spacing w:after="0"/>
              <w:rPr>
                <w:sz w:val="20"/>
                <w:szCs w:val="20"/>
                <w:color w:val="auto"/>
              </w:rPr>
            </w:pPr>
            <w:r>
              <w:rPr>
                <w:rFonts w:ascii="Arial" w:cs="Arial" w:eastAsia="Arial" w:hAnsi="Arial"/>
                <w:sz w:val="9"/>
                <w:szCs w:val="9"/>
                <w:color w:val="auto"/>
              </w:rPr>
              <w:t>150,000</w:t>
            </w:r>
          </w:p>
        </w:tc>
        <w:tc>
          <w:tcPr>
            <w:tcW w:w="620" w:type="dxa"/>
            <w:vAlign w:val="bottom"/>
          </w:tcPr>
          <w:p>
            <w:pPr>
              <w:jc w:val="right"/>
              <w:spacing w:after="0"/>
              <w:rPr>
                <w:sz w:val="20"/>
                <w:szCs w:val="20"/>
                <w:color w:val="auto"/>
              </w:rPr>
            </w:pPr>
            <w:r>
              <w:rPr>
                <w:rFonts w:ascii="Arial" w:cs="Arial" w:eastAsia="Arial" w:hAnsi="Arial"/>
                <w:sz w:val="9"/>
                <w:szCs w:val="9"/>
                <w:color w:val="auto"/>
              </w:rPr>
              <w:t>150,000</w:t>
            </w:r>
          </w:p>
        </w:tc>
        <w:tc>
          <w:tcPr>
            <w:tcW w:w="120" w:type="dxa"/>
            <w:vAlign w:val="bottom"/>
          </w:tcPr>
          <w:p>
            <w:pPr>
              <w:spacing w:after="0"/>
              <w:rPr>
                <w:sz w:val="11"/>
                <w:szCs w:val="11"/>
                <w:color w:val="auto"/>
              </w:rPr>
            </w:pPr>
          </w:p>
        </w:tc>
        <w:tc>
          <w:tcPr>
            <w:tcW w:w="600" w:type="dxa"/>
            <w:vAlign w:val="bottom"/>
          </w:tcPr>
          <w:p>
            <w:pPr>
              <w:jc w:val="right"/>
              <w:ind w:right="14"/>
              <w:spacing w:after="0"/>
              <w:rPr>
                <w:sz w:val="20"/>
                <w:szCs w:val="20"/>
                <w:color w:val="auto"/>
              </w:rPr>
            </w:pPr>
            <w:r>
              <w:rPr>
                <w:rFonts w:ascii="Arial" w:cs="Arial" w:eastAsia="Arial" w:hAnsi="Arial"/>
                <w:sz w:val="9"/>
                <w:szCs w:val="9"/>
                <w:color w:val="auto"/>
              </w:rPr>
              <w:t>184</w:t>
            </w:r>
          </w:p>
        </w:tc>
        <w:tc>
          <w:tcPr>
            <w:tcW w:w="160" w:type="dxa"/>
            <w:vAlign w:val="bottom"/>
          </w:tcPr>
          <w:p>
            <w:pPr>
              <w:spacing w:after="0"/>
              <w:rPr>
                <w:sz w:val="11"/>
                <w:szCs w:val="11"/>
                <w:color w:val="auto"/>
              </w:rPr>
            </w:pPr>
          </w:p>
        </w:tc>
        <w:tc>
          <w:tcPr>
            <w:tcW w:w="580" w:type="dxa"/>
            <w:vAlign w:val="bottom"/>
          </w:tcPr>
          <w:p>
            <w:pPr>
              <w:jc w:val="right"/>
              <w:ind w:right="14"/>
              <w:spacing w:after="0"/>
              <w:rPr>
                <w:sz w:val="20"/>
                <w:szCs w:val="20"/>
                <w:color w:val="auto"/>
              </w:rPr>
            </w:pPr>
            <w:r>
              <w:rPr>
                <w:rFonts w:ascii="Arial" w:cs="Arial" w:eastAsia="Arial" w:hAnsi="Arial"/>
                <w:sz w:val="9"/>
                <w:szCs w:val="9"/>
                <w:color w:val="auto"/>
              </w:rPr>
              <w:t>184</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3.52 %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January 2024</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May 2027</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Revolving Credit Facility</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125,000</w:t>
            </w:r>
          </w:p>
        </w:tc>
        <w:tc>
          <w:tcPr>
            <w:tcW w:w="620" w:type="dxa"/>
            <w:vAlign w:val="bottom"/>
          </w:tcPr>
          <w:p>
            <w:pPr>
              <w:jc w:val="right"/>
              <w:spacing w:after="0"/>
              <w:rPr>
                <w:sz w:val="20"/>
                <w:szCs w:val="20"/>
                <w:color w:val="auto"/>
              </w:rPr>
            </w:pPr>
            <w:r>
              <w:rPr>
                <w:rFonts w:ascii="Arial" w:cs="Arial" w:eastAsia="Arial" w:hAnsi="Arial"/>
                <w:sz w:val="9"/>
                <w:szCs w:val="9"/>
                <w:color w:val="auto"/>
              </w:rPr>
              <w:t>125,000</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(11)</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(11)</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3.67 %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August 2024</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December 2026</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Revolving Credit Facility</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134"/>
              <w:spacing w:after="0"/>
              <w:rPr>
                <w:sz w:val="20"/>
                <w:szCs w:val="20"/>
                <w:color w:val="auto"/>
              </w:rPr>
            </w:pPr>
            <w:r>
              <w:rPr>
                <w:rFonts w:ascii="Arial" w:cs="Arial" w:eastAsia="Arial" w:hAnsi="Arial"/>
                <w:sz w:val="9"/>
                <w:szCs w:val="9"/>
                <w:color w:val="auto"/>
              </w:rPr>
              <w:t>125,000</w:t>
            </w:r>
          </w:p>
        </w:tc>
        <w:tc>
          <w:tcPr>
            <w:tcW w:w="620" w:type="dxa"/>
            <w:vAlign w:val="bottom"/>
          </w:tcPr>
          <w:p>
            <w:pPr>
              <w:jc w:val="right"/>
              <w:spacing w:after="0"/>
              <w:rPr>
                <w:sz w:val="20"/>
                <w:szCs w:val="20"/>
                <w:color w:val="auto"/>
              </w:rPr>
            </w:pPr>
            <w:r>
              <w:rPr>
                <w:rFonts w:ascii="Arial" w:cs="Arial" w:eastAsia="Arial" w:hAnsi="Arial"/>
                <w:sz w:val="9"/>
                <w:szCs w:val="9"/>
                <w:color w:val="auto"/>
              </w:rPr>
              <w:t>125,000</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(14)</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(14)</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3.67 %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August 2024</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December 2026</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Revolving Credit Facility</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295,779</w:t>
            </w:r>
          </w:p>
        </w:tc>
        <w:tc>
          <w:tcPr>
            <w:tcW w:w="620" w:type="dxa"/>
            <w:vAlign w:val="bottom"/>
          </w:tcPr>
          <w:p>
            <w:pPr>
              <w:jc w:val="right"/>
              <w:spacing w:after="0"/>
              <w:rPr>
                <w:sz w:val="20"/>
                <w:szCs w:val="20"/>
                <w:color w:val="auto"/>
              </w:rPr>
            </w:pPr>
            <w:r>
              <w:rPr>
                <w:rFonts w:ascii="Arial" w:cs="Arial" w:eastAsia="Arial" w:hAnsi="Arial"/>
                <w:sz w:val="9"/>
                <w:szCs w:val="9"/>
                <w:color w:val="auto"/>
              </w:rPr>
              <w:t>295,779</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(4,110)</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(4,110)</w:t>
            </w:r>
          </w:p>
        </w:tc>
        <w:tc>
          <w:tcPr>
            <w:tcW w:w="200" w:type="dxa"/>
            <w:vAlign w:val="bottom"/>
          </w:tcPr>
          <w:p>
            <w:pPr>
              <w:jc w:val="right"/>
              <w:ind w:right="34"/>
              <w:spacing w:after="0"/>
              <w:rPr>
                <w:sz w:val="20"/>
                <w:szCs w:val="20"/>
                <w:color w:val="auto"/>
              </w:rPr>
            </w:pPr>
            <w:r>
              <w:rPr>
                <w:rFonts w:ascii="Arial" w:cs="Arial" w:eastAsia="Arial" w:hAnsi="Arial"/>
                <w:sz w:val="9"/>
                <w:szCs w:val="9"/>
                <w:color w:val="auto"/>
                <w:w w:val="90"/>
              </w:rPr>
              <w:t>(2)</w:t>
            </w: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4.49 %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November 2024</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November 2027</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Junior subordinated deferrable</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9"/>
                <w:szCs w:val="9"/>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100,000</w:t>
            </w:r>
          </w:p>
        </w:tc>
        <w:tc>
          <w:tcPr>
            <w:tcW w:w="620" w:type="dxa"/>
            <w:vAlign w:val="bottom"/>
          </w:tcPr>
          <w:p>
            <w:pPr>
              <w:jc w:val="right"/>
              <w:spacing w:after="0"/>
              <w:rPr>
                <w:sz w:val="20"/>
                <w:szCs w:val="20"/>
                <w:color w:val="auto"/>
              </w:rPr>
            </w:pPr>
            <w:r>
              <w:rPr>
                <w:rFonts w:ascii="Arial" w:cs="Arial" w:eastAsia="Arial" w:hAnsi="Arial"/>
                <w:sz w:val="9"/>
                <w:szCs w:val="9"/>
                <w:color w:val="auto"/>
              </w:rPr>
              <w:t>100,000</w:t>
            </w:r>
          </w:p>
        </w:tc>
        <w:tc>
          <w:tcPr>
            <w:tcW w:w="1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(291)</w:t>
            </w:r>
          </w:p>
        </w:tc>
        <w:tc>
          <w:tcPr>
            <w:tcW w:w="1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(291)</w:t>
            </w:r>
          </w:p>
        </w:tc>
        <w:tc>
          <w:tcPr>
            <w:tcW w:w="200" w:type="dxa"/>
            <w:vAlign w:val="bottom"/>
          </w:tcPr>
          <w:p>
            <w:pPr>
              <w:spacing w:after="0"/>
              <w:rPr>
                <w:sz w:val="9"/>
                <w:szCs w:val="9"/>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3.76 %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January 2023</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January 2028</w:t>
            </w: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interest debentures</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Forward-starting Derivatives</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SLGOP – 100 Church Street</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9"/>
                <w:szCs w:val="9"/>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$357,500</w:t>
            </w:r>
          </w:p>
        </w:tc>
        <w:tc>
          <w:tcPr>
            <w:tcW w:w="620" w:type="dxa"/>
            <w:vAlign w:val="bottom"/>
          </w:tcPr>
          <w:p>
            <w:pPr>
              <w:jc w:val="right"/>
              <w:spacing w:after="0"/>
              <w:rPr>
                <w:sz w:val="20"/>
                <w:szCs w:val="20"/>
                <w:color w:val="auto"/>
              </w:rPr>
            </w:pPr>
            <w:r>
              <w:rPr>
                <w:rFonts w:ascii="Arial" w:cs="Arial" w:eastAsia="Arial" w:hAnsi="Arial"/>
                <w:sz w:val="9"/>
                <w:szCs w:val="9"/>
                <w:color w:val="auto"/>
              </w:rPr>
              <w:t>$357,500</w:t>
            </w:r>
          </w:p>
        </w:tc>
        <w:tc>
          <w:tcPr>
            <w:tcW w:w="1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$1,668</w:t>
            </w:r>
          </w:p>
        </w:tc>
        <w:tc>
          <w:tcPr>
            <w:tcW w:w="1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$1,668</w:t>
            </w:r>
          </w:p>
        </w:tc>
        <w:tc>
          <w:tcPr>
            <w:tcW w:w="200" w:type="dxa"/>
            <w:vAlign w:val="bottom"/>
          </w:tcPr>
          <w:p>
            <w:pPr>
              <w:spacing w:after="0"/>
              <w:rPr>
                <w:sz w:val="9"/>
                <w:szCs w:val="9"/>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2.98 %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June 2027</w:t>
            </w:r>
          </w:p>
        </w:tc>
        <w:tc>
          <w:tcPr>
            <w:tcW w:w="1160" w:type="dxa"/>
            <w:vAlign w:val="bottom"/>
          </w:tcPr>
          <w:p>
            <w:pPr>
              <w:jc w:val="right"/>
              <w:spacing w:after="0"/>
              <w:rPr>
                <w:sz w:val="20"/>
                <w:szCs w:val="20"/>
                <w:color w:val="auto"/>
              </w:rPr>
            </w:pPr>
            <w:r>
              <w:rPr>
                <w:rFonts w:ascii="Arial" w:cs="Arial" w:eastAsia="Arial" w:hAnsi="Arial"/>
                <w:sz w:val="9"/>
                <w:szCs w:val="9"/>
                <w:color w:val="auto"/>
              </w:rPr>
              <w:t>June 2028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rPr>
              <w:t>Subtotal</w:t>
            </w:r>
          </w:p>
        </w:tc>
        <w:tc>
          <w:tcPr>
            <w:tcW w:w="6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$3,576</w:t>
            </w:r>
          </w:p>
        </w:tc>
        <w:tc>
          <w:tcPr>
            <w:tcW w:w="160" w:type="dxa"/>
            <w:vAlign w:val="bottom"/>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$3,576</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tcBorders>
              <w:bottom w:val="single" w:sz="8" w:color="auto"/>
            </w:tcBorders>
            <w:gridSpan w:val="3"/>
          </w:tcPr>
          <w:p>
            <w:pPr>
              <w:spacing w:after="0" w:line="97" w:lineRule="exact"/>
              <w:rPr>
                <w:sz w:val="20"/>
                <w:szCs w:val="20"/>
                <w:color w:val="auto"/>
              </w:rPr>
            </w:pPr>
            <w:r>
              <w:rPr>
                <w:rFonts w:ascii="Arial" w:cs="Arial" w:eastAsia="Arial" w:hAnsi="Arial"/>
                <w:sz w:val="9"/>
                <w:szCs w:val="9"/>
                <w:b w:val="1"/>
                <w:bCs w:val="1"/>
                <w:color w:val="auto"/>
              </w:rPr>
              <w:t>Unconsolidated JV Interest Rate Derivatives</w:t>
            </w:r>
          </w:p>
        </w:tc>
        <w:tc>
          <w:tcPr>
            <w:tcW w:w="58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919 Third Avenue</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51.0</w:t>
            </w:r>
          </w:p>
        </w:tc>
        <w:tc>
          <w:tcPr>
            <w:tcW w:w="180" w:type="dxa"/>
            <w:vAlign w:val="bottom"/>
          </w:tcPr>
          <w:p>
            <w:pPr>
              <w:spacing w:after="0"/>
              <w:rPr>
                <w:sz w:val="12"/>
                <w:szCs w:val="12"/>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$500,000</w:t>
            </w:r>
          </w:p>
        </w:tc>
        <w:tc>
          <w:tcPr>
            <w:tcW w:w="620" w:type="dxa"/>
            <w:vAlign w:val="bottom"/>
          </w:tcPr>
          <w:p>
            <w:pPr>
              <w:jc w:val="right"/>
              <w:spacing w:after="0"/>
              <w:rPr>
                <w:sz w:val="20"/>
                <w:szCs w:val="20"/>
                <w:color w:val="auto"/>
              </w:rPr>
            </w:pPr>
            <w:r>
              <w:rPr>
                <w:rFonts w:ascii="Arial" w:cs="Arial" w:eastAsia="Arial" w:hAnsi="Arial"/>
                <w:sz w:val="9"/>
                <w:szCs w:val="9"/>
                <w:color w:val="auto"/>
              </w:rPr>
              <w:t>$255,000</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$82</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$42</w:t>
            </w:r>
          </w:p>
        </w:tc>
        <w:tc>
          <w:tcPr>
            <w:tcW w:w="200" w:type="dxa"/>
            <w:vAlign w:val="bottom"/>
          </w:tcPr>
          <w:p>
            <w:pPr>
              <w:spacing w:after="0"/>
              <w:rPr>
                <w:sz w:val="12"/>
                <w:szCs w:val="12"/>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Cap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5.25 %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February 2026</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April 2027</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280 Park Avenue</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50.0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537,500</w:t>
            </w:r>
          </w:p>
        </w:tc>
        <w:tc>
          <w:tcPr>
            <w:tcW w:w="620" w:type="dxa"/>
            <w:vAlign w:val="bottom"/>
          </w:tcPr>
          <w:p>
            <w:pPr>
              <w:jc w:val="right"/>
              <w:spacing w:after="0"/>
              <w:rPr>
                <w:sz w:val="20"/>
                <w:szCs w:val="20"/>
                <w:color w:val="auto"/>
              </w:rPr>
            </w:pPr>
            <w:r>
              <w:rPr>
                <w:rFonts w:ascii="Arial" w:cs="Arial" w:eastAsia="Arial" w:hAnsi="Arial"/>
                <w:sz w:val="9"/>
                <w:szCs w:val="9"/>
                <w:color w:val="auto"/>
              </w:rPr>
              <w:t>268,750</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(6,673)</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(3,337)</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4.07 %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July 2024</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September 2028</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280 Park Avenue</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50.0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268,750</w:t>
            </w:r>
          </w:p>
        </w:tc>
        <w:tc>
          <w:tcPr>
            <w:tcW w:w="620" w:type="dxa"/>
            <w:vAlign w:val="bottom"/>
          </w:tcPr>
          <w:p>
            <w:pPr>
              <w:jc w:val="right"/>
              <w:spacing w:after="0"/>
              <w:rPr>
                <w:sz w:val="20"/>
                <w:szCs w:val="20"/>
                <w:color w:val="auto"/>
              </w:rPr>
            </w:pPr>
            <w:r>
              <w:rPr>
                <w:rFonts w:ascii="Arial" w:cs="Arial" w:eastAsia="Arial" w:hAnsi="Arial"/>
                <w:sz w:val="9"/>
                <w:szCs w:val="9"/>
                <w:color w:val="auto"/>
              </w:rPr>
              <w:t>134,375</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(3,157)</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(1,579)</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4.04 %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July 2024</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September 2028</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ind w:left="80"/>
              <w:spacing w:after="0"/>
              <w:rPr>
                <w:sz w:val="20"/>
                <w:szCs w:val="20"/>
                <w:color w:val="auto"/>
              </w:rPr>
            </w:pPr>
            <w:r>
              <w:rPr>
                <w:rFonts w:ascii="Arial" w:cs="Arial" w:eastAsia="Arial" w:hAnsi="Arial"/>
                <w:sz w:val="9"/>
                <w:szCs w:val="9"/>
                <w:color w:val="auto"/>
              </w:rPr>
              <w:t>280 Park Avenue</w:t>
            </w: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50.0</w:t>
            </w:r>
          </w:p>
        </w:tc>
        <w:tc>
          <w:tcPr>
            <w:tcW w:w="1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Arial" w:cs="Arial" w:eastAsia="Arial" w:hAnsi="Arial"/>
                <w:sz w:val="9"/>
                <w:szCs w:val="9"/>
                <w:color w:val="auto"/>
              </w:rPr>
              <w:t>268,750</w:t>
            </w:r>
          </w:p>
        </w:tc>
        <w:tc>
          <w:tcPr>
            <w:tcW w:w="620" w:type="dxa"/>
            <w:vAlign w:val="bottom"/>
          </w:tcPr>
          <w:p>
            <w:pPr>
              <w:jc w:val="right"/>
              <w:spacing w:after="0"/>
              <w:rPr>
                <w:sz w:val="20"/>
                <w:szCs w:val="20"/>
                <w:color w:val="auto"/>
              </w:rPr>
            </w:pPr>
            <w:r>
              <w:rPr>
                <w:rFonts w:ascii="Arial" w:cs="Arial" w:eastAsia="Arial" w:hAnsi="Arial"/>
                <w:sz w:val="9"/>
                <w:szCs w:val="9"/>
                <w:color w:val="auto"/>
              </w:rPr>
              <w:t>134,375</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(3,279)</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(1,640)</w:t>
            </w:r>
          </w:p>
        </w:tc>
        <w:tc>
          <w:tcPr>
            <w:tcW w:w="200" w:type="dxa"/>
            <w:vAlign w:val="bottom"/>
          </w:tcPr>
          <w:p>
            <w:pPr>
              <w:spacing w:after="0"/>
              <w:rPr>
                <w:sz w:val="11"/>
                <w:szCs w:val="11"/>
                <w:color w:val="auto"/>
              </w:rPr>
            </w:pP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Swap</w:t>
            </w:r>
          </w:p>
        </w:tc>
        <w:tc>
          <w:tcPr>
            <w:tcW w:w="820" w:type="dxa"/>
            <w:vAlign w:val="bottom"/>
          </w:tcPr>
          <w:p>
            <w:pPr>
              <w:jc w:val="right"/>
              <w:ind w:right="54"/>
              <w:spacing w:after="0"/>
              <w:rPr>
                <w:sz w:val="20"/>
                <w:szCs w:val="20"/>
                <w:color w:val="auto"/>
              </w:rPr>
            </w:pPr>
            <w:r>
              <w:rPr>
                <w:rFonts w:ascii="Arial" w:cs="Arial" w:eastAsia="Arial" w:hAnsi="Arial"/>
                <w:sz w:val="9"/>
                <w:szCs w:val="9"/>
                <w:color w:val="auto"/>
              </w:rPr>
              <w:t>4.06 %</w:t>
            </w: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July 2024</w:t>
            </w:r>
          </w:p>
        </w:tc>
        <w:tc>
          <w:tcPr>
            <w:tcW w:w="1220" w:type="dxa"/>
            <w:vAlign w:val="bottom"/>
            <w:gridSpan w:val="2"/>
          </w:tcPr>
          <w:p>
            <w:pPr>
              <w:jc w:val="right"/>
              <w:ind w:right="60"/>
              <w:spacing w:after="0"/>
              <w:rPr>
                <w:sz w:val="20"/>
                <w:szCs w:val="20"/>
                <w:color w:val="auto"/>
              </w:rPr>
            </w:pPr>
            <w:r>
              <w:rPr>
                <w:rFonts w:ascii="Arial" w:cs="Arial" w:eastAsia="Arial" w:hAnsi="Arial"/>
                <w:sz w:val="9"/>
                <w:szCs w:val="9"/>
                <w:color w:val="auto"/>
              </w:rPr>
              <w:t>September 2028</w:t>
            </w:r>
          </w:p>
        </w:tc>
        <w:tc>
          <w:tcPr>
            <w:tcW w:w="0" w:type="dxa"/>
            <w:vAlign w:val="bottom"/>
          </w:tcPr>
          <w:p>
            <w:pPr>
              <w:spacing w:after="0"/>
              <w:rPr>
                <w:sz w:val="1"/>
                <w:szCs w:val="1"/>
                <w:color w:val="auto"/>
              </w:rPr>
            </w:pPr>
          </w:p>
        </w:tc>
      </w:tr>
      <w:tr>
        <w:trPr>
          <w:trHeight w:val="51"/>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rPr>
              <w:t>Subtotal</w:t>
            </w:r>
          </w:p>
        </w:tc>
        <w:tc>
          <w:tcPr>
            <w:tcW w:w="6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$(13,027)</w:t>
            </w:r>
          </w:p>
        </w:tc>
        <w:tc>
          <w:tcPr>
            <w:tcW w:w="160" w:type="dxa"/>
            <w:vAlign w:val="bottom"/>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$(6,514)</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Foreign Currency Derivatives</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9"/>
                <w:szCs w:val="9"/>
                <w:color w:val="auto"/>
              </w:rPr>
              <w:t>Summit Paris</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9"/>
                <w:szCs w:val="9"/>
                <w:color w:val="auto"/>
              </w:rPr>
              <w:t>85.0</w:t>
            </w:r>
          </w:p>
        </w:tc>
        <w:tc>
          <w:tcPr>
            <w:tcW w:w="180" w:type="dxa"/>
            <w:vAlign w:val="bottom"/>
          </w:tcPr>
          <w:p>
            <w:pPr>
              <w:spacing w:after="0"/>
              <w:rPr>
                <w:sz w:val="5"/>
                <w:szCs w:val="5"/>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9"/>
                <w:szCs w:val="9"/>
                <w:color w:val="auto"/>
              </w:rPr>
              <w:t>$44,384</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$37,726</w:t>
            </w:r>
          </w:p>
        </w:tc>
        <w:tc>
          <w:tcPr>
            <w:tcW w:w="12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$109</w:t>
            </w:r>
          </w:p>
        </w:tc>
        <w:tc>
          <w:tcPr>
            <w:tcW w:w="16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$93</w:t>
            </w:r>
          </w:p>
        </w:tc>
        <w:tc>
          <w:tcPr>
            <w:tcW w:w="200" w:type="dxa"/>
            <w:vAlign w:val="bottom"/>
            <w:vMerge w:val="restart"/>
          </w:tcPr>
          <w:p>
            <w:pPr>
              <w:jc w:val="right"/>
              <w:ind w:right="34"/>
              <w:spacing w:after="0"/>
              <w:rPr>
                <w:sz w:val="20"/>
                <w:szCs w:val="20"/>
                <w:color w:val="auto"/>
              </w:rPr>
            </w:pPr>
            <w:r>
              <w:rPr>
                <w:rFonts w:ascii="Arial" w:cs="Arial" w:eastAsia="Arial" w:hAnsi="Arial"/>
                <w:sz w:val="9"/>
                <w:szCs w:val="9"/>
                <w:color w:val="auto"/>
                <w:w w:val="90"/>
              </w:rPr>
              <w:t>(2)</w:t>
            </w:r>
          </w:p>
        </w:tc>
        <w:tc>
          <w:tcPr>
            <w:tcW w:w="800" w:type="dxa"/>
            <w:vAlign w:val="bottom"/>
          </w:tcPr>
          <w:p>
            <w:pPr>
              <w:jc w:val="right"/>
              <w:ind w:right="95"/>
              <w:spacing w:after="0" w:line="68" w:lineRule="exact"/>
              <w:rPr>
                <w:sz w:val="20"/>
                <w:szCs w:val="20"/>
                <w:color w:val="auto"/>
              </w:rPr>
            </w:pPr>
            <w:r>
              <w:rPr>
                <w:rFonts w:ascii="Arial" w:cs="Arial" w:eastAsia="Arial" w:hAnsi="Arial"/>
                <w:sz w:val="7"/>
                <w:szCs w:val="7"/>
                <w:color w:val="auto"/>
              </w:rPr>
              <w:t>FX Forward</w:t>
            </w:r>
          </w:p>
        </w:tc>
        <w:tc>
          <w:tcPr>
            <w:tcW w:w="820" w:type="dxa"/>
            <w:vAlign w:val="bottom"/>
            <w:vMerge w:val="restart"/>
          </w:tcPr>
          <w:p>
            <w:pPr>
              <w:jc w:val="right"/>
              <w:ind w:right="54"/>
              <w:spacing w:after="0"/>
              <w:rPr>
                <w:sz w:val="20"/>
                <w:szCs w:val="20"/>
                <w:color w:val="auto"/>
              </w:rPr>
            </w:pPr>
            <w:r>
              <w:rPr>
                <w:rFonts w:ascii="Arial" w:cs="Arial" w:eastAsia="Arial" w:hAnsi="Arial"/>
                <w:sz w:val="9"/>
                <w:szCs w:val="9"/>
                <w:color w:val="auto"/>
              </w:rPr>
              <w:t>N/A</w:t>
            </w:r>
          </w:p>
        </w:tc>
        <w:tc>
          <w:tcPr>
            <w:tcW w:w="840" w:type="dxa"/>
            <w:vAlign w:val="bottom"/>
            <w:vMerge w:val="restart"/>
          </w:tcPr>
          <w:p>
            <w:pPr>
              <w:jc w:val="right"/>
              <w:ind w:right="34"/>
              <w:spacing w:after="0"/>
              <w:rPr>
                <w:sz w:val="20"/>
                <w:szCs w:val="20"/>
                <w:color w:val="auto"/>
              </w:rPr>
            </w:pPr>
            <w:r>
              <w:rPr>
                <w:rFonts w:ascii="Arial" w:cs="Arial" w:eastAsia="Arial" w:hAnsi="Arial"/>
                <w:sz w:val="9"/>
                <w:szCs w:val="9"/>
                <w:color w:val="auto"/>
              </w:rPr>
              <w:t>March 2026</w:t>
            </w:r>
          </w:p>
        </w:tc>
        <w:tc>
          <w:tcPr>
            <w:tcW w:w="122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April 2026 - June 2027</w:t>
            </w: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00" w:type="dxa"/>
            <w:vAlign w:val="bottom"/>
            <w:vMerge w:val="restart"/>
          </w:tcPr>
          <w:p>
            <w:pPr>
              <w:jc w:val="right"/>
              <w:ind w:right="95"/>
              <w:spacing w:after="0"/>
              <w:rPr>
                <w:sz w:val="20"/>
                <w:szCs w:val="20"/>
                <w:color w:val="auto"/>
              </w:rPr>
            </w:pPr>
            <w:r>
              <w:rPr>
                <w:rFonts w:ascii="Arial" w:cs="Arial" w:eastAsia="Arial" w:hAnsi="Arial"/>
                <w:sz w:val="9"/>
                <w:szCs w:val="9"/>
                <w:color w:val="auto"/>
              </w:rPr>
              <w:t>Contracts</w:t>
            </w:r>
          </w:p>
        </w:tc>
        <w:tc>
          <w:tcPr>
            <w:tcW w:w="8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9"/>
                <w:szCs w:val="9"/>
                <w:color w:val="auto"/>
              </w:rPr>
              <w:t>Summit Paris</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9"/>
                <w:szCs w:val="9"/>
                <w:color w:val="auto"/>
              </w:rPr>
              <w:t>85.0</w:t>
            </w:r>
          </w:p>
        </w:tc>
        <w:tc>
          <w:tcPr>
            <w:tcW w:w="180" w:type="dxa"/>
            <w:vAlign w:val="bottom"/>
          </w:tcPr>
          <w:p>
            <w:pPr>
              <w:spacing w:after="0"/>
              <w:rPr>
                <w:sz w:val="9"/>
                <w:szCs w:val="9"/>
                <w:color w:val="auto"/>
              </w:rPr>
            </w:pPr>
          </w:p>
        </w:tc>
        <w:tc>
          <w:tcPr>
            <w:tcW w:w="540" w:type="dxa"/>
            <w:vAlign w:val="bottom"/>
            <w:vMerge w:val="restart"/>
          </w:tcPr>
          <w:p>
            <w:pPr>
              <w:jc w:val="right"/>
              <w:ind w:right="134"/>
              <w:spacing w:after="0"/>
              <w:rPr>
                <w:sz w:val="20"/>
                <w:szCs w:val="20"/>
                <w:color w:val="auto"/>
              </w:rPr>
            </w:pPr>
            <w:r>
              <w:rPr>
                <w:rFonts w:ascii="Arial" w:cs="Arial" w:eastAsia="Arial" w:hAnsi="Arial"/>
                <w:sz w:val="9"/>
                <w:szCs w:val="9"/>
                <w:color w:val="auto"/>
              </w:rPr>
              <w:t>30,492</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25,918</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(224)</w:t>
            </w:r>
          </w:p>
        </w:tc>
        <w:tc>
          <w:tcPr>
            <w:tcW w:w="160" w:type="dxa"/>
            <w:vAlign w:val="bottom"/>
          </w:tcPr>
          <w:p>
            <w:pPr>
              <w:spacing w:after="0"/>
              <w:rPr>
                <w:sz w:val="9"/>
                <w:szCs w:val="9"/>
                <w:color w:val="auto"/>
              </w:rPr>
            </w:pPr>
          </w:p>
        </w:tc>
        <w:tc>
          <w:tcPr>
            <w:tcW w:w="780" w:type="dxa"/>
            <w:vAlign w:val="bottom"/>
            <w:gridSpan w:val="2"/>
            <w:vMerge w:val="restart"/>
          </w:tcPr>
          <w:p>
            <w:pPr>
              <w:jc w:val="right"/>
              <w:ind w:right="34"/>
              <w:spacing w:after="0"/>
              <w:rPr>
                <w:sz w:val="20"/>
                <w:szCs w:val="20"/>
                <w:color w:val="auto"/>
              </w:rPr>
            </w:pPr>
            <w:r>
              <w:rPr>
                <w:rFonts w:ascii="Arial" w:cs="Arial" w:eastAsia="Arial" w:hAnsi="Arial"/>
                <w:sz w:val="9"/>
                <w:szCs w:val="9"/>
                <w:color w:val="auto"/>
              </w:rPr>
              <w:t>(190) (2)</w:t>
            </w:r>
          </w:p>
        </w:tc>
        <w:tc>
          <w:tcPr>
            <w:tcW w:w="800" w:type="dxa"/>
            <w:vAlign w:val="bottom"/>
          </w:tcPr>
          <w:p>
            <w:pPr>
              <w:jc w:val="right"/>
              <w:ind w:right="95"/>
              <w:spacing w:after="0"/>
              <w:rPr>
                <w:sz w:val="20"/>
                <w:szCs w:val="20"/>
                <w:color w:val="auto"/>
              </w:rPr>
            </w:pPr>
            <w:r>
              <w:rPr>
                <w:rFonts w:ascii="Arial" w:cs="Arial" w:eastAsia="Arial" w:hAnsi="Arial"/>
                <w:sz w:val="9"/>
                <w:szCs w:val="9"/>
                <w:color w:val="auto"/>
              </w:rPr>
              <w:t>FX Forward</w:t>
            </w:r>
          </w:p>
        </w:tc>
        <w:tc>
          <w:tcPr>
            <w:tcW w:w="820" w:type="dxa"/>
            <w:vAlign w:val="bottom"/>
            <w:vMerge w:val="restart"/>
          </w:tcPr>
          <w:p>
            <w:pPr>
              <w:jc w:val="right"/>
              <w:ind w:right="54"/>
              <w:spacing w:after="0"/>
              <w:rPr>
                <w:sz w:val="20"/>
                <w:szCs w:val="20"/>
                <w:color w:val="auto"/>
              </w:rPr>
            </w:pPr>
            <w:r>
              <w:rPr>
                <w:rFonts w:ascii="Arial" w:cs="Arial" w:eastAsia="Arial" w:hAnsi="Arial"/>
                <w:sz w:val="9"/>
                <w:szCs w:val="9"/>
                <w:color w:val="auto"/>
              </w:rPr>
              <w:t>N/A</w:t>
            </w:r>
          </w:p>
        </w:tc>
        <w:tc>
          <w:tcPr>
            <w:tcW w:w="840" w:type="dxa"/>
            <w:vAlign w:val="bottom"/>
            <w:vMerge w:val="restart"/>
          </w:tcPr>
          <w:p>
            <w:pPr>
              <w:jc w:val="right"/>
              <w:ind w:right="34"/>
              <w:spacing w:after="0"/>
              <w:rPr>
                <w:sz w:val="20"/>
                <w:szCs w:val="20"/>
                <w:color w:val="auto"/>
              </w:rPr>
            </w:pPr>
            <w:r>
              <w:rPr>
                <w:rFonts w:ascii="Arial" w:cs="Arial" w:eastAsia="Arial" w:hAnsi="Arial"/>
                <w:sz w:val="9"/>
                <w:szCs w:val="9"/>
                <w:color w:val="auto"/>
              </w:rPr>
              <w:t>March 2026</w:t>
            </w:r>
          </w:p>
        </w:tc>
        <w:tc>
          <w:tcPr>
            <w:tcW w:w="122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October 2027 - June 2032</w:t>
            </w: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0" w:type="dxa"/>
            <w:vAlign w:val="bottom"/>
            <w:vMerge w:val="restart"/>
          </w:tcPr>
          <w:p>
            <w:pPr>
              <w:jc w:val="right"/>
              <w:ind w:right="95"/>
              <w:spacing w:after="0"/>
              <w:rPr>
                <w:sz w:val="20"/>
                <w:szCs w:val="20"/>
                <w:color w:val="auto"/>
              </w:rPr>
            </w:pPr>
            <w:r>
              <w:rPr>
                <w:rFonts w:ascii="Arial" w:cs="Arial" w:eastAsia="Arial" w:hAnsi="Arial"/>
                <w:sz w:val="9"/>
                <w:szCs w:val="9"/>
                <w:color w:val="auto"/>
              </w:rPr>
              <w:t>Contracts</w:t>
            </w:r>
          </w:p>
        </w:tc>
        <w:tc>
          <w:tcPr>
            <w:tcW w:w="8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rPr>
              <w:t>Subtotal</w:t>
            </w:r>
          </w:p>
        </w:tc>
        <w:tc>
          <w:tcPr>
            <w:tcW w:w="6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$(115)</w:t>
            </w:r>
          </w:p>
        </w:tc>
        <w:tc>
          <w:tcPr>
            <w:tcW w:w="160" w:type="dxa"/>
            <w:vAlign w:val="bottom"/>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$(97)</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rPr>
              <w:t>Total, SLG</w:t>
            </w:r>
          </w:p>
        </w:tc>
        <w:tc>
          <w:tcPr>
            <w:tcW w:w="6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$(12,438)</w:t>
            </w:r>
          </w:p>
        </w:tc>
        <w:tc>
          <w:tcPr>
            <w:tcW w:w="16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$(5,907)</w:t>
            </w: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rPr>
              <w:t>Share</w:t>
            </w: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6"/>
            <w:vMerge w:val="restart"/>
          </w:tcPr>
          <w:p>
            <w:pPr>
              <w:spacing w:after="0"/>
              <w:rPr>
                <w:sz w:val="20"/>
                <w:szCs w:val="20"/>
                <w:color w:val="auto"/>
              </w:rPr>
            </w:pPr>
            <w:r>
              <w:rPr>
                <w:rFonts w:ascii="Arial" w:cs="Arial" w:eastAsia="Arial" w:hAnsi="Arial"/>
                <w:sz w:val="8"/>
                <w:szCs w:val="8"/>
                <w:color w:val="auto"/>
              </w:rPr>
              <w:t>(1) Certain financings require the purchase of a cap at a specified strike rate.</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5"/>
          </w:tcPr>
          <w:p>
            <w:pPr>
              <w:spacing w:after="0"/>
              <w:rPr>
                <w:sz w:val="20"/>
                <w:szCs w:val="20"/>
                <w:color w:val="auto"/>
              </w:rPr>
            </w:pPr>
            <w:r>
              <w:rPr>
                <w:rFonts w:ascii="Arial" w:cs="Arial" w:eastAsia="Arial" w:hAnsi="Arial"/>
                <w:sz w:val="8"/>
                <w:szCs w:val="8"/>
                <w:color w:val="auto"/>
                <w:w w:val="98"/>
              </w:rPr>
              <w:t>(2) Quarterly changes in fair value recognized in the calculation of FFO.</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740" w:type="dxa"/>
            <w:vAlign w:val="bottom"/>
            <w:gridSpan w:val="4"/>
          </w:tcPr>
          <w:p>
            <w:pPr>
              <w:spacing w:after="0"/>
              <w:rPr>
                <w:sz w:val="20"/>
                <w:szCs w:val="20"/>
                <w:color w:val="auto"/>
              </w:rPr>
            </w:pPr>
            <w:r>
              <w:rPr>
                <w:rFonts w:ascii="Arial" w:cs="Arial" w:eastAsia="Arial" w:hAnsi="Arial"/>
                <w:sz w:val="9"/>
                <w:szCs w:val="9"/>
                <w:color w:val="auto"/>
              </w:rPr>
              <w:t>Supplemental Information</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9"/>
                <w:szCs w:val="9"/>
                <w:color w:val="auto"/>
              </w:rPr>
              <w:t>26</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Arial" w:cs="Arial" w:eastAsia="Arial" w:hAnsi="Arial"/>
                <w:sz w:val="9"/>
                <w:szCs w:val="9"/>
                <w:color w:val="auto"/>
              </w:rPr>
              <w:t>First Quarter 2026</w:t>
            </w:r>
          </w:p>
        </w:tc>
        <w:tc>
          <w:tcPr>
            <w:tcW w:w="0" w:type="dxa"/>
            <w:vAlign w:val="bottom"/>
          </w:tcPr>
          <w:p>
            <w:pPr>
              <w:spacing w:after="0"/>
              <w:rPr>
                <w:sz w:val="1"/>
                <w:szCs w:val="1"/>
                <w:color w:val="auto"/>
              </w:rPr>
            </w:pPr>
          </w:p>
        </w:tc>
      </w:tr>
    </w:tbl>
    <w:p>
      <w:pPr>
        <w:sectPr>
          <w:pgSz w:w="11900" w:h="16838" w:orient="portrait"/>
          <w:cols w:equalWidth="0" w:num="1">
            <w:col w:w="10160"/>
          </w:cols>
          <w:pgMar w:left="320" w:top="156" w:right="14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SUMMARY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77659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-21590</wp:posOffset>
            </wp:positionV>
            <wp:extent cx="1136650" cy="324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577659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8"/>
                <w:szCs w:val="8"/>
                <w:b w:val="1"/>
                <w:bCs w:val="1"/>
                <w:color w:val="auto"/>
              </w:rPr>
              <w:t xml:space="preserve">Scheduled Cash Payment </w:t>
            </w:r>
            <w:r>
              <w:rPr>
                <w:rFonts w:ascii="Arial" w:cs="Arial" w:eastAsia="Arial" w:hAnsi="Arial"/>
                <w:sz w:val="5"/>
                <w:szCs w:val="5"/>
                <w:b w:val="1"/>
                <w:bCs w:val="1"/>
                <w:color w:val="auto"/>
              </w:rPr>
              <w:t>(1)</w:t>
            </w: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jc w:val="center"/>
              <w:ind w:left="41"/>
              <w:spacing w:after="0"/>
              <w:rPr>
                <w:sz w:val="20"/>
                <w:szCs w:val="20"/>
                <w:color w:val="auto"/>
              </w:rPr>
            </w:pPr>
            <w:r>
              <w:rPr>
                <w:rFonts w:ascii="Arial" w:cs="Arial" w:eastAsia="Arial" w:hAnsi="Arial"/>
                <w:sz w:val="8"/>
                <w:szCs w:val="8"/>
                <w:b w:val="1"/>
                <w:bCs w:val="1"/>
                <w:color w:val="auto"/>
                <w:w w:val="96"/>
              </w:rPr>
              <w:t>Lease</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w w:val="95"/>
              </w:rPr>
              <w:t>Year of Final</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300" w:type="dxa"/>
            <w:vAlign w:val="bottom"/>
            <w:gridSpan w:val="6"/>
          </w:tcPr>
          <w:p>
            <w:pPr>
              <w:ind w:left="880"/>
              <w:spacing w:after="0" w:line="89" w:lineRule="exact"/>
              <w:rPr>
                <w:sz w:val="20"/>
                <w:szCs w:val="20"/>
                <w:color w:val="auto"/>
              </w:rPr>
            </w:pPr>
            <w:r>
              <w:rPr>
                <w:rFonts w:ascii="Arial" w:cs="Arial" w:eastAsia="Arial" w:hAnsi="Arial"/>
                <w:sz w:val="8"/>
                <w:szCs w:val="8"/>
                <w:b w:val="1"/>
                <w:bCs w:val="1"/>
                <w:color w:val="auto"/>
              </w:rPr>
              <w:t>Property</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rPr>
              <w:t>2026</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rPr>
              <w:t>2027</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rPr>
              <w:t>2028</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rPr>
              <w:t>2029</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4"/>
          </w:tcPr>
          <w:p>
            <w:pPr>
              <w:jc w:val="center"/>
              <w:ind w:right="61"/>
              <w:spacing w:after="0" w:line="89" w:lineRule="exact"/>
              <w:rPr>
                <w:sz w:val="20"/>
                <w:szCs w:val="20"/>
                <w:color w:val="auto"/>
              </w:rPr>
            </w:pPr>
            <w:r>
              <w:rPr>
                <w:rFonts w:ascii="Arial" w:cs="Arial" w:eastAsia="Arial" w:hAnsi="Arial"/>
                <w:sz w:val="8"/>
                <w:szCs w:val="8"/>
                <w:b w:val="1"/>
                <w:bCs w:val="1"/>
                <w:color w:val="auto"/>
                <w:w w:val="97"/>
              </w:rPr>
              <w:t xml:space="preserve">Liabilities </w:t>
            </w:r>
            <w:r>
              <w:rPr>
                <w:rFonts w:ascii="Arial" w:cs="Arial" w:eastAsia="Arial" w:hAnsi="Arial"/>
                <w:sz w:val="5"/>
                <w:szCs w:val="5"/>
                <w:b w:val="1"/>
                <w:bCs w:val="1"/>
                <w:color w:val="auto"/>
                <w:w w:val="97"/>
              </w:rPr>
              <w:t>(2)</w:t>
            </w:r>
          </w:p>
        </w:tc>
        <w:tc>
          <w:tcPr>
            <w:tcW w:w="680" w:type="dxa"/>
            <w:vAlign w:val="bottom"/>
            <w:gridSpan w:val="3"/>
          </w:tcPr>
          <w:p>
            <w:pPr>
              <w:jc w:val="center"/>
              <w:ind w:left="61"/>
              <w:spacing w:after="0" w:line="89" w:lineRule="exact"/>
              <w:rPr>
                <w:sz w:val="20"/>
                <w:szCs w:val="20"/>
                <w:color w:val="auto"/>
              </w:rPr>
            </w:pPr>
            <w:r>
              <w:rPr>
                <w:rFonts w:ascii="Arial" w:cs="Arial" w:eastAsia="Arial" w:hAnsi="Arial"/>
                <w:sz w:val="8"/>
                <w:szCs w:val="8"/>
                <w:b w:val="1"/>
                <w:bCs w:val="1"/>
                <w:color w:val="auto"/>
                <w:w w:val="96"/>
              </w:rPr>
              <w:t xml:space="preserve">Expiration </w:t>
            </w:r>
            <w:r>
              <w:rPr>
                <w:rFonts w:ascii="Arial" w:cs="Arial" w:eastAsia="Arial" w:hAnsi="Arial"/>
                <w:sz w:val="5"/>
                <w:szCs w:val="5"/>
                <w:b w:val="1"/>
                <w:bCs w:val="1"/>
                <w:color w:val="auto"/>
                <w:w w:val="96"/>
              </w:rPr>
              <w:t>(3)</w:t>
            </w: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8"/>
                <w:szCs w:val="8"/>
                <w:b w:val="1"/>
                <w:bCs w:val="1"/>
                <w:color w:val="auto"/>
                <w:w w:val="96"/>
              </w:rPr>
              <w:t>Consolidated Lease Liabilities (SLG Share)</w:t>
            </w:r>
          </w:p>
        </w:tc>
        <w:tc>
          <w:tcPr>
            <w:tcW w:w="7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spacing w:after="0"/>
              <w:rPr>
                <w:sz w:val="20"/>
                <w:szCs w:val="20"/>
                <w:color w:val="auto"/>
              </w:rPr>
            </w:pPr>
            <w:r>
              <w:rPr>
                <w:rFonts w:ascii="Arial" w:cs="Arial" w:eastAsia="Arial" w:hAnsi="Arial"/>
                <w:sz w:val="8"/>
                <w:szCs w:val="8"/>
                <w:b w:val="1"/>
                <w:bCs w:val="1"/>
                <w:color w:val="auto"/>
              </w:rPr>
              <w:t>Operating Leases</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1185 Avenue of the Americas</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jc w:val="right"/>
              <w:ind w:right="121"/>
              <w:spacing w:after="0"/>
              <w:rPr>
                <w:sz w:val="20"/>
                <w:szCs w:val="20"/>
                <w:color w:val="auto"/>
              </w:rPr>
            </w:pPr>
            <w:r>
              <w:rPr>
                <w:rFonts w:ascii="Arial" w:cs="Arial" w:eastAsia="Arial" w:hAnsi="Arial"/>
                <w:sz w:val="8"/>
                <w:szCs w:val="8"/>
                <w:color w:val="auto"/>
                <w:w w:val="88"/>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5,182</w:t>
            </w:r>
          </w:p>
        </w:tc>
        <w:tc>
          <w:tcPr>
            <w:tcW w:w="340" w:type="dxa"/>
            <w:vAlign w:val="bottom"/>
          </w:tcPr>
          <w:p>
            <w:pPr>
              <w:spacing w:after="0"/>
              <w:rPr>
                <w:sz w:val="8"/>
                <w:szCs w:val="8"/>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6,909</w:t>
            </w:r>
          </w:p>
        </w:tc>
        <w:tc>
          <w:tcPr>
            <w:tcW w:w="340" w:type="dxa"/>
            <w:vAlign w:val="bottom"/>
          </w:tcPr>
          <w:p>
            <w:pPr>
              <w:spacing w:after="0"/>
              <w:rPr>
                <w:sz w:val="8"/>
                <w:szCs w:val="8"/>
                <w:color w:val="auto"/>
              </w:rPr>
            </w:pPr>
          </w:p>
        </w:tc>
        <w:tc>
          <w:tcPr>
            <w:tcW w:w="200" w:type="dxa"/>
            <w:vAlign w:val="bottom"/>
          </w:tcPr>
          <w:p>
            <w:pPr>
              <w:jc w:val="right"/>
              <w:ind w:right="101"/>
              <w:spacing w:after="0"/>
              <w:rPr>
                <w:sz w:val="20"/>
                <w:szCs w:val="20"/>
                <w:color w:val="auto"/>
              </w:rPr>
            </w:pPr>
            <w:r>
              <w:rPr>
                <w:rFonts w:ascii="Arial" w:cs="Arial" w:eastAsia="Arial" w:hAnsi="Arial"/>
                <w:sz w:val="8"/>
                <w:szCs w:val="8"/>
                <w:color w:val="auto"/>
                <w:w w:val="88"/>
              </w:rPr>
              <w:t>$</w:t>
            </w: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6,909</w:t>
            </w:r>
          </w:p>
        </w:tc>
        <w:tc>
          <w:tcPr>
            <w:tcW w:w="540" w:type="dxa"/>
            <w:vAlign w:val="bottom"/>
            <w:gridSpan w:val="2"/>
          </w:tcPr>
          <w:p>
            <w:pPr>
              <w:jc w:val="right"/>
              <w:ind w:right="121"/>
              <w:spacing w:after="0"/>
              <w:rPr>
                <w:sz w:val="20"/>
                <w:szCs w:val="20"/>
                <w:color w:val="auto"/>
              </w:rPr>
            </w:pPr>
            <w:r>
              <w:rPr>
                <w:rFonts w:ascii="Arial" w:cs="Arial" w:eastAsia="Arial" w:hAnsi="Arial"/>
                <w:sz w:val="8"/>
                <w:szCs w:val="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6,909</w:t>
            </w:r>
          </w:p>
        </w:tc>
        <w:tc>
          <w:tcPr>
            <w:tcW w:w="340" w:type="dxa"/>
            <w:vAlign w:val="bottom"/>
          </w:tcPr>
          <w:p>
            <w:pPr>
              <w:spacing w:after="0"/>
              <w:rPr>
                <w:sz w:val="8"/>
                <w:szCs w:val="8"/>
                <w:color w:val="auto"/>
              </w:rPr>
            </w:pPr>
          </w:p>
        </w:tc>
        <w:tc>
          <w:tcPr>
            <w:tcW w:w="160" w:type="dxa"/>
            <w:vAlign w:val="bottom"/>
          </w:tcPr>
          <w:p>
            <w:pPr>
              <w:jc w:val="right"/>
              <w:ind w:right="61"/>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79,938</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2043</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SL Green Headquarters at One Vanderbilt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2,071</w:t>
            </w:r>
          </w:p>
        </w:tc>
        <w:tc>
          <w:tcPr>
            <w:tcW w:w="340" w:type="dxa"/>
            <w:vAlign w:val="bottom"/>
          </w:tcPr>
          <w:p>
            <w:pPr>
              <w:jc w:val="right"/>
              <w:ind w:right="181"/>
              <w:spacing w:after="0"/>
              <w:rPr>
                <w:sz w:val="20"/>
                <w:szCs w:val="20"/>
                <w:color w:val="auto"/>
              </w:rPr>
            </w:pPr>
            <w:r>
              <w:rPr>
                <w:rFonts w:ascii="Arial" w:cs="Arial" w:eastAsia="Arial" w:hAnsi="Arial"/>
                <w:sz w:val="8"/>
                <w:szCs w:val="8"/>
                <w:color w:val="auto"/>
              </w:rPr>
              <w:t>(4)</w:t>
            </w:r>
          </w:p>
        </w:tc>
        <w:tc>
          <w:tcPr>
            <w:tcW w:w="20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2,762</w:t>
            </w:r>
          </w:p>
        </w:tc>
        <w:tc>
          <w:tcPr>
            <w:tcW w:w="340" w:type="dxa"/>
            <w:vAlign w:val="bottom"/>
          </w:tcPr>
          <w:p>
            <w:pPr>
              <w:jc w:val="right"/>
              <w:ind w:right="161"/>
              <w:spacing w:after="0"/>
              <w:rPr>
                <w:sz w:val="20"/>
                <w:szCs w:val="20"/>
                <w:color w:val="auto"/>
              </w:rPr>
            </w:pPr>
            <w:r>
              <w:rPr>
                <w:rFonts w:ascii="Arial" w:cs="Arial" w:eastAsia="Arial" w:hAnsi="Arial"/>
                <w:sz w:val="8"/>
                <w:szCs w:val="8"/>
                <w:color w:val="auto"/>
              </w:rPr>
              <w:t>(4)</w:t>
            </w:r>
          </w:p>
        </w:tc>
        <w:tc>
          <w:tcPr>
            <w:tcW w:w="200" w:type="dxa"/>
            <w:vAlign w:val="bottom"/>
          </w:tcPr>
          <w:p>
            <w:pPr>
              <w:spacing w:after="0"/>
              <w:rPr>
                <w:sz w:val="10"/>
                <w:szCs w:val="1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2,971</w:t>
            </w:r>
          </w:p>
        </w:tc>
        <w:tc>
          <w:tcPr>
            <w:tcW w:w="320" w:type="dxa"/>
            <w:vAlign w:val="bottom"/>
          </w:tcPr>
          <w:p>
            <w:pPr>
              <w:jc w:val="right"/>
              <w:ind w:right="161"/>
              <w:spacing w:after="0"/>
              <w:rPr>
                <w:sz w:val="20"/>
                <w:szCs w:val="20"/>
                <w:color w:val="auto"/>
              </w:rPr>
            </w:pPr>
            <w:r>
              <w:rPr>
                <w:rFonts w:ascii="Arial" w:cs="Arial" w:eastAsia="Arial" w:hAnsi="Arial"/>
                <w:sz w:val="8"/>
                <w:szCs w:val="8"/>
                <w:color w:val="auto"/>
              </w:rPr>
              <w:t>(4)</w:t>
            </w:r>
          </w:p>
        </w:tc>
        <w:tc>
          <w:tcPr>
            <w:tcW w:w="220" w:type="dxa"/>
            <w:vAlign w:val="bottom"/>
          </w:tcPr>
          <w:p>
            <w:pPr>
              <w:spacing w:after="0"/>
              <w:rPr>
                <w:sz w:val="10"/>
                <w:szCs w:val="1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3,075</w:t>
            </w:r>
          </w:p>
        </w:tc>
        <w:tc>
          <w:tcPr>
            <w:tcW w:w="340" w:type="dxa"/>
            <w:vAlign w:val="bottom"/>
          </w:tcPr>
          <w:p>
            <w:pPr>
              <w:jc w:val="right"/>
              <w:ind w:right="161"/>
              <w:spacing w:after="0"/>
              <w:rPr>
                <w:sz w:val="20"/>
                <w:szCs w:val="20"/>
                <w:color w:val="auto"/>
              </w:rPr>
            </w:pPr>
            <w:r>
              <w:rPr>
                <w:rFonts w:ascii="Arial" w:cs="Arial" w:eastAsia="Arial" w:hAnsi="Arial"/>
                <w:sz w:val="8"/>
                <w:szCs w:val="8"/>
                <w:color w:val="auto"/>
              </w:rPr>
              <w:t>(4)</w:t>
            </w:r>
          </w:p>
        </w:tc>
        <w:tc>
          <w:tcPr>
            <w:tcW w:w="1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85,540</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2048</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800 Seventh Avenue</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2,516</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3,355</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3,355</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3,355</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50,497</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2048</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Summit One Vanderbilt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8,653</w:t>
            </w:r>
          </w:p>
        </w:tc>
        <w:tc>
          <w:tcPr>
            <w:tcW w:w="340" w:type="dxa"/>
            <w:vAlign w:val="bottom"/>
          </w:tcPr>
          <w:p>
            <w:pPr>
              <w:jc w:val="right"/>
              <w:ind w:right="181"/>
              <w:spacing w:after="0"/>
              <w:rPr>
                <w:sz w:val="20"/>
                <w:szCs w:val="20"/>
                <w:color w:val="auto"/>
              </w:rPr>
            </w:pPr>
            <w:r>
              <w:rPr>
                <w:rFonts w:ascii="Arial" w:cs="Arial" w:eastAsia="Arial" w:hAnsi="Arial"/>
                <w:sz w:val="8"/>
                <w:szCs w:val="8"/>
                <w:color w:val="auto"/>
              </w:rPr>
              <w:t>(4)</w:t>
            </w:r>
          </w:p>
        </w:tc>
        <w:tc>
          <w:tcPr>
            <w:tcW w:w="20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11,270</w:t>
            </w:r>
          </w:p>
        </w:tc>
        <w:tc>
          <w:tcPr>
            <w:tcW w:w="340" w:type="dxa"/>
            <w:vAlign w:val="bottom"/>
          </w:tcPr>
          <w:p>
            <w:pPr>
              <w:jc w:val="right"/>
              <w:ind w:right="161"/>
              <w:spacing w:after="0"/>
              <w:rPr>
                <w:sz w:val="20"/>
                <w:szCs w:val="20"/>
                <w:color w:val="auto"/>
              </w:rPr>
            </w:pPr>
            <w:r>
              <w:rPr>
                <w:rFonts w:ascii="Arial" w:cs="Arial" w:eastAsia="Arial" w:hAnsi="Arial"/>
                <w:sz w:val="8"/>
                <w:szCs w:val="8"/>
                <w:color w:val="auto"/>
              </w:rPr>
              <w:t>(4)</w:t>
            </w:r>
          </w:p>
        </w:tc>
        <w:tc>
          <w:tcPr>
            <w:tcW w:w="200" w:type="dxa"/>
            <w:vAlign w:val="bottom"/>
          </w:tcPr>
          <w:p>
            <w:pPr>
              <w:spacing w:after="0"/>
              <w:rPr>
                <w:sz w:val="10"/>
                <w:szCs w:val="1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11,293</w:t>
            </w:r>
          </w:p>
        </w:tc>
        <w:tc>
          <w:tcPr>
            <w:tcW w:w="320" w:type="dxa"/>
            <w:vAlign w:val="bottom"/>
          </w:tcPr>
          <w:p>
            <w:pPr>
              <w:jc w:val="right"/>
              <w:ind w:right="161"/>
              <w:spacing w:after="0"/>
              <w:rPr>
                <w:sz w:val="20"/>
                <w:szCs w:val="20"/>
                <w:color w:val="auto"/>
              </w:rPr>
            </w:pPr>
            <w:r>
              <w:rPr>
                <w:rFonts w:ascii="Arial" w:cs="Arial" w:eastAsia="Arial" w:hAnsi="Arial"/>
                <w:sz w:val="8"/>
                <w:szCs w:val="8"/>
                <w:color w:val="auto"/>
              </w:rPr>
              <w:t>(4)</w:t>
            </w:r>
          </w:p>
        </w:tc>
        <w:tc>
          <w:tcPr>
            <w:tcW w:w="220" w:type="dxa"/>
            <w:vAlign w:val="bottom"/>
          </w:tcPr>
          <w:p>
            <w:pPr>
              <w:spacing w:after="0"/>
              <w:rPr>
                <w:sz w:val="10"/>
                <w:szCs w:val="1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11,293</w:t>
            </w:r>
          </w:p>
        </w:tc>
        <w:tc>
          <w:tcPr>
            <w:tcW w:w="340" w:type="dxa"/>
            <w:vAlign w:val="bottom"/>
          </w:tcPr>
          <w:p>
            <w:pPr>
              <w:jc w:val="right"/>
              <w:ind w:right="161"/>
              <w:spacing w:after="0"/>
              <w:rPr>
                <w:sz w:val="20"/>
                <w:szCs w:val="20"/>
                <w:color w:val="auto"/>
              </w:rPr>
            </w:pPr>
            <w:r>
              <w:rPr>
                <w:rFonts w:ascii="Arial" w:cs="Arial" w:eastAsia="Arial" w:hAnsi="Arial"/>
                <w:sz w:val="8"/>
                <w:szCs w:val="8"/>
                <w:color w:val="auto"/>
              </w:rPr>
              <w:t>(4)</w:t>
            </w:r>
          </w:p>
        </w:tc>
        <w:tc>
          <w:tcPr>
            <w:tcW w:w="1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433,221</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2070</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420 Lexington Avenue</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8,399</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11,199</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11,199</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11,199</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167,739</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2080</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711 Third Avenue</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8"/>
                <w:szCs w:val="8"/>
                <w:color w:val="auto"/>
              </w:rPr>
              <w:t>4,125</w:t>
            </w:r>
          </w:p>
        </w:tc>
        <w:tc>
          <w:tcPr>
            <w:tcW w:w="340" w:type="dxa"/>
            <w:vAlign w:val="bottom"/>
          </w:tcPr>
          <w:p>
            <w:pPr>
              <w:jc w:val="right"/>
              <w:ind w:right="181"/>
              <w:spacing w:after="0"/>
              <w:rPr>
                <w:sz w:val="20"/>
                <w:szCs w:val="20"/>
                <w:color w:val="auto"/>
              </w:rPr>
            </w:pPr>
            <w:r>
              <w:rPr>
                <w:rFonts w:ascii="Arial" w:cs="Arial" w:eastAsia="Arial" w:hAnsi="Arial"/>
                <w:sz w:val="8"/>
                <w:szCs w:val="8"/>
                <w:color w:val="auto"/>
              </w:rPr>
              <w:t>(5)</w:t>
            </w: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8"/>
                <w:szCs w:val="8"/>
                <w:color w:val="auto"/>
              </w:rPr>
              <w:t>5,500</w:t>
            </w:r>
          </w:p>
        </w:tc>
        <w:tc>
          <w:tcPr>
            <w:tcW w:w="340" w:type="dxa"/>
            <w:vAlign w:val="bottom"/>
          </w:tcPr>
          <w:p>
            <w:pPr>
              <w:jc w:val="right"/>
              <w:ind w:right="161"/>
              <w:spacing w:after="0"/>
              <w:rPr>
                <w:sz w:val="20"/>
                <w:szCs w:val="20"/>
                <w:color w:val="auto"/>
              </w:rPr>
            </w:pPr>
            <w:r>
              <w:rPr>
                <w:rFonts w:ascii="Arial" w:cs="Arial" w:eastAsia="Arial" w:hAnsi="Arial"/>
                <w:sz w:val="8"/>
                <w:szCs w:val="8"/>
                <w:color w:val="auto"/>
              </w:rPr>
              <w:t>(5)</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8"/>
                <w:szCs w:val="8"/>
                <w:color w:val="auto"/>
              </w:rPr>
              <w:t>5,500</w:t>
            </w:r>
          </w:p>
        </w:tc>
        <w:tc>
          <w:tcPr>
            <w:tcW w:w="320" w:type="dxa"/>
            <w:vAlign w:val="bottom"/>
          </w:tcPr>
          <w:p>
            <w:pPr>
              <w:jc w:val="right"/>
              <w:ind w:right="161"/>
              <w:spacing w:after="0"/>
              <w:rPr>
                <w:sz w:val="20"/>
                <w:szCs w:val="20"/>
                <w:color w:val="auto"/>
              </w:rPr>
            </w:pPr>
            <w:r>
              <w:rPr>
                <w:rFonts w:ascii="Arial" w:cs="Arial" w:eastAsia="Arial" w:hAnsi="Arial"/>
                <w:sz w:val="8"/>
                <w:szCs w:val="8"/>
                <w:color w:val="auto"/>
              </w:rPr>
              <w:t>(5)</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8"/>
                <w:szCs w:val="8"/>
                <w:color w:val="auto"/>
              </w:rPr>
              <w:t>5,500</w:t>
            </w:r>
          </w:p>
        </w:tc>
        <w:tc>
          <w:tcPr>
            <w:tcW w:w="340" w:type="dxa"/>
            <w:vAlign w:val="bottom"/>
          </w:tcPr>
          <w:p>
            <w:pPr>
              <w:jc w:val="right"/>
              <w:ind w:right="161"/>
              <w:spacing w:after="0"/>
              <w:rPr>
                <w:sz w:val="20"/>
                <w:szCs w:val="20"/>
                <w:color w:val="auto"/>
              </w:rPr>
            </w:pPr>
            <w:r>
              <w:rPr>
                <w:rFonts w:ascii="Arial" w:cs="Arial" w:eastAsia="Arial" w:hAnsi="Arial"/>
                <w:sz w:val="8"/>
                <w:szCs w:val="8"/>
                <w:color w:val="auto"/>
              </w:rPr>
              <w:t>(5)</w:t>
            </w: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34,207</w:t>
            </w:r>
          </w:p>
        </w:tc>
        <w:tc>
          <w:tcPr>
            <w:tcW w:w="20" w:type="dxa"/>
            <w:vAlign w:val="bottom"/>
            <w:tcBorders>
              <w:bottom w:val="single" w:sz="8" w:color="auto"/>
            </w:tcBorders>
          </w:tcPr>
          <w:p>
            <w:pPr>
              <w:spacing w:after="0"/>
              <w:rPr>
                <w:sz w:val="10"/>
                <w:szCs w:val="10"/>
                <w:color w:val="auto"/>
              </w:rPr>
            </w:pPr>
          </w:p>
        </w:tc>
        <w:tc>
          <w:tcPr>
            <w:tcW w:w="280" w:type="dxa"/>
            <w:vAlign w:val="bottom"/>
          </w:tcPr>
          <w:p>
            <w:pPr>
              <w:jc w:val="right"/>
              <w:ind w:right="101"/>
              <w:spacing w:after="0"/>
              <w:rPr>
                <w:sz w:val="20"/>
                <w:szCs w:val="20"/>
                <w:color w:val="auto"/>
              </w:rPr>
            </w:pPr>
            <w:r>
              <w:rPr>
                <w:rFonts w:ascii="Arial" w:cs="Arial" w:eastAsia="Arial" w:hAnsi="Arial"/>
                <w:sz w:val="8"/>
                <w:szCs w:val="8"/>
                <w:color w:val="auto"/>
              </w:rPr>
              <w:t>(5)</w:t>
            </w: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2083</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ind w:left="300"/>
              <w:spacing w:after="0"/>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8"/>
              </w:rPr>
              <w:t>$</w:t>
            </w: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30,946</w:t>
            </w:r>
          </w:p>
        </w:tc>
        <w:tc>
          <w:tcPr>
            <w:tcW w:w="340" w:type="dxa"/>
            <w:vAlign w:val="bottom"/>
          </w:tcPr>
          <w:p>
            <w:pPr>
              <w:spacing w:after="0"/>
              <w:rPr>
                <w:sz w:val="10"/>
                <w:szCs w:val="10"/>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40,995</w:t>
            </w:r>
          </w:p>
        </w:tc>
        <w:tc>
          <w:tcPr>
            <w:tcW w:w="340" w:type="dxa"/>
            <w:vAlign w:val="bottom"/>
          </w:tcPr>
          <w:p>
            <w:pPr>
              <w:spacing w:after="0"/>
              <w:rPr>
                <w:sz w:val="10"/>
                <w:szCs w:val="10"/>
                <w:color w:val="auto"/>
              </w:rPr>
            </w:pPr>
          </w:p>
        </w:tc>
        <w:tc>
          <w:tcPr>
            <w:tcW w:w="20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w w:val="88"/>
              </w:rPr>
              <w:t>$</w:t>
            </w:r>
          </w:p>
        </w:tc>
        <w:tc>
          <w:tcPr>
            <w:tcW w:w="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41,227</w:t>
            </w:r>
          </w:p>
        </w:tc>
        <w:tc>
          <w:tcPr>
            <w:tcW w:w="320" w:type="dxa"/>
            <w:vAlign w:val="bottom"/>
          </w:tcPr>
          <w:p>
            <w:pPr>
              <w:spacing w:after="0"/>
              <w:rPr>
                <w:sz w:val="10"/>
                <w:szCs w:val="10"/>
                <w:color w:val="auto"/>
              </w:rPr>
            </w:pPr>
          </w:p>
        </w:tc>
        <w:tc>
          <w:tcPr>
            <w:tcW w:w="22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8"/>
              </w:rPr>
              <w:t>$</w:t>
            </w:r>
          </w:p>
        </w:tc>
        <w:tc>
          <w:tcPr>
            <w:tcW w:w="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8"/>
                <w:szCs w:val="8"/>
                <w:b w:val="1"/>
                <w:bCs w:val="1"/>
                <w:color w:val="auto"/>
              </w:rPr>
              <w:t>41,331</w:t>
            </w:r>
          </w:p>
        </w:tc>
        <w:tc>
          <w:tcPr>
            <w:tcW w:w="340" w:type="dxa"/>
            <w:vAlign w:val="bottom"/>
          </w:tcPr>
          <w:p>
            <w:pPr>
              <w:spacing w:after="0"/>
              <w:rPr>
                <w:sz w:val="10"/>
                <w:szCs w:val="10"/>
                <w:color w:val="auto"/>
              </w:rPr>
            </w:pPr>
          </w:p>
        </w:tc>
        <w:tc>
          <w:tcPr>
            <w:tcW w:w="160" w:type="dxa"/>
            <w:vAlign w:val="bottom"/>
            <w:tcBorders>
              <w:bottom w:val="single" w:sz="8" w:color="auto"/>
            </w:tcBorders>
          </w:tcPr>
          <w:p>
            <w:pPr>
              <w:jc w:val="right"/>
              <w:ind w:right="61"/>
              <w:spacing w:after="0"/>
              <w:rPr>
                <w:sz w:val="20"/>
                <w:szCs w:val="20"/>
                <w:color w:val="auto"/>
              </w:rPr>
            </w:pPr>
            <w:r>
              <w:rPr>
                <w:rFonts w:ascii="Arial" w:cs="Arial" w:eastAsia="Arial" w:hAnsi="Arial"/>
                <w:sz w:val="8"/>
                <w:szCs w:val="8"/>
                <w:b w:val="1"/>
                <w:bCs w:val="1"/>
                <w:color w:val="auto"/>
                <w:w w:val="88"/>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851,142</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gridSpan w:val="6"/>
            <w:vMerge w:val="restart"/>
          </w:tcPr>
          <w:p>
            <w:pPr>
              <w:spacing w:after="0"/>
              <w:rPr>
                <w:sz w:val="20"/>
                <w:szCs w:val="20"/>
                <w:color w:val="auto"/>
              </w:rPr>
            </w:pPr>
            <w:r>
              <w:rPr>
                <w:rFonts w:ascii="Arial" w:cs="Arial" w:eastAsia="Arial" w:hAnsi="Arial"/>
                <w:sz w:val="8"/>
                <w:szCs w:val="8"/>
                <w:b w:val="1"/>
                <w:bCs w:val="1"/>
                <w:color w:val="auto"/>
              </w:rPr>
              <w:t>Financing Leases</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6"/>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15 Beekman</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jc w:val="right"/>
              <w:ind w:right="121"/>
              <w:spacing w:after="0"/>
              <w:rPr>
                <w:sz w:val="20"/>
                <w:szCs w:val="20"/>
                <w:color w:val="auto"/>
              </w:rPr>
            </w:pPr>
            <w:r>
              <w:rPr>
                <w:rFonts w:ascii="Arial" w:cs="Arial" w:eastAsia="Arial" w:hAnsi="Arial"/>
                <w:sz w:val="8"/>
                <w:szCs w:val="8"/>
                <w:color w:val="auto"/>
                <w:w w:val="88"/>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2,460</w:t>
            </w:r>
          </w:p>
        </w:tc>
        <w:tc>
          <w:tcPr>
            <w:tcW w:w="340" w:type="dxa"/>
            <w:vAlign w:val="bottom"/>
          </w:tcPr>
          <w:p>
            <w:pPr>
              <w:spacing w:after="0"/>
              <w:rPr>
                <w:sz w:val="9"/>
                <w:szCs w:val="9"/>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3,325</w:t>
            </w:r>
          </w:p>
        </w:tc>
        <w:tc>
          <w:tcPr>
            <w:tcW w:w="340" w:type="dxa"/>
            <w:vAlign w:val="bottom"/>
          </w:tcPr>
          <w:p>
            <w:pPr>
              <w:spacing w:after="0"/>
              <w:rPr>
                <w:sz w:val="9"/>
                <w:szCs w:val="9"/>
                <w:color w:val="auto"/>
              </w:rPr>
            </w:pPr>
          </w:p>
        </w:tc>
        <w:tc>
          <w:tcPr>
            <w:tcW w:w="200" w:type="dxa"/>
            <w:vAlign w:val="bottom"/>
          </w:tcPr>
          <w:p>
            <w:pPr>
              <w:jc w:val="right"/>
              <w:ind w:right="101"/>
              <w:spacing w:after="0"/>
              <w:rPr>
                <w:sz w:val="20"/>
                <w:szCs w:val="20"/>
                <w:color w:val="auto"/>
              </w:rPr>
            </w:pPr>
            <w:r>
              <w:rPr>
                <w:rFonts w:ascii="Arial" w:cs="Arial" w:eastAsia="Arial" w:hAnsi="Arial"/>
                <w:sz w:val="8"/>
                <w:szCs w:val="8"/>
                <w:color w:val="auto"/>
                <w:w w:val="88"/>
              </w:rPr>
              <w:t>$</w:t>
            </w: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3,375</w:t>
            </w:r>
          </w:p>
        </w:tc>
        <w:tc>
          <w:tcPr>
            <w:tcW w:w="540" w:type="dxa"/>
            <w:vAlign w:val="bottom"/>
            <w:gridSpan w:val="2"/>
          </w:tcPr>
          <w:p>
            <w:pPr>
              <w:jc w:val="right"/>
              <w:ind w:right="121"/>
              <w:spacing w:after="0"/>
              <w:rPr>
                <w:sz w:val="20"/>
                <w:szCs w:val="20"/>
                <w:color w:val="auto"/>
              </w:rPr>
            </w:pPr>
            <w:r>
              <w:rPr>
                <w:rFonts w:ascii="Arial" w:cs="Arial" w:eastAsia="Arial" w:hAnsi="Arial"/>
                <w:sz w:val="8"/>
                <w:szCs w:val="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3,426</w:t>
            </w:r>
          </w:p>
        </w:tc>
        <w:tc>
          <w:tcPr>
            <w:tcW w:w="340" w:type="dxa"/>
            <w:vAlign w:val="bottom"/>
          </w:tcPr>
          <w:p>
            <w:pPr>
              <w:spacing w:after="0"/>
              <w:rPr>
                <w:sz w:val="9"/>
                <w:szCs w:val="9"/>
                <w:color w:val="auto"/>
              </w:rPr>
            </w:pPr>
          </w:p>
        </w:tc>
        <w:tc>
          <w:tcPr>
            <w:tcW w:w="160" w:type="dxa"/>
            <w:vAlign w:val="bottom"/>
          </w:tcPr>
          <w:p>
            <w:pPr>
              <w:jc w:val="right"/>
              <w:ind w:right="61"/>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108,515</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2119</w:t>
            </w:r>
          </w:p>
        </w:tc>
        <w:tc>
          <w:tcPr>
            <w:tcW w:w="140" w:type="dxa"/>
            <w:vAlign w:val="bottom"/>
          </w:tcPr>
          <w:p>
            <w:pPr>
              <w:spacing w:after="0"/>
              <w:rPr>
                <w:sz w:val="9"/>
                <w:szCs w:val="9"/>
                <w:color w:val="auto"/>
              </w:rPr>
            </w:pPr>
          </w:p>
        </w:tc>
        <w:tc>
          <w:tcPr>
            <w:tcW w:w="360" w:type="dxa"/>
            <w:vAlign w:val="bottom"/>
          </w:tcPr>
          <w:p>
            <w:pPr>
              <w:jc w:val="right"/>
              <w:ind w:right="181"/>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ind w:left="300"/>
              <w:spacing w:after="0"/>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8"/>
              </w:rPr>
              <w:t>$</w:t>
            </w:r>
          </w:p>
        </w:tc>
        <w:tc>
          <w:tcPr>
            <w:tcW w:w="4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2,460</w:t>
            </w:r>
          </w:p>
        </w:tc>
        <w:tc>
          <w:tcPr>
            <w:tcW w:w="34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3,325</w:t>
            </w:r>
          </w:p>
        </w:tc>
        <w:tc>
          <w:tcPr>
            <w:tcW w:w="34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w w:val="88"/>
              </w:rPr>
              <w:t>$</w:t>
            </w:r>
          </w:p>
        </w:tc>
        <w:tc>
          <w:tcPr>
            <w:tcW w:w="4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3,375</w:t>
            </w:r>
          </w:p>
        </w:tc>
        <w:tc>
          <w:tcPr>
            <w:tcW w:w="32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8"/>
              </w:rPr>
              <w:t>$</w:t>
            </w:r>
          </w:p>
        </w:tc>
        <w:tc>
          <w:tcPr>
            <w:tcW w:w="4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8"/>
                <w:szCs w:val="8"/>
                <w:b w:val="1"/>
                <w:bCs w:val="1"/>
                <w:color w:val="auto"/>
              </w:rPr>
              <w:t>3,426</w:t>
            </w:r>
          </w:p>
        </w:tc>
        <w:tc>
          <w:tcPr>
            <w:tcW w:w="34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8"/>
                <w:szCs w:val="8"/>
                <w:b w:val="1"/>
                <w:bCs w:val="1"/>
                <w:color w:val="auto"/>
                <w:w w:val="88"/>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108,515</w:t>
            </w:r>
          </w:p>
        </w:tc>
        <w:tc>
          <w:tcPr>
            <w:tcW w:w="20" w:type="dxa"/>
            <w:vAlign w:val="bottom"/>
            <w:tcBorders>
              <w:top w:val="single" w:sz="8" w:color="auto"/>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6"/>
              </w:rPr>
              <w:t>SLG</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8"/>
                <w:szCs w:val="8"/>
                <w:b w:val="1"/>
                <w:bCs w:val="1"/>
                <w:color w:val="auto"/>
              </w:rPr>
              <w:t xml:space="preserve">Scheduled Cash Payment </w:t>
            </w:r>
            <w:r>
              <w:rPr>
                <w:rFonts w:ascii="Arial" w:cs="Arial" w:eastAsia="Arial" w:hAnsi="Arial"/>
                <w:sz w:val="5"/>
                <w:szCs w:val="5"/>
                <w:b w:val="1"/>
                <w:bCs w:val="1"/>
                <w:color w:val="auto"/>
              </w:rPr>
              <w:t>(1)</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tcPr>
          <w:p>
            <w:pPr>
              <w:jc w:val="center"/>
              <w:ind w:left="41"/>
              <w:spacing w:after="0"/>
              <w:rPr>
                <w:sz w:val="20"/>
                <w:szCs w:val="20"/>
                <w:color w:val="auto"/>
              </w:rPr>
            </w:pPr>
            <w:r>
              <w:rPr>
                <w:rFonts w:ascii="Arial" w:cs="Arial" w:eastAsia="Arial" w:hAnsi="Arial"/>
                <w:sz w:val="8"/>
                <w:szCs w:val="8"/>
                <w:b w:val="1"/>
                <w:bCs w:val="1"/>
                <w:color w:val="auto"/>
                <w:w w:val="96"/>
              </w:rPr>
              <w:t>Lease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w w:val="95"/>
              </w:rPr>
              <w:t>Year of Final</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300" w:type="dxa"/>
            <w:vAlign w:val="bottom"/>
            <w:gridSpan w:val="6"/>
          </w:tcPr>
          <w:p>
            <w:pPr>
              <w:ind w:left="880"/>
              <w:spacing w:after="0" w:line="89" w:lineRule="exact"/>
              <w:rPr>
                <w:sz w:val="20"/>
                <w:szCs w:val="20"/>
                <w:color w:val="auto"/>
              </w:rPr>
            </w:pPr>
            <w:r>
              <w:rPr>
                <w:rFonts w:ascii="Arial" w:cs="Arial" w:eastAsia="Arial" w:hAnsi="Arial"/>
                <w:sz w:val="8"/>
                <w:szCs w:val="8"/>
                <w:b w:val="1"/>
                <w:bCs w:val="1"/>
                <w:color w:val="auto"/>
              </w:rPr>
              <w:t>Property</w:t>
            </w:r>
          </w:p>
        </w:tc>
        <w:tc>
          <w:tcPr>
            <w:tcW w:w="820" w:type="dxa"/>
            <w:vAlign w:val="bottom"/>
            <w:gridSpan w:val="3"/>
          </w:tcPr>
          <w:p>
            <w:pPr>
              <w:jc w:val="center"/>
              <w:ind w:right="200"/>
              <w:spacing w:after="0" w:line="89" w:lineRule="exact"/>
              <w:rPr>
                <w:sz w:val="20"/>
                <w:szCs w:val="20"/>
                <w:color w:val="auto"/>
              </w:rPr>
            </w:pPr>
            <w:r>
              <w:rPr>
                <w:rFonts w:ascii="Arial" w:cs="Arial" w:eastAsia="Arial" w:hAnsi="Arial"/>
                <w:sz w:val="8"/>
                <w:szCs w:val="8"/>
                <w:b w:val="1"/>
                <w:bCs w:val="1"/>
                <w:color w:val="auto"/>
                <w:w w:val="96"/>
              </w:rPr>
              <w:t>Interest (%)</w:t>
            </w:r>
          </w:p>
        </w:tc>
        <w:tc>
          <w:tcPr>
            <w:tcW w:w="220" w:type="dxa"/>
            <w:vAlign w:val="bottom"/>
          </w:tcPr>
          <w:p>
            <w:pPr>
              <w:spacing w:after="0"/>
              <w:rPr>
                <w:sz w:val="7"/>
                <w:szCs w:val="7"/>
                <w:color w:val="auto"/>
              </w:rPr>
            </w:pPr>
          </w:p>
        </w:tc>
        <w:tc>
          <w:tcPr>
            <w:tcW w:w="36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rPr>
              <w:t>2026</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rPr>
              <w:t>2027</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rPr>
              <w:t>2028</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rPr>
              <w:t>2029</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4"/>
          </w:tcPr>
          <w:p>
            <w:pPr>
              <w:jc w:val="center"/>
              <w:ind w:right="61"/>
              <w:spacing w:after="0" w:line="89" w:lineRule="exact"/>
              <w:rPr>
                <w:sz w:val="20"/>
                <w:szCs w:val="20"/>
                <w:color w:val="auto"/>
              </w:rPr>
            </w:pPr>
            <w:r>
              <w:rPr>
                <w:rFonts w:ascii="Arial" w:cs="Arial" w:eastAsia="Arial" w:hAnsi="Arial"/>
                <w:sz w:val="8"/>
                <w:szCs w:val="8"/>
                <w:b w:val="1"/>
                <w:bCs w:val="1"/>
                <w:color w:val="auto"/>
                <w:w w:val="97"/>
              </w:rPr>
              <w:t xml:space="preserve">Liabilities </w:t>
            </w:r>
            <w:r>
              <w:rPr>
                <w:rFonts w:ascii="Arial" w:cs="Arial" w:eastAsia="Arial" w:hAnsi="Arial"/>
                <w:sz w:val="5"/>
                <w:szCs w:val="5"/>
                <w:b w:val="1"/>
                <w:bCs w:val="1"/>
                <w:color w:val="auto"/>
                <w:w w:val="97"/>
              </w:rPr>
              <w:t>(2)</w:t>
            </w:r>
          </w:p>
        </w:tc>
        <w:tc>
          <w:tcPr>
            <w:tcW w:w="680" w:type="dxa"/>
            <w:vAlign w:val="bottom"/>
            <w:gridSpan w:val="3"/>
          </w:tcPr>
          <w:p>
            <w:pPr>
              <w:jc w:val="center"/>
              <w:ind w:left="61"/>
              <w:spacing w:after="0" w:line="89" w:lineRule="exact"/>
              <w:rPr>
                <w:sz w:val="20"/>
                <w:szCs w:val="20"/>
                <w:color w:val="auto"/>
              </w:rPr>
            </w:pPr>
            <w:r>
              <w:rPr>
                <w:rFonts w:ascii="Arial" w:cs="Arial" w:eastAsia="Arial" w:hAnsi="Arial"/>
                <w:sz w:val="8"/>
                <w:szCs w:val="8"/>
                <w:b w:val="1"/>
                <w:bCs w:val="1"/>
                <w:color w:val="auto"/>
                <w:w w:val="96"/>
              </w:rPr>
              <w:t xml:space="preserve">Expiration </w:t>
            </w:r>
            <w:r>
              <w:rPr>
                <w:rFonts w:ascii="Arial" w:cs="Arial" w:eastAsia="Arial" w:hAnsi="Arial"/>
                <w:sz w:val="5"/>
                <w:szCs w:val="5"/>
                <w:b w:val="1"/>
                <w:bCs w:val="1"/>
                <w:color w:val="auto"/>
                <w:w w:val="96"/>
              </w:rPr>
              <w:t>(3)</w:t>
            </w: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6"/>
          </w:tcPr>
          <w:p>
            <w:pPr>
              <w:spacing w:after="0"/>
              <w:rPr>
                <w:sz w:val="20"/>
                <w:szCs w:val="20"/>
                <w:color w:val="auto"/>
              </w:rPr>
            </w:pPr>
            <w:r>
              <w:rPr>
                <w:rFonts w:ascii="Arial" w:cs="Arial" w:eastAsia="Arial" w:hAnsi="Arial"/>
                <w:sz w:val="8"/>
                <w:szCs w:val="8"/>
                <w:b w:val="1"/>
                <w:bCs w:val="1"/>
                <w:color w:val="auto"/>
              </w:rPr>
              <w:t>Unconsolidated Joint Venture Lease Liabilities (SLG Share)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8"/>
                <w:szCs w:val="8"/>
                <w:b w:val="1"/>
                <w:bCs w:val="1"/>
                <w:color w:val="auto"/>
              </w:rPr>
              <w:t>Operating Leases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Equinox Studio City (7)</w:t>
            </w:r>
          </w:p>
        </w:tc>
        <w:tc>
          <w:tcPr>
            <w:tcW w:w="520" w:type="dxa"/>
            <w:vAlign w:val="bottom"/>
            <w:gridSpan w:val="2"/>
          </w:tcPr>
          <w:p>
            <w:pPr>
              <w:jc w:val="center"/>
              <w:ind w:left="61"/>
              <w:spacing w:after="0"/>
              <w:rPr>
                <w:sz w:val="20"/>
                <w:szCs w:val="20"/>
                <w:color w:val="auto"/>
              </w:rPr>
            </w:pPr>
            <w:r>
              <w:rPr>
                <w:rFonts w:ascii="Arial" w:cs="Arial" w:eastAsia="Arial" w:hAnsi="Arial"/>
                <w:sz w:val="8"/>
                <w:szCs w:val="8"/>
                <w:color w:val="auto"/>
                <w:w w:val="89"/>
              </w:rPr>
              <w:t>66.7</w:t>
            </w:r>
          </w:p>
        </w:tc>
        <w:tc>
          <w:tcPr>
            <w:tcW w:w="300" w:type="dxa"/>
            <w:vAlign w:val="bottom"/>
          </w:tcPr>
          <w:p>
            <w:pPr>
              <w:spacing w:after="0"/>
              <w:rPr>
                <w:sz w:val="8"/>
                <w:szCs w:val="8"/>
                <w:color w:val="auto"/>
              </w:rPr>
            </w:pPr>
          </w:p>
        </w:tc>
        <w:tc>
          <w:tcPr>
            <w:tcW w:w="220" w:type="dxa"/>
            <w:vAlign w:val="bottom"/>
          </w:tcPr>
          <w:p>
            <w:pPr>
              <w:jc w:val="right"/>
              <w:ind w:right="121"/>
              <w:spacing w:after="0"/>
              <w:rPr>
                <w:sz w:val="20"/>
                <w:szCs w:val="20"/>
                <w:color w:val="auto"/>
              </w:rPr>
            </w:pPr>
            <w:r>
              <w:rPr>
                <w:rFonts w:ascii="Arial" w:cs="Arial" w:eastAsia="Arial" w:hAnsi="Arial"/>
                <w:sz w:val="8"/>
                <w:szCs w:val="8"/>
                <w:color w:val="auto"/>
                <w:w w:val="88"/>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921</w:t>
            </w:r>
          </w:p>
        </w:tc>
        <w:tc>
          <w:tcPr>
            <w:tcW w:w="340" w:type="dxa"/>
            <w:vAlign w:val="bottom"/>
          </w:tcPr>
          <w:p>
            <w:pPr>
              <w:spacing w:after="0"/>
              <w:rPr>
                <w:sz w:val="8"/>
                <w:szCs w:val="8"/>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1,387</w:t>
            </w:r>
          </w:p>
        </w:tc>
        <w:tc>
          <w:tcPr>
            <w:tcW w:w="340" w:type="dxa"/>
            <w:vAlign w:val="bottom"/>
          </w:tcPr>
          <w:p>
            <w:pPr>
              <w:spacing w:after="0"/>
              <w:rPr>
                <w:sz w:val="8"/>
                <w:szCs w:val="8"/>
                <w:color w:val="auto"/>
              </w:rPr>
            </w:pPr>
          </w:p>
        </w:tc>
        <w:tc>
          <w:tcPr>
            <w:tcW w:w="200" w:type="dxa"/>
            <w:vAlign w:val="bottom"/>
          </w:tcPr>
          <w:p>
            <w:pPr>
              <w:jc w:val="right"/>
              <w:ind w:right="101"/>
              <w:spacing w:after="0"/>
              <w:rPr>
                <w:sz w:val="20"/>
                <w:szCs w:val="20"/>
                <w:color w:val="auto"/>
              </w:rPr>
            </w:pPr>
            <w:r>
              <w:rPr>
                <w:rFonts w:ascii="Arial" w:cs="Arial" w:eastAsia="Arial" w:hAnsi="Arial"/>
                <w:sz w:val="8"/>
                <w:szCs w:val="8"/>
                <w:color w:val="auto"/>
                <w:w w:val="88"/>
              </w:rPr>
              <w:t>$</w:t>
            </w: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1,387</w:t>
            </w:r>
          </w:p>
        </w:tc>
        <w:tc>
          <w:tcPr>
            <w:tcW w:w="540" w:type="dxa"/>
            <w:vAlign w:val="bottom"/>
            <w:gridSpan w:val="2"/>
          </w:tcPr>
          <w:p>
            <w:pPr>
              <w:jc w:val="right"/>
              <w:ind w:right="121"/>
              <w:spacing w:after="0"/>
              <w:rPr>
                <w:sz w:val="20"/>
                <w:szCs w:val="20"/>
                <w:color w:val="auto"/>
              </w:rPr>
            </w:pPr>
            <w:r>
              <w:rPr>
                <w:rFonts w:ascii="Arial" w:cs="Arial" w:eastAsia="Arial" w:hAnsi="Arial"/>
                <w:sz w:val="8"/>
                <w:szCs w:val="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925</w:t>
            </w:r>
          </w:p>
        </w:tc>
        <w:tc>
          <w:tcPr>
            <w:tcW w:w="340" w:type="dxa"/>
            <w:vAlign w:val="bottom"/>
          </w:tcPr>
          <w:p>
            <w:pPr>
              <w:spacing w:after="0"/>
              <w:rPr>
                <w:sz w:val="8"/>
                <w:szCs w:val="8"/>
                <w:color w:val="auto"/>
              </w:rPr>
            </w:pPr>
          </w:p>
        </w:tc>
        <w:tc>
          <w:tcPr>
            <w:tcW w:w="160" w:type="dxa"/>
            <w:vAlign w:val="bottom"/>
          </w:tcPr>
          <w:p>
            <w:pPr>
              <w:jc w:val="right"/>
              <w:ind w:right="61"/>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4,438</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2029</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Alternative strategy portfolio</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650 Fifth Avenue (Floors 4-6)</w:t>
            </w:r>
          </w:p>
        </w:tc>
        <w:tc>
          <w:tcPr>
            <w:tcW w:w="520" w:type="dxa"/>
            <w:vAlign w:val="bottom"/>
            <w:gridSpan w:val="2"/>
          </w:tcPr>
          <w:p>
            <w:pPr>
              <w:jc w:val="center"/>
              <w:ind w:left="61"/>
              <w:spacing w:after="0"/>
              <w:rPr>
                <w:sz w:val="20"/>
                <w:szCs w:val="20"/>
                <w:color w:val="auto"/>
              </w:rPr>
            </w:pPr>
            <w:r>
              <w:rPr>
                <w:rFonts w:ascii="Arial" w:cs="Arial" w:eastAsia="Arial" w:hAnsi="Arial"/>
                <w:sz w:val="8"/>
                <w:szCs w:val="8"/>
                <w:color w:val="auto"/>
                <w:w w:val="89"/>
              </w:rPr>
              <w:t>50.0</w:t>
            </w:r>
          </w:p>
        </w:tc>
        <w:tc>
          <w:tcPr>
            <w:tcW w:w="300" w:type="dxa"/>
            <w:vAlign w:val="bottom"/>
          </w:tcPr>
          <w:p>
            <w:pPr>
              <w:spacing w:after="0"/>
              <w:rPr>
                <w:sz w:val="9"/>
                <w:szCs w:val="9"/>
                <w:color w:val="auto"/>
              </w:rPr>
            </w:pPr>
          </w:p>
        </w:tc>
        <w:tc>
          <w:tcPr>
            <w:tcW w:w="220" w:type="dxa"/>
            <w:vAlign w:val="bottom"/>
          </w:tcPr>
          <w:p>
            <w:pPr>
              <w:jc w:val="right"/>
              <w:ind w:right="121"/>
              <w:spacing w:after="0"/>
              <w:rPr>
                <w:sz w:val="20"/>
                <w:szCs w:val="20"/>
                <w:color w:val="auto"/>
              </w:rPr>
            </w:pPr>
            <w:r>
              <w:rPr>
                <w:rFonts w:ascii="Arial" w:cs="Arial" w:eastAsia="Arial" w:hAnsi="Arial"/>
                <w:sz w:val="8"/>
                <w:szCs w:val="8"/>
                <w:color w:val="auto"/>
                <w:w w:val="88"/>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1,355</w:t>
            </w:r>
          </w:p>
        </w:tc>
        <w:tc>
          <w:tcPr>
            <w:tcW w:w="340" w:type="dxa"/>
            <w:vAlign w:val="bottom"/>
          </w:tcPr>
          <w:p>
            <w:pPr>
              <w:spacing w:after="0"/>
              <w:rPr>
                <w:sz w:val="9"/>
                <w:szCs w:val="9"/>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1,935</w:t>
            </w:r>
          </w:p>
        </w:tc>
        <w:tc>
          <w:tcPr>
            <w:tcW w:w="340" w:type="dxa"/>
            <w:vAlign w:val="bottom"/>
          </w:tcPr>
          <w:p>
            <w:pPr>
              <w:spacing w:after="0"/>
              <w:rPr>
                <w:sz w:val="9"/>
                <w:szCs w:val="9"/>
                <w:color w:val="auto"/>
              </w:rPr>
            </w:pPr>
          </w:p>
        </w:tc>
        <w:tc>
          <w:tcPr>
            <w:tcW w:w="200" w:type="dxa"/>
            <w:vAlign w:val="bottom"/>
          </w:tcPr>
          <w:p>
            <w:pPr>
              <w:jc w:val="right"/>
              <w:ind w:right="101"/>
              <w:spacing w:after="0"/>
              <w:rPr>
                <w:sz w:val="20"/>
                <w:szCs w:val="20"/>
                <w:color w:val="auto"/>
              </w:rPr>
            </w:pPr>
            <w:r>
              <w:rPr>
                <w:rFonts w:ascii="Arial" w:cs="Arial" w:eastAsia="Arial" w:hAnsi="Arial"/>
                <w:sz w:val="8"/>
                <w:szCs w:val="8"/>
                <w:color w:val="auto"/>
                <w:w w:val="88"/>
              </w:rPr>
              <w:t>$</w:t>
            </w: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1,935</w:t>
            </w:r>
          </w:p>
        </w:tc>
        <w:tc>
          <w:tcPr>
            <w:tcW w:w="540" w:type="dxa"/>
            <w:vAlign w:val="bottom"/>
            <w:gridSpan w:val="2"/>
          </w:tcPr>
          <w:p>
            <w:pPr>
              <w:jc w:val="right"/>
              <w:ind w:right="121"/>
              <w:spacing w:after="0"/>
              <w:rPr>
                <w:sz w:val="20"/>
                <w:szCs w:val="20"/>
                <w:color w:val="auto"/>
              </w:rPr>
            </w:pPr>
            <w:r>
              <w:rPr>
                <w:rFonts w:ascii="Arial" w:cs="Arial" w:eastAsia="Arial" w:hAnsi="Arial"/>
                <w:sz w:val="8"/>
                <w:szCs w:val="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1,935</w:t>
            </w:r>
          </w:p>
        </w:tc>
        <w:tc>
          <w:tcPr>
            <w:tcW w:w="340" w:type="dxa"/>
            <w:vAlign w:val="bottom"/>
          </w:tcPr>
          <w:p>
            <w:pPr>
              <w:spacing w:after="0"/>
              <w:rPr>
                <w:sz w:val="9"/>
                <w:szCs w:val="9"/>
                <w:color w:val="auto"/>
              </w:rPr>
            </w:pPr>
          </w:p>
        </w:tc>
        <w:tc>
          <w:tcPr>
            <w:tcW w:w="160" w:type="dxa"/>
            <w:vAlign w:val="bottom"/>
          </w:tcPr>
          <w:p>
            <w:pPr>
              <w:jc w:val="right"/>
              <w:ind w:right="61"/>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12,168</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2053</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650 Fifth Avenue (Floors b-3)</w:t>
            </w:r>
          </w:p>
        </w:tc>
        <w:tc>
          <w:tcPr>
            <w:tcW w:w="520" w:type="dxa"/>
            <w:vAlign w:val="bottom"/>
            <w:gridSpan w:val="2"/>
          </w:tcPr>
          <w:p>
            <w:pPr>
              <w:jc w:val="center"/>
              <w:ind w:left="61"/>
              <w:spacing w:after="0"/>
              <w:rPr>
                <w:sz w:val="20"/>
                <w:szCs w:val="20"/>
                <w:color w:val="auto"/>
              </w:rPr>
            </w:pPr>
            <w:r>
              <w:rPr>
                <w:rFonts w:ascii="Arial" w:cs="Arial" w:eastAsia="Arial" w:hAnsi="Arial"/>
                <w:sz w:val="8"/>
                <w:szCs w:val="8"/>
                <w:color w:val="auto"/>
                <w:w w:val="89"/>
              </w:rPr>
              <w:t>50.0</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1,178</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1,585</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1,605</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1,726</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32,075</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2062</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ind w:left="300"/>
              <w:spacing w:after="0"/>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8"/>
              </w:rPr>
              <w:t>$</w:t>
            </w:r>
          </w:p>
        </w:tc>
        <w:tc>
          <w:tcPr>
            <w:tcW w:w="4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3,454</w:t>
            </w:r>
          </w:p>
        </w:tc>
        <w:tc>
          <w:tcPr>
            <w:tcW w:w="34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4,907</w:t>
            </w:r>
          </w:p>
        </w:tc>
        <w:tc>
          <w:tcPr>
            <w:tcW w:w="34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w w:val="88"/>
              </w:rPr>
              <w:t>$</w:t>
            </w:r>
          </w:p>
        </w:tc>
        <w:tc>
          <w:tcPr>
            <w:tcW w:w="4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4,927</w:t>
            </w:r>
          </w:p>
        </w:tc>
        <w:tc>
          <w:tcPr>
            <w:tcW w:w="320" w:type="dxa"/>
            <w:vAlign w:val="bottom"/>
          </w:tcPr>
          <w:p>
            <w:pPr>
              <w:spacing w:after="0"/>
              <w:rPr>
                <w:sz w:val="9"/>
                <w:szCs w:val="9"/>
                <w:color w:val="auto"/>
              </w:rPr>
            </w:pPr>
          </w:p>
        </w:tc>
        <w:tc>
          <w:tcPr>
            <w:tcW w:w="2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8"/>
              </w:rPr>
              <w:t>$</w:t>
            </w:r>
          </w:p>
        </w:tc>
        <w:tc>
          <w:tcPr>
            <w:tcW w:w="4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8"/>
                <w:szCs w:val="8"/>
                <w:b w:val="1"/>
                <w:bCs w:val="1"/>
                <w:color w:val="auto"/>
              </w:rPr>
              <w:t>4,586</w:t>
            </w:r>
          </w:p>
        </w:tc>
        <w:tc>
          <w:tcPr>
            <w:tcW w:w="34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8"/>
                <w:szCs w:val="8"/>
                <w:b w:val="1"/>
                <w:bCs w:val="1"/>
                <w:color w:val="auto"/>
                <w:w w:val="88"/>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48,681</w:t>
            </w:r>
          </w:p>
        </w:tc>
        <w:tc>
          <w:tcPr>
            <w:tcW w:w="20" w:type="dxa"/>
            <w:vAlign w:val="bottom"/>
            <w:tcBorders>
              <w:top w:val="single" w:sz="8" w:color="auto"/>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gridSpan w:val="6"/>
            <w:vMerge w:val="restart"/>
          </w:tcPr>
          <w:p>
            <w:pPr>
              <w:spacing w:after="0"/>
              <w:rPr>
                <w:sz w:val="20"/>
                <w:szCs w:val="20"/>
                <w:color w:val="auto"/>
              </w:rPr>
            </w:pPr>
            <w:r>
              <w:rPr>
                <w:rFonts w:ascii="Arial" w:cs="Arial" w:eastAsia="Arial" w:hAnsi="Arial"/>
                <w:sz w:val="8"/>
                <w:szCs w:val="8"/>
                <w:b w:val="1"/>
                <w:bCs w:val="1"/>
                <w:color w:val="auto"/>
              </w:rPr>
              <w:t>Financing Leases</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6"/>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One Vanderbilt Avenue Garage</w:t>
            </w:r>
          </w:p>
        </w:tc>
        <w:tc>
          <w:tcPr>
            <w:tcW w:w="520" w:type="dxa"/>
            <w:vAlign w:val="bottom"/>
            <w:gridSpan w:val="2"/>
          </w:tcPr>
          <w:p>
            <w:pPr>
              <w:jc w:val="center"/>
              <w:ind w:left="61"/>
              <w:spacing w:after="0"/>
              <w:rPr>
                <w:sz w:val="20"/>
                <w:szCs w:val="20"/>
                <w:color w:val="auto"/>
              </w:rPr>
            </w:pPr>
            <w:r>
              <w:rPr>
                <w:rFonts w:ascii="Arial" w:cs="Arial" w:eastAsia="Arial" w:hAnsi="Arial"/>
                <w:sz w:val="8"/>
                <w:szCs w:val="8"/>
                <w:color w:val="auto"/>
                <w:w w:val="89"/>
              </w:rPr>
              <w:t>55.0</w:t>
            </w:r>
          </w:p>
        </w:tc>
        <w:tc>
          <w:tcPr>
            <w:tcW w:w="300" w:type="dxa"/>
            <w:vAlign w:val="bottom"/>
          </w:tcPr>
          <w:p>
            <w:pPr>
              <w:spacing w:after="0"/>
              <w:rPr>
                <w:sz w:val="8"/>
                <w:szCs w:val="8"/>
                <w:color w:val="auto"/>
              </w:rPr>
            </w:pPr>
          </w:p>
        </w:tc>
        <w:tc>
          <w:tcPr>
            <w:tcW w:w="220" w:type="dxa"/>
            <w:vAlign w:val="bottom"/>
          </w:tcPr>
          <w:p>
            <w:pPr>
              <w:jc w:val="right"/>
              <w:ind w:right="121"/>
              <w:spacing w:after="0"/>
              <w:rPr>
                <w:sz w:val="20"/>
                <w:szCs w:val="20"/>
                <w:color w:val="auto"/>
              </w:rPr>
            </w:pPr>
            <w:r>
              <w:rPr>
                <w:rFonts w:ascii="Arial" w:cs="Arial" w:eastAsia="Arial" w:hAnsi="Arial"/>
                <w:sz w:val="8"/>
                <w:szCs w:val="8"/>
                <w:color w:val="auto"/>
                <w:w w:val="88"/>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124</w:t>
            </w:r>
          </w:p>
        </w:tc>
        <w:tc>
          <w:tcPr>
            <w:tcW w:w="340" w:type="dxa"/>
            <w:vAlign w:val="bottom"/>
          </w:tcPr>
          <w:p>
            <w:pPr>
              <w:spacing w:after="0"/>
              <w:rPr>
                <w:sz w:val="8"/>
                <w:szCs w:val="8"/>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167</w:t>
            </w:r>
          </w:p>
        </w:tc>
        <w:tc>
          <w:tcPr>
            <w:tcW w:w="340" w:type="dxa"/>
            <w:vAlign w:val="bottom"/>
          </w:tcPr>
          <w:p>
            <w:pPr>
              <w:spacing w:after="0"/>
              <w:rPr>
                <w:sz w:val="8"/>
                <w:szCs w:val="8"/>
                <w:color w:val="auto"/>
              </w:rPr>
            </w:pPr>
          </w:p>
        </w:tc>
        <w:tc>
          <w:tcPr>
            <w:tcW w:w="200" w:type="dxa"/>
            <w:vAlign w:val="bottom"/>
          </w:tcPr>
          <w:p>
            <w:pPr>
              <w:jc w:val="right"/>
              <w:ind w:right="101"/>
              <w:spacing w:after="0"/>
              <w:rPr>
                <w:sz w:val="20"/>
                <w:szCs w:val="20"/>
                <w:color w:val="auto"/>
              </w:rPr>
            </w:pPr>
            <w:r>
              <w:rPr>
                <w:rFonts w:ascii="Arial" w:cs="Arial" w:eastAsia="Arial" w:hAnsi="Arial"/>
                <w:sz w:val="8"/>
                <w:szCs w:val="8"/>
                <w:color w:val="auto"/>
                <w:w w:val="88"/>
              </w:rPr>
              <w:t>$</w:t>
            </w: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168</w:t>
            </w:r>
          </w:p>
        </w:tc>
        <w:tc>
          <w:tcPr>
            <w:tcW w:w="540" w:type="dxa"/>
            <w:vAlign w:val="bottom"/>
            <w:gridSpan w:val="2"/>
          </w:tcPr>
          <w:p>
            <w:pPr>
              <w:jc w:val="right"/>
              <w:ind w:right="121"/>
              <w:spacing w:after="0"/>
              <w:rPr>
                <w:sz w:val="20"/>
                <w:szCs w:val="20"/>
                <w:color w:val="auto"/>
              </w:rPr>
            </w:pPr>
            <w:r>
              <w:rPr>
                <w:rFonts w:ascii="Arial" w:cs="Arial" w:eastAsia="Arial" w:hAnsi="Arial"/>
                <w:sz w:val="8"/>
                <w:szCs w:val="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170</w:t>
            </w:r>
          </w:p>
        </w:tc>
        <w:tc>
          <w:tcPr>
            <w:tcW w:w="340" w:type="dxa"/>
            <w:vAlign w:val="bottom"/>
          </w:tcPr>
          <w:p>
            <w:pPr>
              <w:spacing w:after="0"/>
              <w:rPr>
                <w:sz w:val="8"/>
                <w:szCs w:val="8"/>
                <w:color w:val="auto"/>
              </w:rPr>
            </w:pPr>
          </w:p>
        </w:tc>
        <w:tc>
          <w:tcPr>
            <w:tcW w:w="160" w:type="dxa"/>
            <w:vAlign w:val="bottom"/>
          </w:tcPr>
          <w:p>
            <w:pPr>
              <w:jc w:val="right"/>
              <w:ind w:right="61"/>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2,689</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2069</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885 Third Avenue</w:t>
            </w:r>
          </w:p>
        </w:tc>
        <w:tc>
          <w:tcPr>
            <w:tcW w:w="520" w:type="dxa"/>
            <w:vAlign w:val="bottom"/>
            <w:gridSpan w:val="2"/>
          </w:tcPr>
          <w:p>
            <w:pPr>
              <w:jc w:val="center"/>
              <w:ind w:left="61"/>
              <w:spacing w:after="0"/>
              <w:rPr>
                <w:sz w:val="20"/>
                <w:szCs w:val="20"/>
                <w:color w:val="auto"/>
              </w:rPr>
            </w:pPr>
            <w:r>
              <w:rPr>
                <w:rFonts w:ascii="Arial" w:cs="Arial" w:eastAsia="Arial" w:hAnsi="Arial"/>
                <w:sz w:val="8"/>
                <w:szCs w:val="8"/>
                <w:color w:val="auto"/>
                <w:w w:val="89"/>
              </w:rPr>
              <w:t>34.1</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613</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817</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817</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817</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15,910</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2119</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1560 Broadway Signage</w:t>
            </w:r>
          </w:p>
        </w:tc>
        <w:tc>
          <w:tcPr>
            <w:tcW w:w="520" w:type="dxa"/>
            <w:vAlign w:val="bottom"/>
            <w:gridSpan w:val="2"/>
          </w:tcPr>
          <w:p>
            <w:pPr>
              <w:jc w:val="center"/>
              <w:ind w:left="61"/>
              <w:spacing w:after="0"/>
              <w:rPr>
                <w:sz w:val="20"/>
                <w:szCs w:val="20"/>
                <w:color w:val="auto"/>
              </w:rPr>
            </w:pPr>
            <w:r>
              <w:rPr>
                <w:rFonts w:ascii="Arial" w:cs="Arial" w:eastAsia="Arial" w:hAnsi="Arial"/>
                <w:sz w:val="8"/>
                <w:szCs w:val="8"/>
                <w:color w:val="auto"/>
                <w:w w:val="89"/>
              </w:rPr>
              <w:t>50.0</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619</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825</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825</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825</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11,647</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2073</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Alternative strategy portfolio</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650 Fifth Avenue (Floors b-3)</w:t>
            </w:r>
          </w:p>
        </w:tc>
        <w:tc>
          <w:tcPr>
            <w:tcW w:w="520" w:type="dxa"/>
            <w:vAlign w:val="bottom"/>
            <w:gridSpan w:val="2"/>
          </w:tcPr>
          <w:p>
            <w:pPr>
              <w:jc w:val="center"/>
              <w:ind w:left="61"/>
              <w:spacing w:after="0"/>
              <w:rPr>
                <w:sz w:val="20"/>
                <w:szCs w:val="20"/>
                <w:color w:val="auto"/>
              </w:rPr>
            </w:pPr>
            <w:r>
              <w:rPr>
                <w:rFonts w:ascii="Arial" w:cs="Arial" w:eastAsia="Arial" w:hAnsi="Arial"/>
                <w:sz w:val="8"/>
                <w:szCs w:val="8"/>
                <w:color w:val="auto"/>
                <w:w w:val="89"/>
              </w:rPr>
              <w:t>50.0</w:t>
            </w:r>
          </w:p>
        </w:tc>
        <w:tc>
          <w:tcPr>
            <w:tcW w:w="300" w:type="dxa"/>
            <w:vAlign w:val="bottom"/>
          </w:tcPr>
          <w:p>
            <w:pPr>
              <w:spacing w:after="0"/>
              <w:rPr>
                <w:sz w:val="9"/>
                <w:szCs w:val="9"/>
                <w:color w:val="auto"/>
              </w:rPr>
            </w:pPr>
          </w:p>
        </w:tc>
        <w:tc>
          <w:tcPr>
            <w:tcW w:w="220" w:type="dxa"/>
            <w:vAlign w:val="bottom"/>
          </w:tcPr>
          <w:p>
            <w:pPr>
              <w:jc w:val="right"/>
              <w:ind w:right="121"/>
              <w:spacing w:after="0"/>
              <w:rPr>
                <w:sz w:val="20"/>
                <w:szCs w:val="20"/>
                <w:color w:val="auto"/>
              </w:rPr>
            </w:pPr>
            <w:r>
              <w:rPr>
                <w:rFonts w:ascii="Arial" w:cs="Arial" w:eastAsia="Arial" w:hAnsi="Arial"/>
                <w:sz w:val="8"/>
                <w:szCs w:val="8"/>
                <w:color w:val="auto"/>
                <w:w w:val="88"/>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5,523</w:t>
            </w:r>
          </w:p>
        </w:tc>
        <w:tc>
          <w:tcPr>
            <w:tcW w:w="340" w:type="dxa"/>
            <w:vAlign w:val="bottom"/>
          </w:tcPr>
          <w:p>
            <w:pPr>
              <w:spacing w:after="0"/>
              <w:rPr>
                <w:sz w:val="9"/>
                <w:szCs w:val="9"/>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7,364</w:t>
            </w:r>
          </w:p>
        </w:tc>
        <w:tc>
          <w:tcPr>
            <w:tcW w:w="340" w:type="dxa"/>
            <w:vAlign w:val="bottom"/>
          </w:tcPr>
          <w:p>
            <w:pPr>
              <w:spacing w:after="0"/>
              <w:rPr>
                <w:sz w:val="9"/>
                <w:szCs w:val="9"/>
                <w:color w:val="auto"/>
              </w:rPr>
            </w:pPr>
          </w:p>
        </w:tc>
        <w:tc>
          <w:tcPr>
            <w:tcW w:w="200" w:type="dxa"/>
            <w:vAlign w:val="bottom"/>
          </w:tcPr>
          <w:p>
            <w:pPr>
              <w:jc w:val="right"/>
              <w:ind w:right="101"/>
              <w:spacing w:after="0"/>
              <w:rPr>
                <w:sz w:val="20"/>
                <w:szCs w:val="20"/>
                <w:color w:val="auto"/>
              </w:rPr>
            </w:pPr>
            <w:r>
              <w:rPr>
                <w:rFonts w:ascii="Arial" w:cs="Arial" w:eastAsia="Arial" w:hAnsi="Arial"/>
                <w:sz w:val="8"/>
                <w:szCs w:val="8"/>
                <w:color w:val="auto"/>
                <w:w w:val="88"/>
              </w:rPr>
              <w:t>$</w:t>
            </w:r>
          </w:p>
        </w:tc>
        <w:tc>
          <w:tcPr>
            <w:tcW w:w="460" w:type="dxa"/>
            <w:vAlign w:val="bottom"/>
            <w:gridSpan w:val="3"/>
          </w:tcPr>
          <w:p>
            <w:pPr>
              <w:jc w:val="right"/>
              <w:ind w:right="60"/>
              <w:spacing w:after="0"/>
              <w:rPr>
                <w:sz w:val="20"/>
                <w:szCs w:val="20"/>
                <w:color w:val="auto"/>
              </w:rPr>
            </w:pPr>
            <w:r>
              <w:rPr>
                <w:rFonts w:ascii="Arial" w:cs="Arial" w:eastAsia="Arial" w:hAnsi="Arial"/>
                <w:sz w:val="8"/>
                <w:szCs w:val="8"/>
                <w:color w:val="auto"/>
              </w:rPr>
              <w:t>7,464</w:t>
            </w:r>
          </w:p>
        </w:tc>
        <w:tc>
          <w:tcPr>
            <w:tcW w:w="540" w:type="dxa"/>
            <w:vAlign w:val="bottom"/>
            <w:gridSpan w:val="2"/>
          </w:tcPr>
          <w:p>
            <w:pPr>
              <w:jc w:val="right"/>
              <w:ind w:right="121"/>
              <w:spacing w:after="0"/>
              <w:rPr>
                <w:sz w:val="20"/>
                <w:szCs w:val="20"/>
                <w:color w:val="auto"/>
              </w:rPr>
            </w:pPr>
            <w:r>
              <w:rPr>
                <w:rFonts w:ascii="Arial" w:cs="Arial" w:eastAsia="Arial" w:hAnsi="Arial"/>
                <w:sz w:val="8"/>
                <w:szCs w:val="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8,101</w:t>
            </w:r>
          </w:p>
        </w:tc>
        <w:tc>
          <w:tcPr>
            <w:tcW w:w="340" w:type="dxa"/>
            <w:vAlign w:val="bottom"/>
          </w:tcPr>
          <w:p>
            <w:pPr>
              <w:spacing w:after="0"/>
              <w:rPr>
                <w:sz w:val="9"/>
                <w:szCs w:val="9"/>
                <w:color w:val="auto"/>
              </w:rPr>
            </w:pPr>
          </w:p>
        </w:tc>
        <w:tc>
          <w:tcPr>
            <w:tcW w:w="160" w:type="dxa"/>
            <w:vAlign w:val="bottom"/>
          </w:tcPr>
          <w:p>
            <w:pPr>
              <w:jc w:val="right"/>
              <w:ind w:right="61"/>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105,661</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2062</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00" w:type="dxa"/>
            <w:vAlign w:val="bottom"/>
            <w:gridSpan w:val="6"/>
          </w:tcPr>
          <w:p>
            <w:pPr>
              <w:spacing w:after="0"/>
              <w:rPr>
                <w:sz w:val="20"/>
                <w:szCs w:val="20"/>
                <w:color w:val="auto"/>
              </w:rPr>
            </w:pPr>
            <w:r>
              <w:rPr>
                <w:rFonts w:ascii="Arial" w:cs="Arial" w:eastAsia="Arial" w:hAnsi="Arial"/>
                <w:sz w:val="8"/>
                <w:szCs w:val="8"/>
                <w:color w:val="auto"/>
              </w:rPr>
              <w:t>2 Herald Square</w:t>
            </w:r>
          </w:p>
        </w:tc>
        <w:tc>
          <w:tcPr>
            <w:tcW w:w="520" w:type="dxa"/>
            <w:vAlign w:val="bottom"/>
            <w:gridSpan w:val="2"/>
          </w:tcPr>
          <w:p>
            <w:pPr>
              <w:jc w:val="center"/>
              <w:ind w:left="61"/>
              <w:spacing w:after="0"/>
              <w:rPr>
                <w:sz w:val="20"/>
                <w:szCs w:val="20"/>
                <w:color w:val="auto"/>
              </w:rPr>
            </w:pPr>
            <w:r>
              <w:rPr>
                <w:rFonts w:ascii="Arial" w:cs="Arial" w:eastAsia="Arial" w:hAnsi="Arial"/>
                <w:sz w:val="8"/>
                <w:szCs w:val="8"/>
                <w:color w:val="auto"/>
                <w:w w:val="89"/>
              </w:rPr>
              <w:t>95.0</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11,295</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8"/>
                <w:szCs w:val="8"/>
                <w:color w:val="auto"/>
              </w:rPr>
              <w:t>3,775</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8"/>
                <w:szCs w:val="8"/>
                <w:color w:val="auto"/>
              </w:rPr>
              <w:t>396,941</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center"/>
              <w:ind w:left="201"/>
              <w:spacing w:after="0"/>
              <w:rPr>
                <w:sz w:val="20"/>
                <w:szCs w:val="20"/>
                <w:color w:val="auto"/>
              </w:rPr>
            </w:pPr>
            <w:r>
              <w:rPr>
                <w:rFonts w:ascii="Arial" w:cs="Arial" w:eastAsia="Arial" w:hAnsi="Arial"/>
                <w:sz w:val="8"/>
                <w:szCs w:val="8"/>
                <w:color w:val="auto"/>
              </w:rPr>
              <w:t>2077</w:t>
            </w:r>
          </w:p>
        </w:tc>
        <w:tc>
          <w:tcPr>
            <w:tcW w:w="140" w:type="dxa"/>
            <w:vAlign w:val="bottom"/>
          </w:tcPr>
          <w:p>
            <w:pPr>
              <w:spacing w:after="0"/>
              <w:rPr>
                <w:sz w:val="10"/>
                <w:szCs w:val="10"/>
                <w:color w:val="auto"/>
              </w:rPr>
            </w:pPr>
          </w:p>
        </w:tc>
        <w:tc>
          <w:tcPr>
            <w:tcW w:w="360" w:type="dxa"/>
            <w:vAlign w:val="bottom"/>
          </w:tcPr>
          <w:p>
            <w:pPr>
              <w:jc w:val="right"/>
              <w:ind w:right="181"/>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ind w:left="300"/>
              <w:spacing w:after="0"/>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8"/>
              </w:rPr>
              <w:t>$</w:t>
            </w:r>
          </w:p>
        </w:tc>
        <w:tc>
          <w:tcPr>
            <w:tcW w:w="4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18,174</w:t>
            </w:r>
          </w:p>
        </w:tc>
        <w:tc>
          <w:tcPr>
            <w:tcW w:w="34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12,948</w:t>
            </w:r>
          </w:p>
        </w:tc>
        <w:tc>
          <w:tcPr>
            <w:tcW w:w="34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w w:val="88"/>
              </w:rPr>
              <w:t>$</w:t>
            </w:r>
          </w:p>
        </w:tc>
        <w:tc>
          <w:tcPr>
            <w:tcW w:w="4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9,274</w:t>
            </w:r>
          </w:p>
        </w:tc>
        <w:tc>
          <w:tcPr>
            <w:tcW w:w="320" w:type="dxa"/>
            <w:vAlign w:val="bottom"/>
          </w:tcPr>
          <w:p>
            <w:pPr>
              <w:spacing w:after="0"/>
              <w:rPr>
                <w:sz w:val="9"/>
                <w:szCs w:val="9"/>
                <w:color w:val="auto"/>
              </w:rPr>
            </w:pPr>
          </w:p>
        </w:tc>
        <w:tc>
          <w:tcPr>
            <w:tcW w:w="2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8"/>
              </w:rPr>
              <w:t>$</w:t>
            </w:r>
          </w:p>
        </w:tc>
        <w:tc>
          <w:tcPr>
            <w:tcW w:w="4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8"/>
                <w:szCs w:val="8"/>
                <w:b w:val="1"/>
                <w:bCs w:val="1"/>
                <w:color w:val="auto"/>
              </w:rPr>
              <w:t>9,913</w:t>
            </w:r>
          </w:p>
        </w:tc>
        <w:tc>
          <w:tcPr>
            <w:tcW w:w="34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8"/>
                <w:szCs w:val="8"/>
                <w:b w:val="1"/>
                <w:bCs w:val="1"/>
                <w:color w:val="auto"/>
                <w:w w:val="88"/>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532,848</w:t>
            </w:r>
          </w:p>
        </w:tc>
        <w:tc>
          <w:tcPr>
            <w:tcW w:w="20" w:type="dxa"/>
            <w:vAlign w:val="bottom"/>
            <w:tcBorders>
              <w:top w:val="single" w:sz="8" w:color="auto"/>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120" w:hanging="107"/>
        <w:spacing w:after="0"/>
        <w:tabs>
          <w:tab w:leader="none" w:pos="120" w:val="left"/>
        </w:tabs>
        <w:numPr>
          <w:ilvl w:val="0"/>
          <w:numId w:val="17"/>
        </w:numPr>
        <w:rPr>
          <w:rFonts w:ascii="Arial" w:cs="Arial" w:eastAsia="Arial" w:hAnsi="Arial"/>
          <w:sz w:val="7"/>
          <w:szCs w:val="7"/>
          <w:color w:val="auto"/>
        </w:rPr>
      </w:pPr>
      <w:r>
        <w:rPr>
          <w:rFonts w:ascii="Arial" w:cs="Arial" w:eastAsia="Arial" w:hAnsi="Arial"/>
          <w:sz w:val="7"/>
          <w:szCs w:val="7"/>
          <w:color w:val="auto"/>
        </w:rPr>
        <w:t>Reflects SLG's share of remaining contractual base rent for each year presented. Leases may provide for additional rent payments based on exceeding specified thresholds.</w:t>
      </w:r>
    </w:p>
    <w:p>
      <w:pPr>
        <w:spacing w:after="0" w:line="37" w:lineRule="exact"/>
        <w:rPr>
          <w:rFonts w:ascii="Arial" w:cs="Arial" w:eastAsia="Arial" w:hAnsi="Arial"/>
          <w:sz w:val="7"/>
          <w:szCs w:val="7"/>
          <w:color w:val="auto"/>
        </w:rPr>
      </w:pPr>
    </w:p>
    <w:p>
      <w:pPr>
        <w:ind w:left="120" w:hanging="107"/>
        <w:spacing w:after="0"/>
        <w:tabs>
          <w:tab w:leader="none" w:pos="120" w:val="left"/>
        </w:tabs>
        <w:numPr>
          <w:ilvl w:val="0"/>
          <w:numId w:val="17"/>
        </w:numPr>
        <w:rPr>
          <w:rFonts w:ascii="Arial" w:cs="Arial" w:eastAsia="Arial" w:hAnsi="Arial"/>
          <w:sz w:val="7"/>
          <w:szCs w:val="7"/>
          <w:color w:val="auto"/>
        </w:rPr>
      </w:pPr>
      <w:r>
        <w:rPr>
          <w:rFonts w:ascii="Arial" w:cs="Arial" w:eastAsia="Arial" w:hAnsi="Arial"/>
          <w:sz w:val="7"/>
          <w:szCs w:val="7"/>
          <w:color w:val="auto"/>
        </w:rPr>
        <w:t>Per the balance sheet as of March 31, 2026.</w:t>
      </w:r>
    </w:p>
    <w:p>
      <w:pPr>
        <w:spacing w:after="0" w:line="37" w:lineRule="exact"/>
        <w:rPr>
          <w:rFonts w:ascii="Arial" w:cs="Arial" w:eastAsia="Arial" w:hAnsi="Arial"/>
          <w:sz w:val="7"/>
          <w:szCs w:val="7"/>
          <w:color w:val="auto"/>
        </w:rPr>
      </w:pPr>
    </w:p>
    <w:p>
      <w:pPr>
        <w:ind w:left="120" w:hanging="107"/>
        <w:spacing w:after="0"/>
        <w:tabs>
          <w:tab w:leader="none" w:pos="120" w:val="left"/>
        </w:tabs>
        <w:numPr>
          <w:ilvl w:val="0"/>
          <w:numId w:val="17"/>
        </w:numPr>
        <w:rPr>
          <w:rFonts w:ascii="Arial" w:cs="Arial" w:eastAsia="Arial" w:hAnsi="Arial"/>
          <w:sz w:val="7"/>
          <w:szCs w:val="7"/>
          <w:color w:val="auto"/>
        </w:rPr>
      </w:pPr>
      <w:r>
        <w:rPr>
          <w:rFonts w:ascii="Arial" w:cs="Arial" w:eastAsia="Arial" w:hAnsi="Arial"/>
          <w:sz w:val="7"/>
          <w:szCs w:val="7"/>
          <w:color w:val="auto"/>
        </w:rPr>
        <w:t>Reflects all available extension options.</w:t>
      </w:r>
    </w:p>
    <w:p>
      <w:pPr>
        <w:spacing w:after="0" w:line="37" w:lineRule="exact"/>
        <w:rPr>
          <w:rFonts w:ascii="Arial" w:cs="Arial" w:eastAsia="Arial" w:hAnsi="Arial"/>
          <w:sz w:val="7"/>
          <w:szCs w:val="7"/>
          <w:color w:val="auto"/>
        </w:rPr>
      </w:pPr>
    </w:p>
    <w:p>
      <w:pPr>
        <w:ind w:left="120" w:hanging="107"/>
        <w:spacing w:after="0"/>
        <w:tabs>
          <w:tab w:leader="none" w:pos="120" w:val="left"/>
        </w:tabs>
        <w:numPr>
          <w:ilvl w:val="0"/>
          <w:numId w:val="17"/>
        </w:numPr>
        <w:rPr>
          <w:rFonts w:ascii="Arial" w:cs="Arial" w:eastAsia="Arial" w:hAnsi="Arial"/>
          <w:sz w:val="7"/>
          <w:szCs w:val="7"/>
          <w:color w:val="auto"/>
        </w:rPr>
      </w:pPr>
      <w:r>
        <w:rPr>
          <w:rFonts w:ascii="Arial" w:cs="Arial" w:eastAsia="Arial" w:hAnsi="Arial"/>
          <w:sz w:val="7"/>
          <w:szCs w:val="7"/>
          <w:color w:val="auto"/>
        </w:rPr>
        <w:t>Reflects scheduled cash payments net of the Company's 55.0% ownership interest in One Vanderbilt.</w:t>
      </w:r>
    </w:p>
    <w:p>
      <w:pPr>
        <w:spacing w:after="0" w:line="37" w:lineRule="exact"/>
        <w:rPr>
          <w:rFonts w:ascii="Arial" w:cs="Arial" w:eastAsia="Arial" w:hAnsi="Arial"/>
          <w:sz w:val="7"/>
          <w:szCs w:val="7"/>
          <w:color w:val="auto"/>
        </w:rPr>
      </w:pPr>
    </w:p>
    <w:p>
      <w:pPr>
        <w:ind w:left="120" w:hanging="107"/>
        <w:spacing w:after="0"/>
        <w:tabs>
          <w:tab w:leader="none" w:pos="120" w:val="left"/>
        </w:tabs>
        <w:numPr>
          <w:ilvl w:val="0"/>
          <w:numId w:val="17"/>
        </w:numPr>
        <w:rPr>
          <w:rFonts w:ascii="Arial" w:cs="Arial" w:eastAsia="Arial" w:hAnsi="Arial"/>
          <w:sz w:val="7"/>
          <w:szCs w:val="7"/>
          <w:color w:val="auto"/>
        </w:rPr>
      </w:pPr>
      <w:r>
        <w:rPr>
          <w:rFonts w:ascii="Arial" w:cs="Arial" w:eastAsia="Arial" w:hAnsi="Arial"/>
          <w:sz w:val="7"/>
          <w:szCs w:val="7"/>
          <w:color w:val="auto"/>
        </w:rPr>
        <w:t>Reflects scheduled cash payments net of the Company's 50.0% ownership of the fee interest in the property.</w:t>
      </w:r>
    </w:p>
    <w:p>
      <w:pPr>
        <w:spacing w:after="0" w:line="37" w:lineRule="exact"/>
        <w:rPr>
          <w:rFonts w:ascii="Arial" w:cs="Arial" w:eastAsia="Arial" w:hAnsi="Arial"/>
          <w:sz w:val="7"/>
          <w:szCs w:val="7"/>
          <w:color w:val="auto"/>
        </w:rPr>
      </w:pPr>
    </w:p>
    <w:p>
      <w:pPr>
        <w:ind w:left="120" w:hanging="107"/>
        <w:spacing w:after="0"/>
        <w:tabs>
          <w:tab w:leader="none" w:pos="120" w:val="left"/>
        </w:tabs>
        <w:numPr>
          <w:ilvl w:val="0"/>
          <w:numId w:val="17"/>
        </w:numPr>
        <w:rPr>
          <w:rFonts w:ascii="Arial" w:cs="Arial" w:eastAsia="Arial" w:hAnsi="Arial"/>
          <w:sz w:val="7"/>
          <w:szCs w:val="7"/>
          <w:color w:val="auto"/>
        </w:rPr>
      </w:pPr>
      <w:r>
        <w:rPr>
          <w:rFonts w:ascii="Arial" w:cs="Arial" w:eastAsia="Arial" w:hAnsi="Arial"/>
          <w:sz w:val="7"/>
          <w:szCs w:val="7"/>
          <w:color w:val="auto"/>
        </w:rPr>
        <w:t>The Company has an option to purchase the ground lease for a fixed price on a specific date. Scheduled cash payments do not reflect the exercise of the purchase option.</w:t>
      </w:r>
    </w:p>
    <w:p>
      <w:pPr>
        <w:spacing w:after="0" w:line="47" w:lineRule="exact"/>
        <w:rPr>
          <w:rFonts w:ascii="Arial" w:cs="Arial" w:eastAsia="Arial" w:hAnsi="Arial"/>
          <w:sz w:val="7"/>
          <w:szCs w:val="7"/>
          <w:color w:val="auto"/>
        </w:rPr>
      </w:pPr>
    </w:p>
    <w:p>
      <w:pPr>
        <w:ind w:left="120" w:hanging="107"/>
        <w:spacing w:after="0"/>
        <w:tabs>
          <w:tab w:leader="none" w:pos="120" w:val="left"/>
        </w:tabs>
        <w:numPr>
          <w:ilvl w:val="0"/>
          <w:numId w:val="17"/>
        </w:numPr>
        <w:rPr>
          <w:rFonts w:ascii="Arial" w:cs="Arial" w:eastAsia="Arial" w:hAnsi="Arial"/>
          <w:sz w:val="7"/>
          <w:szCs w:val="7"/>
          <w:color w:val="auto"/>
        </w:rPr>
      </w:pPr>
      <w:r>
        <w:rPr>
          <w:rFonts w:ascii="Arial" w:cs="Arial" w:eastAsia="Arial" w:hAnsi="Arial"/>
          <w:sz w:val="7"/>
          <w:szCs w:val="7"/>
          <w:color w:val="auto"/>
        </w:rPr>
        <w:t>The Company has a JV interest in the sublandlord for the premises. Amounts reflect the sublandlord's lease obligation to the fee owner and have not been reduced by rents owed to the sublandlord under a sublease covering 100% of the premises.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27</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304" w:right="1419" w:bottom="1440" w:gutter="0" w:footer="0" w:header="0"/>
        </w:sectPr>
      </w:pPr>
    </w:p>
    <w:bookmarkStart w:id="42" w:name="page43"/>
    <w:bookmarkEnd w:id="42"/>
    <w:p>
      <w:pPr>
        <w:ind w:left="21"/>
        <w:spacing w:after="0"/>
        <w:rPr>
          <w:sz w:val="20"/>
          <w:szCs w:val="20"/>
          <w:color w:val="auto"/>
        </w:rPr>
      </w:pPr>
      <w:r>
        <w:rPr>
          <w:rFonts w:ascii="Arial" w:cs="Arial" w:eastAsia="Arial" w:hAnsi="Arial"/>
          <w:sz w:val="17"/>
          <w:szCs w:val="17"/>
          <w:b w:val="1"/>
          <w:bCs w:val="1"/>
          <w:color w:val="auto"/>
        </w:rPr>
        <w:t>DEBT AND PREFERRED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6694805" cy="356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94805" cy="356235"/>
                    </a:xfrm>
                    <a:prstGeom prst="rect">
                      <a:avLst/>
                    </a:prstGeom>
                    <a:noFill/>
                  </pic:spPr>
                </pic:pic>
              </a:graphicData>
            </a:graphic>
          </wp:anchor>
        </w:drawing>
      </w:r>
    </w:p>
    <w:p>
      <w:pPr>
        <w:spacing w:after="0" w:line="139"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Unaudited</w:t>
      </w:r>
    </w:p>
    <w:p>
      <w:pPr>
        <w:spacing w:after="0" w:line="4" w:lineRule="exact"/>
        <w:rPr>
          <w:sz w:val="20"/>
          <w:szCs w:val="20"/>
          <w:color w:val="auto"/>
        </w:rPr>
      </w:pPr>
    </w:p>
    <w:p>
      <w:pPr>
        <w:ind w:left="21"/>
        <w:spacing w:after="0"/>
        <w:rPr>
          <w:sz w:val="20"/>
          <w:szCs w:val="20"/>
          <w:color w:val="auto"/>
        </w:rPr>
      </w:pPr>
      <w:r>
        <w:rPr>
          <w:rFonts w:ascii="Arial" w:cs="Arial" w:eastAsia="Arial" w:hAnsi="Arial"/>
          <w:sz w:val="10"/>
          <w:szCs w:val="10"/>
          <w:color w:val="auto"/>
        </w:rPr>
        <w:t>(Dollars in Thousands, Except Per Square Foot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69480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948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21" w:type="dxa"/>
        <w:tblCellMar>
          <w:top w:w="0" w:type="dxa"/>
          <w:left w:w="0" w:type="dxa"/>
          <w:bottom w:w="0" w:type="dxa"/>
          <w:right w:w="0" w:type="dxa"/>
        </w:tblCellMar>
      </w:tblPr>
      <w:tr>
        <w:trPr>
          <w:trHeight w:val="144"/>
        </w:trPr>
        <w:tc>
          <w:tcPr>
            <w:tcW w:w="3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Weighted Average:</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jc w:val="right"/>
              <w:ind w:right="28"/>
              <w:spacing w:after="0"/>
              <w:rPr>
                <w:sz w:val="20"/>
                <w:szCs w:val="20"/>
                <w:color w:val="auto"/>
              </w:rPr>
            </w:pPr>
            <w:r>
              <w:rPr>
                <w:rFonts w:ascii="Arial" w:cs="Arial" w:eastAsia="Arial" w:hAnsi="Arial"/>
                <w:sz w:val="10"/>
                <w:szCs w:val="10"/>
                <w:b w:val="1"/>
                <w:bCs w:val="1"/>
                <w:color w:val="auto"/>
                <w:w w:val="96"/>
              </w:rPr>
              <w:t>Total Book</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center"/>
              <w:ind w:right="48"/>
              <w:spacing w:after="0"/>
              <w:rPr>
                <w:sz w:val="20"/>
                <w:szCs w:val="20"/>
                <w:color w:val="auto"/>
              </w:rPr>
            </w:pPr>
            <w:r>
              <w:rPr>
                <w:rFonts w:ascii="Arial" w:cs="Arial" w:eastAsia="Arial" w:hAnsi="Arial"/>
                <w:sz w:val="10"/>
                <w:szCs w:val="10"/>
                <w:b w:val="1"/>
                <w:bCs w:val="1"/>
                <w:color w:val="auto"/>
              </w:rPr>
              <w:t>Senior</w:t>
            </w:r>
          </w:p>
        </w:tc>
        <w:tc>
          <w:tcPr>
            <w:tcW w:w="220" w:type="dxa"/>
            <w:vAlign w:val="bottom"/>
          </w:tcPr>
          <w:p>
            <w:pPr>
              <w:spacing w:after="0"/>
              <w:rPr>
                <w:sz w:val="8"/>
                <w:szCs w:val="8"/>
                <w:color w:val="auto"/>
              </w:rPr>
            </w:pPr>
          </w:p>
        </w:tc>
        <w:tc>
          <w:tcPr>
            <w:tcW w:w="720" w:type="dxa"/>
            <w:vAlign w:val="bottom"/>
            <w:gridSpan w:val="2"/>
            <w:vMerge w:val="restart"/>
          </w:tcPr>
          <w:p>
            <w:pPr>
              <w:jc w:val="right"/>
              <w:ind w:right="91"/>
              <w:spacing w:after="0"/>
              <w:rPr>
                <w:sz w:val="20"/>
                <w:szCs w:val="20"/>
                <w:color w:val="auto"/>
              </w:rPr>
            </w:pPr>
            <w:r>
              <w:rPr>
                <w:rFonts w:ascii="Arial" w:cs="Arial" w:eastAsia="Arial" w:hAnsi="Arial"/>
                <w:sz w:val="10"/>
                <w:szCs w:val="10"/>
                <w:b w:val="1"/>
                <w:bCs w:val="1"/>
                <w:color w:val="auto"/>
              </w:rPr>
              <w:t>Exposure</w:t>
            </w:r>
          </w:p>
        </w:tc>
        <w:tc>
          <w:tcPr>
            <w:tcW w:w="8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Book Value</w:t>
            </w:r>
          </w:p>
        </w:tc>
        <w:tc>
          <w:tcPr>
            <w:tcW w:w="8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Yield During</w:t>
            </w:r>
          </w:p>
        </w:tc>
        <w:tc>
          <w:tcPr>
            <w:tcW w:w="7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Yield At End</w:t>
            </w:r>
          </w:p>
        </w:tc>
        <w:tc>
          <w:tcPr>
            <w:tcW w:w="0" w:type="dxa"/>
            <w:vAlign w:val="bottom"/>
          </w:tcPr>
          <w:p>
            <w:pPr>
              <w:spacing w:after="0"/>
              <w:rPr>
                <w:sz w:val="1"/>
                <w:szCs w:val="1"/>
                <w:color w:val="auto"/>
              </w:rPr>
            </w:pPr>
          </w:p>
        </w:tc>
      </w:tr>
      <w:tr>
        <w:trPr>
          <w:trHeight w:val="105"/>
        </w:trPr>
        <w:tc>
          <w:tcPr>
            <w:tcW w:w="3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Floating</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restart"/>
          </w:tcPr>
          <w:p>
            <w:pPr>
              <w:jc w:val="right"/>
              <w:ind w:right="148"/>
              <w:spacing w:after="0"/>
              <w:rPr>
                <w:sz w:val="20"/>
                <w:szCs w:val="20"/>
                <w:color w:val="auto"/>
              </w:rPr>
            </w:pPr>
            <w:r>
              <w:rPr>
                <w:rFonts w:ascii="Arial" w:cs="Arial" w:eastAsia="Arial" w:hAnsi="Arial"/>
                <w:sz w:val="10"/>
                <w:szCs w:val="10"/>
                <w:b w:val="1"/>
                <w:bCs w:val="1"/>
                <w:color w:val="auto"/>
              </w:rPr>
              <w:t>Fixed</w:t>
            </w:r>
          </w:p>
        </w:tc>
        <w:tc>
          <w:tcPr>
            <w:tcW w:w="14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ind w:right="88"/>
              <w:spacing w:after="0" w:line="105" w:lineRule="exact"/>
              <w:rPr>
                <w:sz w:val="20"/>
                <w:szCs w:val="20"/>
                <w:color w:val="auto"/>
              </w:rPr>
            </w:pPr>
            <w:r>
              <w:rPr>
                <w:rFonts w:ascii="Arial" w:cs="Arial" w:eastAsia="Arial" w:hAnsi="Arial"/>
                <w:sz w:val="10"/>
                <w:szCs w:val="10"/>
                <w:b w:val="1"/>
                <w:bCs w:val="1"/>
                <w:color w:val="auto"/>
              </w:rPr>
              <w:t>During</w:t>
            </w: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88"/>
              <w:spacing w:after="0" w:line="138" w:lineRule="exact"/>
              <w:rPr>
                <w:sz w:val="20"/>
                <w:szCs w:val="20"/>
                <w:color w:val="auto"/>
              </w:rPr>
            </w:pPr>
            <w:r>
              <w:rPr>
                <w:rFonts w:ascii="Arial" w:cs="Arial" w:eastAsia="Arial" w:hAnsi="Arial"/>
                <w:sz w:val="10"/>
                <w:szCs w:val="10"/>
                <w:b w:val="1"/>
                <w:bCs w:val="1"/>
                <w:color w:val="auto"/>
              </w:rPr>
              <w:t xml:space="preserve">Value </w:t>
            </w:r>
            <w:r>
              <w:rPr>
                <w:rFonts w:ascii="Arial" w:cs="Arial" w:eastAsia="Arial" w:hAnsi="Arial"/>
                <w:sz w:val="13"/>
                <w:szCs w:val="13"/>
                <w:b w:val="1"/>
                <w:bCs w:val="1"/>
                <w:color w:val="auto"/>
                <w:vertAlign w:val="superscript"/>
              </w:rPr>
              <w:t>(1)</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rPr>
              <w:t>Financing</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1"/>
              <w:spacing w:after="0" w:line="138" w:lineRule="exact"/>
              <w:rPr>
                <w:sz w:val="20"/>
                <w:szCs w:val="20"/>
                <w:color w:val="auto"/>
              </w:rPr>
            </w:pPr>
            <w:r>
              <w:rPr>
                <w:rFonts w:ascii="Arial" w:cs="Arial" w:eastAsia="Arial" w:hAnsi="Arial"/>
                <w:sz w:val="15"/>
                <w:szCs w:val="15"/>
                <w:b w:val="1"/>
                <w:bCs w:val="1"/>
                <w:color w:val="auto"/>
                <w:vertAlign w:val="subscript"/>
              </w:rPr>
              <w:t>PSF</w:t>
            </w:r>
            <w:r>
              <w:rPr>
                <w:rFonts w:ascii="Arial" w:cs="Arial" w:eastAsia="Arial" w:hAnsi="Arial"/>
                <w:sz w:val="6"/>
                <w:szCs w:val="6"/>
                <w:b w:val="1"/>
                <w:bCs w:val="1"/>
                <w:color w:val="auto"/>
              </w:rPr>
              <w:t xml:space="preserve"> (2)</w:t>
            </w: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88"/>
              <w:spacing w:after="0"/>
              <w:rPr>
                <w:sz w:val="20"/>
                <w:szCs w:val="20"/>
                <w:color w:val="auto"/>
              </w:rPr>
            </w:pPr>
            <w:r>
              <w:rPr>
                <w:rFonts w:ascii="Arial" w:cs="Arial" w:eastAsia="Arial" w:hAnsi="Arial"/>
                <w:sz w:val="10"/>
                <w:szCs w:val="10"/>
                <w:b w:val="1"/>
                <w:bCs w:val="1"/>
                <w:color w:val="auto"/>
              </w:rPr>
              <w:t>Quarter</w:t>
            </w:r>
          </w:p>
        </w:tc>
        <w:tc>
          <w:tcPr>
            <w:tcW w:w="82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0"/>
                <w:szCs w:val="10"/>
                <w:b w:val="1"/>
                <w:bCs w:val="1"/>
                <w:color w:val="auto"/>
                <w:w w:val="96"/>
              </w:rPr>
              <w:t xml:space="preserve">Quarter </w:t>
            </w:r>
            <w:r>
              <w:rPr>
                <w:rFonts w:ascii="Arial" w:cs="Arial" w:eastAsia="Arial" w:hAnsi="Arial"/>
                <w:sz w:val="13"/>
                <w:szCs w:val="13"/>
                <w:b w:val="1"/>
                <w:bCs w:val="1"/>
                <w:color w:val="auto"/>
                <w:w w:val="96"/>
                <w:vertAlign w:val="superscript"/>
              </w:rPr>
              <w:t>(3)</w:t>
            </w:r>
          </w:p>
        </w:tc>
        <w:tc>
          <w:tcPr>
            <w:tcW w:w="740" w:type="dxa"/>
            <w:vAlign w:val="bottom"/>
            <w:tcBorders>
              <w:bottom w:val="single" w:sz="8" w:color="auto"/>
            </w:tcBorders>
          </w:tcPr>
          <w:p>
            <w:pPr>
              <w:jc w:val="center"/>
              <w:ind w:left="8"/>
              <w:spacing w:after="0" w:line="138" w:lineRule="exact"/>
              <w:rPr>
                <w:sz w:val="20"/>
                <w:szCs w:val="20"/>
                <w:color w:val="auto"/>
              </w:rPr>
            </w:pPr>
            <w:r>
              <w:rPr>
                <w:rFonts w:ascii="Arial" w:cs="Arial" w:eastAsia="Arial" w:hAnsi="Arial"/>
                <w:sz w:val="10"/>
                <w:szCs w:val="10"/>
                <w:b w:val="1"/>
                <w:bCs w:val="1"/>
                <w:color w:val="auto"/>
              </w:rPr>
              <w:t xml:space="preserve">Of Quarter </w:t>
            </w:r>
            <w:r>
              <w:rPr>
                <w:rFonts w:ascii="Arial" w:cs="Arial" w:eastAsia="Arial" w:hAnsi="Arial"/>
                <w:sz w:val="13"/>
                <w:szCs w:val="13"/>
                <w:b w:val="1"/>
                <w:bCs w:val="1"/>
                <w:color w:val="auto"/>
                <w:vertAlign w:val="superscript"/>
              </w:rPr>
              <w:t>(4)</w:t>
            </w:r>
          </w:p>
        </w:tc>
        <w:tc>
          <w:tcPr>
            <w:tcW w:w="0" w:type="dxa"/>
            <w:vAlign w:val="bottom"/>
          </w:tcPr>
          <w:p>
            <w:pPr>
              <w:spacing w:after="0"/>
              <w:rPr>
                <w:sz w:val="1"/>
                <w:szCs w:val="1"/>
                <w:color w:val="auto"/>
              </w:rPr>
            </w:pPr>
          </w:p>
        </w:tc>
      </w:tr>
      <w:tr>
        <w:trPr>
          <w:trHeight w:val="284"/>
        </w:trPr>
        <w:tc>
          <w:tcPr>
            <w:tcW w:w="3080" w:type="dxa"/>
            <w:vAlign w:val="bottom"/>
          </w:tcPr>
          <w:p>
            <w:pPr>
              <w:jc w:val="right"/>
              <w:ind w:right="128"/>
              <w:spacing w:after="0"/>
              <w:rPr>
                <w:sz w:val="20"/>
                <w:szCs w:val="20"/>
                <w:color w:val="auto"/>
              </w:rPr>
            </w:pPr>
            <w:r>
              <w:rPr>
                <w:rFonts w:ascii="Arial" w:cs="Arial" w:eastAsia="Arial" w:hAnsi="Arial"/>
                <w:sz w:val="10"/>
                <w:szCs w:val="10"/>
                <w:b w:val="1"/>
                <w:bCs w:val="1"/>
                <w:color w:val="auto"/>
              </w:rPr>
              <w:t>12/31/2025</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127,872</w:t>
            </w:r>
          </w:p>
        </w:tc>
        <w:tc>
          <w:tcPr>
            <w:tcW w:w="300" w:type="dxa"/>
            <w:vAlign w:val="bottom"/>
            <w:gridSpan w:val="3"/>
          </w:tcPr>
          <w:p>
            <w:pPr>
              <w:jc w:val="right"/>
              <w:ind w:right="68"/>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40,486</w:t>
            </w: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168,358</w:t>
            </w:r>
          </w:p>
        </w:tc>
        <w:tc>
          <w:tcPr>
            <w:tcW w:w="30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713,528</w:t>
            </w:r>
          </w:p>
        </w:tc>
        <w:tc>
          <w:tcPr>
            <w:tcW w:w="36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628</w:t>
            </w:r>
          </w:p>
        </w:tc>
        <w:tc>
          <w:tcPr>
            <w:tcW w:w="2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28"/>
              <w:spacing w:after="0"/>
              <w:rPr>
                <w:sz w:val="20"/>
                <w:szCs w:val="20"/>
                <w:color w:val="auto"/>
              </w:rPr>
            </w:pPr>
            <w:r>
              <w:rPr>
                <w:rFonts w:ascii="Arial" w:cs="Arial" w:eastAsia="Arial" w:hAnsi="Arial"/>
                <w:sz w:val="10"/>
                <w:szCs w:val="10"/>
                <w:color w:val="auto"/>
              </w:rPr>
              <w:t>190,052</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4.98%</w:t>
            </w:r>
          </w:p>
        </w:tc>
        <w:tc>
          <w:tcPr>
            <w:tcW w:w="740" w:type="dxa"/>
            <w:vAlign w:val="bottom"/>
          </w:tcPr>
          <w:p>
            <w:pPr>
              <w:jc w:val="center"/>
              <w:spacing w:after="0"/>
              <w:rPr>
                <w:sz w:val="20"/>
                <w:szCs w:val="20"/>
                <w:color w:val="auto"/>
              </w:rPr>
            </w:pPr>
            <w:r>
              <w:rPr>
                <w:rFonts w:ascii="Arial" w:cs="Arial" w:eastAsia="Arial" w:hAnsi="Arial"/>
                <w:sz w:val="10"/>
                <w:szCs w:val="10"/>
                <w:color w:val="auto"/>
              </w:rPr>
              <w:t>5.02%</w:t>
            </w:r>
          </w:p>
        </w:tc>
        <w:tc>
          <w:tcPr>
            <w:tcW w:w="0" w:type="dxa"/>
            <w:vAlign w:val="bottom"/>
          </w:tcPr>
          <w:p>
            <w:pPr>
              <w:spacing w:after="0"/>
              <w:rPr>
                <w:sz w:val="1"/>
                <w:szCs w:val="1"/>
                <w:color w:val="auto"/>
              </w:rPr>
            </w:pPr>
          </w:p>
        </w:tc>
      </w:tr>
      <w:tr>
        <w:trPr>
          <w:trHeight w:val="278"/>
        </w:trPr>
        <w:tc>
          <w:tcPr>
            <w:tcW w:w="3080" w:type="dxa"/>
            <w:vAlign w:val="bottom"/>
          </w:tcPr>
          <w:p>
            <w:pPr>
              <w:jc w:val="right"/>
              <w:ind w:right="8"/>
              <w:spacing w:after="0"/>
              <w:rPr>
                <w:sz w:val="20"/>
                <w:szCs w:val="20"/>
                <w:color w:val="auto"/>
              </w:rPr>
            </w:pPr>
            <w:r>
              <w:rPr>
                <w:rFonts w:ascii="Arial" w:cs="Arial" w:eastAsia="Arial" w:hAnsi="Arial"/>
                <w:sz w:val="10"/>
                <w:szCs w:val="10"/>
                <w:color w:val="auto"/>
              </w:rPr>
              <w:t xml:space="preserve">Debt investment originations/fundings/accretion </w:t>
            </w:r>
            <w:r>
              <w:rPr>
                <w:rFonts w:ascii="Arial" w:cs="Arial" w:eastAsia="Arial" w:hAnsi="Arial"/>
                <w:sz w:val="13"/>
                <w:szCs w:val="13"/>
                <w:color w:val="auto"/>
                <w:vertAlign w:val="superscript"/>
              </w:rPr>
              <w:t>(5)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80" w:type="dxa"/>
            <w:vAlign w:val="bottom"/>
          </w:tcPr>
          <w:p>
            <w:pPr>
              <w:jc w:val="right"/>
              <w:ind w:right="8"/>
              <w:spacing w:after="0" w:line="148" w:lineRule="exact"/>
              <w:rPr>
                <w:sz w:val="20"/>
                <w:szCs w:val="20"/>
                <w:color w:val="auto"/>
              </w:rPr>
            </w:pPr>
            <w:r>
              <w:rPr>
                <w:rFonts w:ascii="Arial" w:cs="Arial" w:eastAsia="Arial" w:hAnsi="Arial"/>
                <w:sz w:val="10"/>
                <w:szCs w:val="10"/>
                <w:color w:val="auto"/>
              </w:rPr>
              <w:t xml:space="preserve">Preferred Equity investment originations/accretion </w:t>
            </w:r>
            <w:r>
              <w:rPr>
                <w:rFonts w:ascii="Arial" w:cs="Arial" w:eastAsia="Arial" w:hAnsi="Arial"/>
                <w:sz w:val="13"/>
                <w:szCs w:val="13"/>
                <w:color w:val="auto"/>
                <w:vertAlign w:val="superscript"/>
              </w:rPr>
              <w:t>(5)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080" w:type="dxa"/>
            <w:vAlign w:val="bottom"/>
          </w:tcPr>
          <w:p>
            <w:pPr>
              <w:jc w:val="right"/>
              <w:ind w:right="8"/>
              <w:spacing w:after="0"/>
              <w:rPr>
                <w:sz w:val="20"/>
                <w:szCs w:val="20"/>
                <w:color w:val="auto"/>
              </w:rPr>
            </w:pPr>
            <w:r>
              <w:rPr>
                <w:rFonts w:ascii="Arial" w:cs="Arial" w:eastAsia="Arial" w:hAnsi="Arial"/>
                <w:sz w:val="10"/>
                <w:szCs w:val="10"/>
                <w:color w:val="auto"/>
              </w:rPr>
              <w:t xml:space="preserve">Joint venture investment originations/accretion/amortization </w:t>
            </w:r>
            <w:r>
              <w:rPr>
                <w:rFonts w:ascii="Arial" w:cs="Arial" w:eastAsia="Arial" w:hAnsi="Arial"/>
                <w:sz w:val="13"/>
                <w:szCs w:val="13"/>
                <w:color w:val="auto"/>
                <w:vertAlign w:val="superscript"/>
              </w:rPr>
              <w:t>(5)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080" w:type="dxa"/>
            <w:vAlign w:val="bottom"/>
          </w:tcPr>
          <w:p>
            <w:pPr>
              <w:jc w:val="right"/>
              <w:ind w:right="128"/>
              <w:spacing w:after="0"/>
              <w:rPr>
                <w:sz w:val="20"/>
                <w:szCs w:val="20"/>
                <w:color w:val="auto"/>
              </w:rPr>
            </w:pPr>
            <w:r>
              <w:rPr>
                <w:rFonts w:ascii="Arial" w:cs="Arial" w:eastAsia="Arial" w:hAnsi="Arial"/>
                <w:sz w:val="10"/>
                <w:szCs w:val="10"/>
                <w:color w:val="auto"/>
              </w:rPr>
              <w:t>Repayment/Sales/Syndications/Equity Ownership/Amortization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(50,283)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(50,283)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80" w:type="dxa"/>
            <w:vAlign w:val="bottom"/>
          </w:tcPr>
          <w:p>
            <w:pPr>
              <w:jc w:val="right"/>
              <w:ind w:right="128"/>
              <w:spacing w:after="0"/>
              <w:rPr>
                <w:sz w:val="20"/>
                <w:szCs w:val="20"/>
                <w:color w:val="auto"/>
              </w:rPr>
            </w:pPr>
            <w:r>
              <w:rPr>
                <w:rFonts w:ascii="Arial" w:cs="Arial" w:eastAsia="Arial" w:hAnsi="Arial"/>
                <w:sz w:val="10"/>
                <w:szCs w:val="10"/>
                <w:color w:val="auto"/>
              </w:rPr>
              <w:t>Reserves/Realized Losses</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080" w:type="dxa"/>
            <w:vAlign w:val="bottom"/>
          </w:tcPr>
          <w:p>
            <w:pPr>
              <w:jc w:val="right"/>
              <w:ind w:right="128"/>
              <w:spacing w:after="0"/>
              <w:rPr>
                <w:sz w:val="20"/>
                <w:szCs w:val="20"/>
                <w:color w:val="auto"/>
              </w:rPr>
            </w:pPr>
            <w:r>
              <w:rPr>
                <w:rFonts w:ascii="Arial" w:cs="Arial" w:eastAsia="Arial" w:hAnsi="Arial"/>
                <w:sz w:val="10"/>
                <w:szCs w:val="10"/>
                <w:b w:val="1"/>
                <w:bCs w:val="1"/>
                <w:color w:val="auto"/>
              </w:rPr>
              <w:t>3/31/2026</w:t>
            </w: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77,597</w:t>
            </w: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40,486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118,083</w:t>
            </w:r>
          </w:p>
        </w:tc>
        <w:tc>
          <w:tcPr>
            <w:tcW w:w="30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430,528</w:t>
            </w:r>
          </w:p>
        </w:tc>
        <w:tc>
          <w:tcPr>
            <w:tcW w:w="36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31"/>
              <w:spacing w:after="0"/>
              <w:rPr>
                <w:sz w:val="20"/>
                <w:szCs w:val="20"/>
                <w:color w:val="auto"/>
              </w:rPr>
            </w:pPr>
            <w:r>
              <w:rPr>
                <w:rFonts w:ascii="Arial" w:cs="Arial" w:eastAsia="Arial" w:hAnsi="Arial"/>
                <w:sz w:val="10"/>
                <w:szCs w:val="10"/>
                <w:color w:val="auto"/>
              </w:rPr>
              <w:t>715</w:t>
            </w:r>
          </w:p>
        </w:tc>
        <w:tc>
          <w:tcPr>
            <w:tcW w:w="2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28"/>
              <w:spacing w:after="0"/>
              <w:rPr>
                <w:sz w:val="20"/>
                <w:szCs w:val="20"/>
                <w:color w:val="auto"/>
              </w:rPr>
            </w:pPr>
            <w:r>
              <w:rPr>
                <w:rFonts w:ascii="Arial" w:cs="Arial" w:eastAsia="Arial" w:hAnsi="Arial"/>
                <w:sz w:val="10"/>
                <w:szCs w:val="10"/>
                <w:color w:val="auto"/>
              </w:rPr>
              <w:t>118,381</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6.88%</w:t>
            </w:r>
          </w:p>
        </w:tc>
        <w:tc>
          <w:tcPr>
            <w:tcW w:w="740" w:type="dxa"/>
            <w:vAlign w:val="bottom"/>
          </w:tcPr>
          <w:p>
            <w:pPr>
              <w:jc w:val="center"/>
              <w:spacing w:after="0"/>
              <w:rPr>
                <w:sz w:val="20"/>
                <w:szCs w:val="20"/>
                <w:color w:val="auto"/>
              </w:rPr>
            </w:pPr>
            <w:r>
              <w:rPr>
                <w:rFonts w:ascii="Arial" w:cs="Arial" w:eastAsia="Arial" w:hAnsi="Arial"/>
                <w:sz w:val="10"/>
                <w:szCs w:val="10"/>
                <w:color w:val="auto"/>
              </w:rPr>
              <w:t>7.04%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11"/>
          </w:tcPr>
          <w:p>
            <w:pPr>
              <w:jc w:val="right"/>
              <w:ind w:right="28"/>
              <w:spacing w:after="0"/>
              <w:rPr>
                <w:sz w:val="20"/>
                <w:szCs w:val="20"/>
                <w:color w:val="auto"/>
              </w:rPr>
            </w:pPr>
            <w:r>
              <w:rPr>
                <w:rFonts w:ascii="Arial" w:cs="Arial" w:eastAsia="Arial" w:hAnsi="Arial"/>
                <w:sz w:val="10"/>
                <w:szCs w:val="10"/>
                <w:b w:val="1"/>
                <w:bCs w:val="1"/>
                <w:color w:val="auto"/>
              </w:rPr>
              <w:t>Debt and Preferred Equity Maturity Profile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2026</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2027</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2028</w:t>
            </w: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2029</w:t>
            </w:r>
          </w:p>
        </w:tc>
        <w:tc>
          <w:tcPr>
            <w:tcW w:w="1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2030 &amp; Thereafter</w:t>
            </w: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220" w:type="dxa"/>
            <w:vAlign w:val="bottom"/>
            <w:gridSpan w:val="3"/>
          </w:tcPr>
          <w:p>
            <w:pPr>
              <w:jc w:val="right"/>
              <w:ind w:right="28"/>
              <w:spacing w:after="0"/>
              <w:rPr>
                <w:sz w:val="20"/>
                <w:szCs w:val="20"/>
                <w:color w:val="auto"/>
              </w:rPr>
            </w:pPr>
            <w:r>
              <w:rPr>
                <w:rFonts w:ascii="Arial" w:cs="Arial" w:eastAsia="Arial" w:hAnsi="Arial"/>
                <w:sz w:val="10"/>
                <w:szCs w:val="10"/>
                <w:color w:val="auto"/>
              </w:rPr>
              <w:t>Floating Rate $</w:t>
            </w:r>
          </w:p>
        </w:tc>
        <w:tc>
          <w:tcPr>
            <w:tcW w:w="520" w:type="dxa"/>
            <w:vAlign w:val="bottom"/>
          </w:tcPr>
          <w:p>
            <w:pPr>
              <w:spacing w:after="0"/>
              <w:rPr>
                <w:sz w:val="11"/>
                <w:szCs w:val="11"/>
                <w:color w:val="auto"/>
              </w:rPr>
            </w:pPr>
          </w:p>
        </w:tc>
        <w:tc>
          <w:tcPr>
            <w:tcW w:w="300" w:type="dxa"/>
            <w:vAlign w:val="bottom"/>
            <w:gridSpan w:val="3"/>
          </w:tcPr>
          <w:p>
            <w:pPr>
              <w:jc w:val="right"/>
              <w:spacing w:after="0"/>
              <w:rPr>
                <w:sz w:val="20"/>
                <w:szCs w:val="20"/>
                <w:color w:val="auto"/>
              </w:rPr>
            </w:pPr>
            <w:r>
              <w:rPr>
                <w:rFonts w:ascii="Arial" w:cs="Arial" w:eastAsia="Arial" w:hAnsi="Arial"/>
                <w:sz w:val="10"/>
                <w:szCs w:val="10"/>
                <w:color w:val="auto"/>
                <w:w w:val="95"/>
              </w:rPr>
              <w:t>9,268</w:t>
            </w:r>
          </w:p>
        </w:tc>
        <w:tc>
          <w:tcPr>
            <w:tcW w:w="500" w:type="dxa"/>
            <w:vAlign w:val="bottom"/>
          </w:tcPr>
          <w:p>
            <w:pPr>
              <w:jc w:val="right"/>
              <w:ind w:right="348"/>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360" w:type="dxa"/>
            <w:vAlign w:val="bottom"/>
            <w:gridSpan w:val="3"/>
          </w:tcPr>
          <w:p>
            <w:pPr>
              <w:jc w:val="right"/>
              <w:spacing w:after="0"/>
              <w:rPr>
                <w:sz w:val="20"/>
                <w:szCs w:val="20"/>
                <w:color w:val="auto"/>
              </w:rPr>
            </w:pPr>
            <w:r>
              <w:rPr>
                <w:rFonts w:ascii="Arial" w:cs="Arial" w:eastAsia="Arial" w:hAnsi="Arial"/>
                <w:sz w:val="10"/>
                <w:szCs w:val="10"/>
                <w:color w:val="auto"/>
              </w:rPr>
              <w:t>68,329</w:t>
            </w:r>
          </w:p>
        </w:tc>
        <w:tc>
          <w:tcPr>
            <w:tcW w:w="380" w:type="dxa"/>
            <w:vAlign w:val="bottom"/>
          </w:tcPr>
          <w:p>
            <w:pPr>
              <w:jc w:val="right"/>
              <w:ind w:right="228"/>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80"/>
              <w:spacing w:after="0"/>
              <w:rPr>
                <w:sz w:val="20"/>
                <w:szCs w:val="20"/>
                <w:color w:val="auto"/>
              </w:rPr>
            </w:pPr>
            <w:r>
              <w:rPr>
                <w:rFonts w:ascii="Arial" w:cs="Arial" w:eastAsia="Arial" w:hAnsi="Arial"/>
                <w:sz w:val="10"/>
                <w:szCs w:val="10"/>
                <w:color w:val="auto"/>
              </w:rPr>
              <w:t>— $</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91"/>
              <w:spacing w:after="0"/>
              <w:rPr>
                <w:sz w:val="20"/>
                <w:szCs w:val="20"/>
                <w:color w:val="auto"/>
              </w:rPr>
            </w:pPr>
            <w:r>
              <w:rPr>
                <w:rFonts w:ascii="Arial" w:cs="Arial" w:eastAsia="Arial" w:hAnsi="Arial"/>
                <w:sz w:val="10"/>
                <w:szCs w:val="10"/>
                <w:color w:val="auto"/>
              </w:rPr>
              <w:t>— $</w:t>
            </w: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80" w:type="dxa"/>
            <w:vAlign w:val="bottom"/>
          </w:tcPr>
          <w:p>
            <w:pPr>
              <w:jc w:val="right"/>
              <w:spacing w:after="0"/>
              <w:rPr>
                <w:sz w:val="20"/>
                <w:szCs w:val="20"/>
                <w:color w:val="auto"/>
              </w:rPr>
            </w:pPr>
            <w:r>
              <w:rPr>
                <w:rFonts w:ascii="Arial" w:cs="Arial" w:eastAsia="Arial" w:hAnsi="Arial"/>
                <w:sz w:val="10"/>
                <w:szCs w:val="10"/>
                <w:color w:val="auto"/>
              </w:rPr>
              <w:t>Fixed Rate</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20,486</w:t>
            </w: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97"/>
              </w:rPr>
              <w:t>20,000</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w w:val="95"/>
              </w:rPr>
              <w:t>9,268</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88,815</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0"/>
                <w:szCs w:val="10"/>
                <w:color w:val="auto"/>
              </w:rPr>
              <w:t>— $</w:t>
            </w: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20,000 $</w:t>
            </w: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121" w:hanging="121"/>
        <w:spacing w:after="0"/>
        <w:tabs>
          <w:tab w:leader="none" w:pos="121" w:val="left"/>
        </w:tabs>
        <w:numPr>
          <w:ilvl w:val="0"/>
          <w:numId w:val="18"/>
        </w:numPr>
        <w:rPr>
          <w:rFonts w:ascii="Arial" w:cs="Arial" w:eastAsia="Arial" w:hAnsi="Arial"/>
          <w:sz w:val="8"/>
          <w:szCs w:val="8"/>
          <w:color w:val="auto"/>
        </w:rPr>
      </w:pPr>
      <w:r>
        <w:rPr>
          <w:rFonts w:ascii="Arial" w:cs="Arial" w:eastAsia="Arial" w:hAnsi="Arial"/>
          <w:sz w:val="8"/>
          <w:szCs w:val="8"/>
          <w:color w:val="auto"/>
        </w:rPr>
        <w:t>Net of unamortized fees, discounts, premiums.</w:t>
      </w:r>
    </w:p>
    <w:p>
      <w:pPr>
        <w:spacing w:after="0" w:line="9" w:lineRule="exact"/>
        <w:rPr>
          <w:rFonts w:ascii="Arial" w:cs="Arial" w:eastAsia="Arial" w:hAnsi="Arial"/>
          <w:sz w:val="8"/>
          <w:szCs w:val="8"/>
          <w:color w:val="auto"/>
        </w:rPr>
      </w:pPr>
    </w:p>
    <w:p>
      <w:pPr>
        <w:ind w:left="121" w:hanging="121"/>
        <w:spacing w:after="0"/>
        <w:tabs>
          <w:tab w:leader="none" w:pos="121" w:val="left"/>
        </w:tabs>
        <w:numPr>
          <w:ilvl w:val="0"/>
          <w:numId w:val="18"/>
        </w:numPr>
        <w:rPr>
          <w:rFonts w:ascii="Arial" w:cs="Arial" w:eastAsia="Arial" w:hAnsi="Arial"/>
          <w:sz w:val="8"/>
          <w:szCs w:val="8"/>
          <w:color w:val="auto"/>
        </w:rPr>
      </w:pPr>
      <w:r>
        <w:rPr>
          <w:rFonts w:ascii="Arial" w:cs="Arial" w:eastAsia="Arial" w:hAnsi="Arial"/>
          <w:sz w:val="8"/>
          <w:szCs w:val="8"/>
          <w:color w:val="auto"/>
        </w:rPr>
        <w:t>Net of loan loss reserves.</w:t>
      </w:r>
    </w:p>
    <w:p>
      <w:pPr>
        <w:spacing w:after="0" w:line="6" w:lineRule="exact"/>
        <w:rPr>
          <w:rFonts w:ascii="Arial" w:cs="Arial" w:eastAsia="Arial" w:hAnsi="Arial"/>
          <w:sz w:val="8"/>
          <w:szCs w:val="8"/>
          <w:color w:val="auto"/>
        </w:rPr>
      </w:pPr>
    </w:p>
    <w:p>
      <w:pPr>
        <w:ind w:left="121" w:hanging="121"/>
        <w:spacing w:after="0"/>
        <w:tabs>
          <w:tab w:leader="none" w:pos="121" w:val="left"/>
        </w:tabs>
        <w:numPr>
          <w:ilvl w:val="0"/>
          <w:numId w:val="18"/>
        </w:numPr>
        <w:rPr>
          <w:rFonts w:ascii="Arial" w:cs="Arial" w:eastAsia="Arial" w:hAnsi="Arial"/>
          <w:sz w:val="8"/>
          <w:szCs w:val="8"/>
          <w:color w:val="auto"/>
        </w:rPr>
      </w:pPr>
      <w:r>
        <w:rPr>
          <w:rFonts w:ascii="Arial" w:cs="Arial" w:eastAsia="Arial" w:hAnsi="Arial"/>
          <w:sz w:val="8"/>
          <w:szCs w:val="8"/>
          <w:color w:val="auto"/>
        </w:rPr>
        <w:t>Excludes loan loss reserves and accelerated fee income resulting from early repayment, if any.</w:t>
      </w:r>
    </w:p>
    <w:p>
      <w:pPr>
        <w:ind w:left="121" w:hanging="121"/>
        <w:spacing w:after="0"/>
        <w:tabs>
          <w:tab w:leader="none" w:pos="121" w:val="left"/>
        </w:tabs>
        <w:numPr>
          <w:ilvl w:val="0"/>
          <w:numId w:val="18"/>
        </w:numPr>
        <w:rPr>
          <w:rFonts w:ascii="Arial" w:cs="Arial" w:eastAsia="Arial" w:hAnsi="Arial"/>
          <w:sz w:val="8"/>
          <w:szCs w:val="8"/>
          <w:color w:val="auto"/>
        </w:rPr>
      </w:pPr>
      <w:r>
        <w:rPr>
          <w:rFonts w:ascii="Arial" w:cs="Arial" w:eastAsia="Arial" w:hAnsi="Arial"/>
          <w:sz w:val="8"/>
          <w:szCs w:val="8"/>
          <w:color w:val="auto"/>
        </w:rPr>
        <w:t>Calculated based on GAAP income, which includes cash interest, paid-in-kind interest, fee accrual and amortization of discounts, recognized in the last month of the quarter. Excludes accelerated fee income resulting from early repayment and loan loss reserves.</w:t>
      </w:r>
    </w:p>
    <w:p>
      <w:pPr>
        <w:spacing w:after="0" w:line="3" w:lineRule="exact"/>
        <w:rPr>
          <w:rFonts w:ascii="Arial" w:cs="Arial" w:eastAsia="Arial" w:hAnsi="Arial"/>
          <w:sz w:val="8"/>
          <w:szCs w:val="8"/>
          <w:color w:val="auto"/>
        </w:rPr>
      </w:pPr>
    </w:p>
    <w:p>
      <w:pPr>
        <w:ind w:left="121" w:hanging="121"/>
        <w:spacing w:after="0"/>
        <w:tabs>
          <w:tab w:leader="none" w:pos="121" w:val="left"/>
        </w:tabs>
        <w:numPr>
          <w:ilvl w:val="0"/>
          <w:numId w:val="18"/>
        </w:numPr>
        <w:rPr>
          <w:rFonts w:ascii="Arial" w:cs="Arial" w:eastAsia="Arial" w:hAnsi="Arial"/>
          <w:sz w:val="8"/>
          <w:szCs w:val="8"/>
          <w:color w:val="auto"/>
        </w:rPr>
      </w:pPr>
      <w:r>
        <w:rPr>
          <w:rFonts w:ascii="Arial" w:cs="Arial" w:eastAsia="Arial" w:hAnsi="Arial"/>
          <w:sz w:val="8"/>
          <w:szCs w:val="8"/>
          <w:color w:val="auto"/>
        </w:rPr>
        <w:t>Includes funded future funding obligations, amortization of fees and discounts and paid-in-kind investment income.</w:t>
      </w:r>
    </w:p>
    <w:p>
      <w:pPr>
        <w:spacing w:after="0" w:line="285" w:lineRule="exact"/>
        <w:rPr>
          <w:sz w:val="20"/>
          <w:szCs w:val="20"/>
          <w:color w:val="auto"/>
        </w:rPr>
      </w:pPr>
    </w:p>
    <w:p>
      <w:pPr>
        <w:jc w:val="right"/>
        <w:spacing w:after="0"/>
        <w:tabs>
          <w:tab w:leader="none" w:pos="4580" w:val="left"/>
          <w:tab w:leader="none" w:pos="74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28</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0181"/>
          </w:cols>
          <w:pgMar w:left="299" w:top="156" w:right="141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-117475</wp:posOffset>
            </wp:positionV>
            <wp:extent cx="7169785" cy="3308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9785" cy="33083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3"/>
          <w:szCs w:val="13"/>
          <w:b w:val="1"/>
          <w:bCs w:val="1"/>
          <w:color w:val="auto"/>
        </w:rPr>
        <w:t>Manhattan Operating Properties</w:t>
      </w:r>
    </w:p>
    <w:p>
      <w:pPr>
        <w:spacing w:after="0" w:line="211"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37465</wp:posOffset>
            </wp:positionV>
            <wp:extent cx="716978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12065</wp:posOffset>
            </wp:positionV>
            <wp:extent cx="716978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1010" w:type="dxa"/>
        <w:tblCellMar>
          <w:top w:w="0" w:type="dxa"/>
          <w:left w:w="0" w:type="dxa"/>
          <w:bottom w:w="0" w:type="dxa"/>
          <w:right w:w="0" w:type="dxa"/>
        </w:tblCellMar>
      </w:tblPr>
      <w:tr>
        <w:trPr>
          <w:trHeight w:val="80"/>
        </w:trPr>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rPr>
              <w:t>Annualized Contractual</w:t>
            </w:r>
          </w:p>
        </w:tc>
        <w:tc>
          <w:tcPr>
            <w:tcW w:w="400" w:type="dxa"/>
            <w:vAlign w:val="bottom"/>
          </w:tcPr>
          <w:p>
            <w:pPr>
              <w:jc w:val="right"/>
              <w:ind w:right="84"/>
              <w:spacing w:after="0"/>
              <w:rPr>
                <w:sz w:val="20"/>
                <w:szCs w:val="20"/>
                <w:color w:val="auto"/>
              </w:rPr>
            </w:pPr>
            <w:r>
              <w:rPr>
                <w:rFonts w:ascii="Arial" w:cs="Arial" w:eastAsia="Arial" w:hAnsi="Arial"/>
                <w:sz w:val="7"/>
                <w:szCs w:val="7"/>
                <w:b w:val="1"/>
                <w:bCs w:val="1"/>
                <w:color w:val="auto"/>
              </w:rPr>
              <w:t>Total</w:t>
            </w:r>
          </w:p>
        </w:tc>
      </w:tr>
      <w:tr>
        <w:trPr>
          <w:trHeight w:val="106"/>
        </w:trPr>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ind w:left="40"/>
              <w:spacing w:after="0"/>
              <w:rPr>
                <w:sz w:val="20"/>
                <w:szCs w:val="20"/>
                <w:color w:val="auto"/>
              </w:rPr>
            </w:pPr>
            <w:r>
              <w:rPr>
                <w:rFonts w:ascii="Arial" w:cs="Arial" w:eastAsia="Arial" w:hAnsi="Arial"/>
                <w:sz w:val="7"/>
                <w:szCs w:val="7"/>
                <w:b w:val="1"/>
                <w:bCs w:val="1"/>
                <w:color w:val="auto"/>
              </w:rPr>
              <w:t>March 31, 2026</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ind w:left="20"/>
              <w:spacing w:after="0"/>
              <w:rPr>
                <w:sz w:val="20"/>
                <w:szCs w:val="20"/>
                <w:color w:val="auto"/>
              </w:rPr>
            </w:pPr>
            <w:r>
              <w:rPr>
                <w:rFonts w:ascii="Arial" w:cs="Arial" w:eastAsia="Arial" w:hAnsi="Arial"/>
                <w:sz w:val="7"/>
                <w:szCs w:val="7"/>
                <w:b w:val="1"/>
                <w:bCs w:val="1"/>
                <w:color w:val="auto"/>
              </w:rPr>
              <w:t>December 31, 2025</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7"/>
                <w:szCs w:val="7"/>
                <w:b w:val="1"/>
                <w:bCs w:val="1"/>
                <w:color w:val="auto"/>
              </w:rPr>
              <w:t>Cash Rent</w:t>
            </w:r>
          </w:p>
        </w:tc>
        <w:tc>
          <w:tcPr>
            <w:tcW w:w="400" w:type="dxa"/>
            <w:vAlign w:val="bottom"/>
          </w:tcPr>
          <w:p>
            <w:pPr>
              <w:jc w:val="right"/>
              <w:ind w:right="24"/>
              <w:spacing w:after="0"/>
              <w:rPr>
                <w:sz w:val="20"/>
                <w:szCs w:val="20"/>
                <w:color w:val="auto"/>
              </w:rPr>
            </w:pPr>
            <w:r>
              <w:rPr>
                <w:rFonts w:ascii="Arial" w:cs="Arial" w:eastAsia="Arial" w:hAnsi="Arial"/>
                <w:sz w:val="7"/>
                <w:szCs w:val="7"/>
                <w:b w:val="1"/>
                <w:bCs w:val="1"/>
                <w:color w:val="auto"/>
              </w:rPr>
              <w:t>Tenants</w:t>
            </w:r>
          </w:p>
        </w:tc>
      </w:tr>
      <w:tr>
        <w:trPr>
          <w:trHeight w:val="96"/>
        </w:trPr>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Ownership</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7"/>
                <w:szCs w:val="7"/>
                <w:b w:val="1"/>
                <w:bCs w:val="1"/>
                <w:color w:val="auto"/>
              </w:rPr>
              <w:t>% of Total</w:t>
            </w:r>
          </w:p>
        </w:tc>
        <w:tc>
          <w:tcPr>
            <w:tcW w:w="4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ind w:left="60"/>
              <w:spacing w:after="0"/>
              <w:rPr>
                <w:sz w:val="20"/>
                <w:szCs w:val="20"/>
                <w:color w:val="auto"/>
              </w:rPr>
            </w:pPr>
            <w:r>
              <w:rPr>
                <w:rFonts w:ascii="Arial" w:cs="Arial" w:eastAsia="Arial" w:hAnsi="Arial"/>
                <w:sz w:val="7"/>
                <w:szCs w:val="7"/>
                <w:b w:val="1"/>
                <w:bCs w:val="1"/>
                <w:color w:val="auto"/>
              </w:rPr>
              <w:t>Occupancy %</w:t>
            </w: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3"/>
          </w:tcPr>
          <w:p>
            <w:pPr>
              <w:ind w:left="60"/>
              <w:spacing w:after="0"/>
              <w:rPr>
                <w:sz w:val="20"/>
                <w:szCs w:val="20"/>
                <w:color w:val="auto"/>
              </w:rPr>
            </w:pPr>
            <w:r>
              <w:rPr>
                <w:rFonts w:ascii="Arial" w:cs="Arial" w:eastAsia="Arial" w:hAnsi="Arial"/>
                <w:sz w:val="7"/>
                <w:szCs w:val="7"/>
                <w:b w:val="1"/>
                <w:bCs w:val="1"/>
                <w:color w:val="auto"/>
              </w:rPr>
              <w:t>Occupancy %</w:t>
            </w: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r>
      <w:tr>
        <w:trPr>
          <w:trHeight w:val="82"/>
        </w:trPr>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Interest (%)</w:t>
            </w:r>
          </w:p>
        </w:tc>
        <w:tc>
          <w:tcPr>
            <w:tcW w:w="760" w:type="dxa"/>
            <w:vAlign w:val="bottom"/>
            <w:gridSpan w:val="3"/>
          </w:tcPr>
          <w:p>
            <w:pPr>
              <w:ind w:left="20"/>
              <w:spacing w:after="0"/>
              <w:rPr>
                <w:sz w:val="20"/>
                <w:szCs w:val="20"/>
                <w:color w:val="auto"/>
              </w:rPr>
            </w:pPr>
            <w:r>
              <w:rPr>
                <w:rFonts w:ascii="Arial" w:cs="Arial" w:eastAsia="Arial" w:hAnsi="Arial"/>
                <w:sz w:val="7"/>
                <w:szCs w:val="7"/>
                <w:b w:val="1"/>
                <w:bCs w:val="1"/>
                <w:color w:val="auto"/>
              </w:rPr>
              <w:t>SubMarket</w:t>
            </w:r>
          </w:p>
        </w:tc>
        <w:tc>
          <w:tcPr>
            <w:tcW w:w="72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680" w:type="dxa"/>
            <w:vAlign w:val="bottom"/>
            <w:gridSpan w:val="4"/>
          </w:tcPr>
          <w:p>
            <w:pPr>
              <w:ind w:left="20"/>
              <w:spacing w:after="0"/>
              <w:rPr>
                <w:sz w:val="20"/>
                <w:szCs w:val="20"/>
                <w:color w:val="auto"/>
              </w:rPr>
            </w:pPr>
            <w:r>
              <w:rPr>
                <w:rFonts w:ascii="Arial" w:cs="Arial" w:eastAsia="Arial" w:hAnsi="Arial"/>
                <w:sz w:val="7"/>
                <w:szCs w:val="7"/>
                <w:b w:val="1"/>
                <w:bCs w:val="1"/>
                <w:color w:val="auto"/>
              </w:rPr>
              <w:t>Square Feet (1)</w:t>
            </w:r>
          </w:p>
        </w:tc>
        <w:tc>
          <w:tcPr>
            <w:tcW w:w="540" w:type="dxa"/>
            <w:vAlign w:val="bottom"/>
            <w:gridSpan w:val="4"/>
          </w:tcPr>
          <w:p>
            <w:pPr>
              <w:jc w:val="right"/>
              <w:ind w:right="120"/>
              <w:spacing w:after="0"/>
              <w:rPr>
                <w:sz w:val="20"/>
                <w:szCs w:val="20"/>
                <w:color w:val="auto"/>
              </w:rPr>
            </w:pPr>
            <w:r>
              <w:rPr>
                <w:rFonts w:ascii="Arial" w:cs="Arial" w:eastAsia="Arial" w:hAnsi="Arial"/>
                <w:sz w:val="7"/>
                <w:szCs w:val="7"/>
                <w:b w:val="1"/>
                <w:bCs w:val="1"/>
                <w:color w:val="auto"/>
              </w:rPr>
              <w:t>Sq. Feet</w:t>
            </w:r>
          </w:p>
        </w:tc>
        <w:tc>
          <w:tcPr>
            <w:tcW w:w="560" w:type="dxa"/>
            <w:vAlign w:val="bottom"/>
            <w:gridSpan w:val="2"/>
          </w:tcPr>
          <w:p>
            <w:pPr>
              <w:ind w:left="60"/>
              <w:spacing w:after="0"/>
              <w:rPr>
                <w:sz w:val="20"/>
                <w:szCs w:val="20"/>
                <w:color w:val="auto"/>
              </w:rPr>
            </w:pPr>
            <w:r>
              <w:rPr>
                <w:rFonts w:ascii="Arial" w:cs="Arial" w:eastAsia="Arial" w:hAnsi="Arial"/>
                <w:sz w:val="7"/>
                <w:szCs w:val="7"/>
                <w:b w:val="1"/>
                <w:bCs w:val="1"/>
                <w:color w:val="auto"/>
              </w:rPr>
              <w:t>Leased (2)</w:t>
            </w:r>
          </w:p>
        </w:tc>
        <w:tc>
          <w:tcPr>
            <w:tcW w:w="620" w:type="dxa"/>
            <w:vAlign w:val="bottom"/>
            <w:gridSpan w:val="2"/>
          </w:tcPr>
          <w:p>
            <w:pPr>
              <w:ind w:left="40"/>
              <w:spacing w:after="0"/>
              <w:rPr>
                <w:sz w:val="20"/>
                <w:szCs w:val="20"/>
                <w:color w:val="auto"/>
              </w:rPr>
            </w:pPr>
            <w:r>
              <w:rPr>
                <w:rFonts w:ascii="Arial" w:cs="Arial" w:eastAsia="Arial" w:hAnsi="Arial"/>
                <w:sz w:val="7"/>
                <w:szCs w:val="7"/>
                <w:b w:val="1"/>
                <w:bCs w:val="1"/>
                <w:color w:val="auto"/>
              </w:rPr>
              <w:t>Occupied (3)</w:t>
            </w:r>
          </w:p>
        </w:tc>
        <w:tc>
          <w:tcPr>
            <w:tcW w:w="640" w:type="dxa"/>
            <w:vAlign w:val="bottom"/>
            <w:gridSpan w:val="2"/>
          </w:tcPr>
          <w:p>
            <w:pPr>
              <w:ind w:left="40"/>
              <w:spacing w:after="0"/>
              <w:rPr>
                <w:sz w:val="20"/>
                <w:szCs w:val="20"/>
                <w:color w:val="auto"/>
              </w:rPr>
            </w:pPr>
            <w:r>
              <w:rPr>
                <w:rFonts w:ascii="Arial" w:cs="Arial" w:eastAsia="Arial" w:hAnsi="Arial"/>
                <w:sz w:val="7"/>
                <w:szCs w:val="7"/>
                <w:b w:val="1"/>
                <w:bCs w:val="1"/>
                <w:color w:val="auto"/>
              </w:rPr>
              <w:t>Economic (4)</w:t>
            </w:r>
          </w:p>
        </w:tc>
        <w:tc>
          <w:tcPr>
            <w:tcW w:w="560" w:type="dxa"/>
            <w:vAlign w:val="bottom"/>
            <w:gridSpan w:val="2"/>
          </w:tcPr>
          <w:p>
            <w:pPr>
              <w:ind w:left="60"/>
              <w:spacing w:after="0"/>
              <w:rPr>
                <w:sz w:val="20"/>
                <w:szCs w:val="20"/>
                <w:color w:val="auto"/>
              </w:rPr>
            </w:pPr>
            <w:r>
              <w:rPr>
                <w:rFonts w:ascii="Arial" w:cs="Arial" w:eastAsia="Arial" w:hAnsi="Arial"/>
                <w:sz w:val="7"/>
                <w:szCs w:val="7"/>
                <w:b w:val="1"/>
                <w:bCs w:val="1"/>
                <w:color w:val="auto"/>
              </w:rPr>
              <w:t>Leased (2)</w:t>
            </w:r>
          </w:p>
        </w:tc>
        <w:tc>
          <w:tcPr>
            <w:tcW w:w="680" w:type="dxa"/>
            <w:vAlign w:val="bottom"/>
            <w:gridSpan w:val="3"/>
          </w:tcPr>
          <w:p>
            <w:pPr>
              <w:ind w:left="40"/>
              <w:spacing w:after="0"/>
              <w:rPr>
                <w:sz w:val="20"/>
                <w:szCs w:val="20"/>
                <w:color w:val="auto"/>
              </w:rPr>
            </w:pPr>
            <w:r>
              <w:rPr>
                <w:rFonts w:ascii="Arial" w:cs="Arial" w:eastAsia="Arial" w:hAnsi="Arial"/>
                <w:sz w:val="7"/>
                <w:szCs w:val="7"/>
                <w:b w:val="1"/>
                <w:bCs w:val="1"/>
                <w:color w:val="auto"/>
              </w:rPr>
              <w:t>Occupied (3)</w:t>
            </w:r>
          </w:p>
        </w:tc>
        <w:tc>
          <w:tcPr>
            <w:tcW w:w="580" w:type="dxa"/>
            <w:vAlign w:val="bottom"/>
            <w:gridSpan w:val="2"/>
          </w:tcPr>
          <w:p>
            <w:pPr>
              <w:spacing w:after="0"/>
              <w:rPr>
                <w:sz w:val="20"/>
                <w:szCs w:val="20"/>
                <w:color w:val="auto"/>
              </w:rPr>
            </w:pPr>
            <w:r>
              <w:rPr>
                <w:rFonts w:ascii="Arial" w:cs="Arial" w:eastAsia="Arial" w:hAnsi="Arial"/>
                <w:sz w:val="7"/>
                <w:szCs w:val="7"/>
                <w:b w:val="1"/>
                <w:bCs w:val="1"/>
                <w:color w:val="auto"/>
              </w:rPr>
              <w:t>Economic (4)</w:t>
            </w:r>
          </w:p>
        </w:tc>
        <w:tc>
          <w:tcPr>
            <w:tcW w:w="460" w:type="dxa"/>
            <w:vAlign w:val="bottom"/>
          </w:tcPr>
          <w:p>
            <w:pPr>
              <w:ind w:left="160"/>
              <w:spacing w:after="0"/>
              <w:rPr>
                <w:sz w:val="20"/>
                <w:szCs w:val="20"/>
                <w:color w:val="auto"/>
              </w:rPr>
            </w:pPr>
            <w:r>
              <w:rPr>
                <w:rFonts w:ascii="Arial" w:cs="Arial" w:eastAsia="Arial" w:hAnsi="Arial"/>
                <w:sz w:val="7"/>
                <w:szCs w:val="7"/>
                <w:b w:val="1"/>
                <w:bCs w:val="1"/>
                <w:color w:val="auto"/>
              </w:rPr>
              <w:t>($'s)</w:t>
            </w:r>
          </w:p>
        </w:tc>
        <w:tc>
          <w:tcPr>
            <w:tcW w:w="600" w:type="dxa"/>
            <w:vAlign w:val="bottom"/>
            <w:gridSpan w:val="2"/>
          </w:tcPr>
          <w:p>
            <w:pPr>
              <w:jc w:val="center"/>
              <w:ind w:right="100"/>
              <w:spacing w:after="0"/>
              <w:rPr>
                <w:sz w:val="20"/>
                <w:szCs w:val="20"/>
                <w:color w:val="auto"/>
              </w:rPr>
            </w:pPr>
            <w:r>
              <w:rPr>
                <w:rFonts w:ascii="Arial" w:cs="Arial" w:eastAsia="Arial" w:hAnsi="Arial"/>
                <w:sz w:val="7"/>
                <w:szCs w:val="7"/>
                <w:b w:val="1"/>
                <w:bCs w:val="1"/>
                <w:color w:val="auto"/>
              </w:rPr>
              <w:t>SLG Share</w:t>
            </w:r>
          </w:p>
        </w:tc>
        <w:tc>
          <w:tcPr>
            <w:tcW w:w="400" w:type="dxa"/>
            <w:vAlign w:val="bottom"/>
          </w:tcPr>
          <w:p>
            <w:pPr>
              <w:spacing w:after="0"/>
              <w:rPr>
                <w:sz w:val="7"/>
                <w:szCs w:val="7"/>
                <w:color w:val="auto"/>
              </w:rPr>
            </w:pPr>
          </w:p>
        </w:tc>
      </w:tr>
      <w:tr>
        <w:trPr>
          <w:trHeight w:val="78"/>
        </w:trPr>
        <w:tc>
          <w:tcPr>
            <w:tcW w:w="380" w:type="dxa"/>
            <w:vAlign w:val="bottom"/>
            <w:tcBorders>
              <w:bottom w:val="single" w:sz="8" w:color="auto"/>
            </w:tcBorders>
            <w:gridSpan w:val="2"/>
          </w:tcPr>
          <w:p>
            <w:pPr>
              <w:ind w:left="20"/>
              <w:spacing w:after="0" w:line="79" w:lineRule="exact"/>
              <w:rPr>
                <w:sz w:val="20"/>
                <w:szCs w:val="20"/>
                <w:color w:val="auto"/>
              </w:rPr>
            </w:pPr>
            <w:r>
              <w:rPr>
                <w:rFonts w:ascii="Arial" w:cs="Arial" w:eastAsia="Arial" w:hAnsi="Arial"/>
                <w:sz w:val="7"/>
                <w:szCs w:val="7"/>
                <w:b w:val="1"/>
                <w:bCs w:val="1"/>
                <w:color w:val="auto"/>
                <w:w w:val="98"/>
              </w:rPr>
              <w:t>Properties</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gridSpan w:val="2"/>
          </w:tcPr>
          <w:p>
            <w:pPr>
              <w:jc w:val="center"/>
              <w:ind w:right="100"/>
              <w:spacing w:after="0" w:line="78" w:lineRule="exact"/>
              <w:rPr>
                <w:sz w:val="20"/>
                <w:szCs w:val="20"/>
                <w:color w:val="auto"/>
              </w:rPr>
            </w:pPr>
            <w:r>
              <w:rPr>
                <w:rFonts w:ascii="Arial" w:cs="Arial" w:eastAsia="Arial" w:hAnsi="Arial"/>
                <w:sz w:val="7"/>
                <w:szCs w:val="7"/>
                <w:b w:val="1"/>
                <w:bCs w:val="1"/>
                <w:color w:val="auto"/>
                <w:w w:val="98"/>
              </w:rPr>
              <w:t>($'s)</w:t>
            </w:r>
          </w:p>
        </w:tc>
        <w:tc>
          <w:tcPr>
            <w:tcW w:w="400" w:type="dxa"/>
            <w:vAlign w:val="bottom"/>
          </w:tcPr>
          <w:p>
            <w:pPr>
              <w:spacing w:after="0"/>
              <w:rPr>
                <w:sz w:val="6"/>
                <w:szCs w:val="6"/>
                <w:color w:val="auto"/>
              </w:rPr>
            </w:pPr>
          </w:p>
        </w:tc>
      </w:tr>
      <w:tr>
        <w:trPr>
          <w:trHeight w:val="104"/>
        </w:trPr>
        <w:tc>
          <w:tcPr>
            <w:tcW w:w="1460" w:type="dxa"/>
            <w:vAlign w:val="bottom"/>
            <w:gridSpan w:val="6"/>
          </w:tcPr>
          <w:p>
            <w:pPr>
              <w:ind w:left="20"/>
              <w:spacing w:after="0"/>
              <w:rPr>
                <w:sz w:val="20"/>
                <w:szCs w:val="20"/>
                <w:color w:val="auto"/>
              </w:rPr>
            </w:pPr>
            <w:r>
              <w:rPr>
                <w:rFonts w:ascii="Arial" w:cs="Arial" w:eastAsia="Arial" w:hAnsi="Arial"/>
                <w:sz w:val="7"/>
                <w:szCs w:val="7"/>
                <w:b w:val="1"/>
                <w:bCs w:val="1"/>
                <w:color w:val="auto"/>
              </w:rPr>
              <w:t>CONSOLIDATED PROPERTIES</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10"/>
        </w:trPr>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"Same Store"</w:t>
            </w: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r>
        <w:trPr>
          <w:trHeight w:val="92"/>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10 East 53rd Street</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8"/>
                <w:szCs w:val="8"/>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Plaza District</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354,300</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1.5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93.2</w:t>
            </w:r>
          </w:p>
        </w:tc>
        <w:tc>
          <w:tcPr>
            <w:tcW w:w="100" w:type="dxa"/>
            <w:vAlign w:val="bottom"/>
          </w:tcPr>
          <w:p>
            <w:pPr>
              <w:spacing w:after="0"/>
              <w:rPr>
                <w:sz w:val="8"/>
                <w:szCs w:val="8"/>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94.1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91.8</w:t>
            </w:r>
          </w:p>
        </w:tc>
        <w:tc>
          <w:tcPr>
            <w:tcW w:w="8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$33,411</w:t>
            </w:r>
          </w:p>
        </w:tc>
        <w:tc>
          <w:tcPr>
            <w:tcW w:w="520" w:type="dxa"/>
            <w:vAlign w:val="bottom"/>
          </w:tcPr>
          <w:p>
            <w:pPr>
              <w:jc w:val="center"/>
              <w:spacing w:after="0"/>
              <w:rPr>
                <w:sz w:val="20"/>
                <w:szCs w:val="20"/>
                <w:color w:val="auto"/>
              </w:rPr>
            </w:pPr>
            <w:r>
              <w:rPr>
                <w:rFonts w:ascii="Arial" w:cs="Arial" w:eastAsia="Arial" w:hAnsi="Arial"/>
                <w:sz w:val="7"/>
                <w:szCs w:val="7"/>
                <w:color w:val="auto"/>
              </w:rPr>
              <w:t>$33,411</w:t>
            </w:r>
          </w:p>
        </w:tc>
        <w:tc>
          <w:tcPr>
            <w:tcW w:w="80" w:type="dxa"/>
            <w:vAlign w:val="bottom"/>
          </w:tcPr>
          <w:p>
            <w:pPr>
              <w:spacing w:after="0"/>
              <w:rPr>
                <w:sz w:val="8"/>
                <w:szCs w:val="8"/>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38</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100</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Church Street</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Downtown</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1,047,500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4.4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94.0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93.3</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92.9</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93.5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93.1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93.1</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47,453</w:t>
            </w:r>
          </w:p>
        </w:tc>
        <w:tc>
          <w:tcPr>
            <w:tcW w:w="520" w:type="dxa"/>
            <w:vAlign w:val="bottom"/>
          </w:tcPr>
          <w:p>
            <w:pPr>
              <w:jc w:val="center"/>
              <w:spacing w:after="0"/>
              <w:rPr>
                <w:sz w:val="20"/>
                <w:szCs w:val="20"/>
                <w:color w:val="auto"/>
              </w:rPr>
            </w:pPr>
            <w:r>
              <w:rPr>
                <w:rFonts w:ascii="Arial" w:cs="Arial" w:eastAsia="Arial" w:hAnsi="Arial"/>
                <w:sz w:val="7"/>
                <w:szCs w:val="7"/>
                <w:color w:val="auto"/>
              </w:rPr>
              <w:t>47,453</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17</w:t>
            </w:r>
          </w:p>
        </w:tc>
      </w:tr>
      <w:tr>
        <w:trPr>
          <w:trHeight w:val="108"/>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110 Greene Street</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Soho</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223,600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0.9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95.6</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94.7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94.7</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94.7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92.7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19,923</w:t>
            </w:r>
          </w:p>
        </w:tc>
        <w:tc>
          <w:tcPr>
            <w:tcW w:w="520" w:type="dxa"/>
            <w:vAlign w:val="bottom"/>
          </w:tcPr>
          <w:p>
            <w:pPr>
              <w:jc w:val="center"/>
              <w:spacing w:after="0"/>
              <w:rPr>
                <w:sz w:val="20"/>
                <w:szCs w:val="20"/>
                <w:color w:val="auto"/>
              </w:rPr>
            </w:pPr>
            <w:r>
              <w:rPr>
                <w:rFonts w:ascii="Arial" w:cs="Arial" w:eastAsia="Arial" w:hAnsi="Arial"/>
                <w:sz w:val="7"/>
                <w:szCs w:val="7"/>
                <w:color w:val="auto"/>
              </w:rPr>
              <w:t>19,923</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53</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125</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604,245</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2.5</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99.2</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98.0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96.8</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99.2</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98.0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96.8</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47,654</w:t>
            </w:r>
          </w:p>
        </w:tc>
        <w:tc>
          <w:tcPr>
            <w:tcW w:w="520" w:type="dxa"/>
            <w:vAlign w:val="bottom"/>
          </w:tcPr>
          <w:p>
            <w:pPr>
              <w:jc w:val="center"/>
              <w:spacing w:after="0"/>
              <w:rPr>
                <w:sz w:val="20"/>
                <w:szCs w:val="20"/>
                <w:color w:val="auto"/>
              </w:rPr>
            </w:pPr>
            <w:r>
              <w:rPr>
                <w:rFonts w:ascii="Arial" w:cs="Arial" w:eastAsia="Arial" w:hAnsi="Arial"/>
                <w:sz w:val="7"/>
                <w:szCs w:val="7"/>
                <w:color w:val="auto"/>
              </w:rPr>
              <w:t>47,654</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23</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304</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Park Avenue South</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Midtown South</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215,000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0.9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91.9</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18,444</w:t>
            </w:r>
          </w:p>
        </w:tc>
        <w:tc>
          <w:tcPr>
            <w:tcW w:w="520" w:type="dxa"/>
            <w:vAlign w:val="bottom"/>
          </w:tcPr>
          <w:p>
            <w:pPr>
              <w:jc w:val="center"/>
              <w:spacing w:after="0"/>
              <w:rPr>
                <w:sz w:val="20"/>
                <w:szCs w:val="20"/>
                <w:color w:val="auto"/>
              </w:rPr>
            </w:pPr>
            <w:r>
              <w:rPr>
                <w:rFonts w:ascii="Arial" w:cs="Arial" w:eastAsia="Arial" w:hAnsi="Arial"/>
                <w:sz w:val="7"/>
                <w:szCs w:val="7"/>
                <w:color w:val="auto"/>
              </w:rPr>
              <w:t>18,444</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6</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420</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Lexington Ave (Graybar)</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Grand Central North</w:t>
            </w:r>
          </w:p>
        </w:tc>
        <w:tc>
          <w:tcPr>
            <w:tcW w:w="72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1,188,000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5.0</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92.6</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90.6</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90.6</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92.8</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90.5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90.4</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89,651</w:t>
            </w:r>
          </w:p>
        </w:tc>
        <w:tc>
          <w:tcPr>
            <w:tcW w:w="520" w:type="dxa"/>
            <w:vAlign w:val="bottom"/>
          </w:tcPr>
          <w:p>
            <w:pPr>
              <w:jc w:val="center"/>
              <w:spacing w:after="0"/>
              <w:rPr>
                <w:sz w:val="20"/>
                <w:szCs w:val="20"/>
                <w:color w:val="auto"/>
              </w:rPr>
            </w:pPr>
            <w:r>
              <w:rPr>
                <w:rFonts w:ascii="Arial" w:cs="Arial" w:eastAsia="Arial" w:hAnsi="Arial"/>
                <w:sz w:val="7"/>
                <w:szCs w:val="7"/>
                <w:color w:val="auto"/>
              </w:rPr>
              <w:t>89,651</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178</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461</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200,000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0.8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90.2</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85.0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85.0</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90.2</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85.0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77.4</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15,143</w:t>
            </w:r>
          </w:p>
        </w:tc>
        <w:tc>
          <w:tcPr>
            <w:tcW w:w="520" w:type="dxa"/>
            <w:vAlign w:val="bottom"/>
          </w:tcPr>
          <w:p>
            <w:pPr>
              <w:jc w:val="center"/>
              <w:spacing w:after="0"/>
              <w:rPr>
                <w:sz w:val="20"/>
                <w:szCs w:val="20"/>
                <w:color w:val="auto"/>
              </w:rPr>
            </w:pPr>
            <w:r>
              <w:rPr>
                <w:rFonts w:ascii="Arial" w:cs="Arial" w:eastAsia="Arial" w:hAnsi="Arial"/>
                <w:sz w:val="7"/>
                <w:szCs w:val="7"/>
                <w:color w:val="auto"/>
              </w:rPr>
              <w:t>15,143</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19</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485</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Grand Central North</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921,000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3.8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78.2</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76.3</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71.6</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79.7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77.8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73.1</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47,316</w:t>
            </w:r>
          </w:p>
        </w:tc>
        <w:tc>
          <w:tcPr>
            <w:tcW w:w="520" w:type="dxa"/>
            <w:vAlign w:val="bottom"/>
          </w:tcPr>
          <w:p>
            <w:pPr>
              <w:jc w:val="center"/>
              <w:spacing w:after="0"/>
              <w:rPr>
                <w:sz w:val="20"/>
                <w:szCs w:val="20"/>
                <w:color w:val="auto"/>
              </w:rPr>
            </w:pPr>
            <w:r>
              <w:rPr>
                <w:rFonts w:ascii="Arial" w:cs="Arial" w:eastAsia="Arial" w:hAnsi="Arial"/>
                <w:sz w:val="7"/>
                <w:szCs w:val="7"/>
                <w:color w:val="auto"/>
              </w:rPr>
              <w:t>47,316</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36</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555</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West 57th Street</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Midtown West</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941,000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3.9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77.2</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77.2</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77.2</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77.2</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77.2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77.2</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47,761</w:t>
            </w:r>
          </w:p>
        </w:tc>
        <w:tc>
          <w:tcPr>
            <w:tcW w:w="520" w:type="dxa"/>
            <w:vAlign w:val="bottom"/>
          </w:tcPr>
          <w:p>
            <w:pPr>
              <w:jc w:val="center"/>
              <w:spacing w:after="0"/>
              <w:rPr>
                <w:sz w:val="20"/>
                <w:szCs w:val="20"/>
                <w:color w:val="auto"/>
              </w:rPr>
            </w:pPr>
            <w:r>
              <w:rPr>
                <w:rFonts w:ascii="Arial" w:cs="Arial" w:eastAsia="Arial" w:hAnsi="Arial"/>
                <w:sz w:val="7"/>
                <w:szCs w:val="7"/>
                <w:color w:val="auto"/>
              </w:rPr>
              <w:t>47,761</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11</w:t>
            </w:r>
          </w:p>
        </w:tc>
      </w:tr>
      <w:tr>
        <w:trPr>
          <w:trHeight w:val="108"/>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711 Third Avenue</w:t>
            </w:r>
          </w:p>
        </w:tc>
        <w:tc>
          <w:tcPr>
            <w:tcW w:w="440" w:type="dxa"/>
            <w:vAlign w:val="bottom"/>
            <w:gridSpan w:val="2"/>
          </w:tcPr>
          <w:p>
            <w:pPr>
              <w:jc w:val="right"/>
              <w:spacing w:after="0"/>
              <w:rPr>
                <w:sz w:val="20"/>
                <w:szCs w:val="20"/>
                <w:color w:val="auto"/>
              </w:rPr>
            </w:pPr>
            <w:r>
              <w:rPr>
                <w:rFonts w:ascii="Arial" w:cs="Arial" w:eastAsia="Arial" w:hAnsi="Arial"/>
                <w:sz w:val="7"/>
                <w:szCs w:val="7"/>
                <w:color w:val="auto"/>
              </w:rPr>
              <w:t>100.0 (5)</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Grand Central North</w:t>
            </w:r>
          </w:p>
        </w:tc>
        <w:tc>
          <w:tcPr>
            <w:tcW w:w="720" w:type="dxa"/>
            <w:vAlign w:val="bottom"/>
            <w:gridSpan w:val="2"/>
          </w:tcPr>
          <w:p>
            <w:pPr>
              <w:spacing w:after="0"/>
              <w:rPr>
                <w:sz w:val="20"/>
                <w:szCs w:val="20"/>
                <w:color w:val="auto"/>
              </w:rPr>
            </w:pPr>
            <w:r>
              <w:rPr>
                <w:rFonts w:ascii="Arial" w:cs="Arial" w:eastAsia="Arial" w:hAnsi="Arial"/>
                <w:sz w:val="7"/>
                <w:szCs w:val="7"/>
                <w:color w:val="auto"/>
              </w:rPr>
              <w:t>Leasehold Interest (5)</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524,000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2.2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85.7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73.5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73.5</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77.0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70.8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70.8</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27,063</w:t>
            </w:r>
          </w:p>
        </w:tc>
        <w:tc>
          <w:tcPr>
            <w:tcW w:w="520" w:type="dxa"/>
            <w:vAlign w:val="bottom"/>
          </w:tcPr>
          <w:p>
            <w:pPr>
              <w:jc w:val="center"/>
              <w:spacing w:after="0"/>
              <w:rPr>
                <w:sz w:val="20"/>
                <w:szCs w:val="20"/>
                <w:color w:val="auto"/>
              </w:rPr>
            </w:pPr>
            <w:r>
              <w:rPr>
                <w:rFonts w:ascii="Arial" w:cs="Arial" w:eastAsia="Arial" w:hAnsi="Arial"/>
                <w:sz w:val="7"/>
                <w:szCs w:val="7"/>
                <w:color w:val="auto"/>
              </w:rPr>
              <w:t>27,063</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17</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800</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Grand Central North</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526,000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2.2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90.3</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86.7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86.2</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84.3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83.8</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33,304</w:t>
            </w:r>
          </w:p>
        </w:tc>
        <w:tc>
          <w:tcPr>
            <w:tcW w:w="520" w:type="dxa"/>
            <w:vAlign w:val="bottom"/>
          </w:tcPr>
          <w:p>
            <w:pPr>
              <w:jc w:val="center"/>
              <w:spacing w:after="0"/>
              <w:rPr>
                <w:sz w:val="20"/>
                <w:szCs w:val="20"/>
                <w:color w:val="auto"/>
              </w:rPr>
            </w:pPr>
            <w:r>
              <w:rPr>
                <w:rFonts w:ascii="Arial" w:cs="Arial" w:eastAsia="Arial" w:hAnsi="Arial"/>
                <w:sz w:val="7"/>
                <w:szCs w:val="7"/>
                <w:color w:val="auto"/>
              </w:rPr>
              <w:t>33,304</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43</w:t>
            </w:r>
          </w:p>
        </w:tc>
      </w:tr>
      <w:tr>
        <w:trPr>
          <w:trHeight w:val="118"/>
        </w:trPr>
        <w:tc>
          <w:tcPr>
            <w:tcW w:w="140" w:type="dxa"/>
            <w:vAlign w:val="bottom"/>
          </w:tcPr>
          <w:p>
            <w:pPr>
              <w:ind w:left="20"/>
              <w:spacing w:after="0"/>
              <w:rPr>
                <w:sz w:val="20"/>
                <w:szCs w:val="20"/>
                <w:color w:val="auto"/>
              </w:rPr>
            </w:pPr>
            <w:r>
              <w:rPr>
                <w:rFonts w:ascii="Arial" w:cs="Arial" w:eastAsia="Arial" w:hAnsi="Arial"/>
                <w:sz w:val="7"/>
                <w:szCs w:val="7"/>
                <w:color w:val="auto"/>
                <w:w w:val="85"/>
              </w:rPr>
              <w:t>810</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Seventh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Times Square</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692,000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2.9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87.0</w:t>
            </w:r>
          </w:p>
        </w:tc>
        <w:tc>
          <w:tcPr>
            <w:tcW w:w="80" w:type="dxa"/>
            <w:vAlign w:val="bottom"/>
          </w:tcPr>
          <w:p>
            <w:pPr>
              <w:spacing w:after="0"/>
              <w:rPr>
                <w:sz w:val="10"/>
                <w:szCs w:val="10"/>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86.4</w:t>
            </w:r>
          </w:p>
        </w:tc>
        <w:tc>
          <w:tcPr>
            <w:tcW w:w="80" w:type="dxa"/>
            <w:vAlign w:val="bottom"/>
          </w:tcPr>
          <w:p>
            <w:pPr>
              <w:spacing w:after="0"/>
              <w:rPr>
                <w:sz w:val="10"/>
                <w:szCs w:val="10"/>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85.1</w:t>
            </w:r>
          </w:p>
        </w:tc>
        <w:tc>
          <w:tcPr>
            <w:tcW w:w="100" w:type="dxa"/>
            <w:vAlign w:val="bottom"/>
          </w:tcPr>
          <w:p>
            <w:pPr>
              <w:spacing w:after="0"/>
              <w:rPr>
                <w:sz w:val="10"/>
                <w:szCs w:val="10"/>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89.2</w:t>
            </w:r>
          </w:p>
        </w:tc>
        <w:tc>
          <w:tcPr>
            <w:tcW w:w="80" w:type="dxa"/>
            <w:vAlign w:val="bottom"/>
          </w:tcPr>
          <w:p>
            <w:pPr>
              <w:spacing w:after="0"/>
              <w:rPr>
                <w:sz w:val="10"/>
                <w:szCs w:val="10"/>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87.2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83.0</w:t>
            </w:r>
          </w:p>
        </w:tc>
        <w:tc>
          <w:tcPr>
            <w:tcW w:w="8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43,681</w:t>
            </w:r>
          </w:p>
        </w:tc>
        <w:tc>
          <w:tcPr>
            <w:tcW w:w="520" w:type="dxa"/>
            <w:vAlign w:val="bottom"/>
          </w:tcPr>
          <w:p>
            <w:pPr>
              <w:jc w:val="center"/>
              <w:spacing w:after="0"/>
              <w:rPr>
                <w:sz w:val="20"/>
                <w:szCs w:val="20"/>
                <w:color w:val="auto"/>
              </w:rPr>
            </w:pPr>
            <w:r>
              <w:rPr>
                <w:rFonts w:ascii="Arial" w:cs="Arial" w:eastAsia="Arial" w:hAnsi="Arial"/>
                <w:sz w:val="7"/>
                <w:szCs w:val="7"/>
                <w:color w:val="auto"/>
              </w:rPr>
              <w:t>43,681</w:t>
            </w:r>
          </w:p>
        </w:tc>
        <w:tc>
          <w:tcPr>
            <w:tcW w:w="80" w:type="dxa"/>
            <w:vAlign w:val="bottom"/>
          </w:tcPr>
          <w:p>
            <w:pPr>
              <w:spacing w:after="0"/>
              <w:rPr>
                <w:sz w:val="10"/>
                <w:szCs w:val="10"/>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46</w:t>
            </w:r>
          </w:p>
        </w:tc>
      </w:tr>
      <w:tr>
        <w:trPr>
          <w:trHeight w:val="86"/>
        </w:trPr>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Midtown / Plaza</w:t>
            </w:r>
          </w:p>
        </w:tc>
        <w:tc>
          <w:tcPr>
            <w:tcW w:w="720" w:type="dxa"/>
            <w:vAlign w:val="bottom"/>
            <w:gridSpan w:val="2"/>
          </w:tcPr>
          <w:p>
            <w:pPr>
              <w:spacing w:after="0"/>
              <w:rPr>
                <w:sz w:val="20"/>
                <w:szCs w:val="20"/>
                <w:color w:val="auto"/>
              </w:rPr>
            </w:pPr>
            <w:r>
              <w:rPr>
                <w:rFonts w:ascii="Arial" w:cs="Arial" w:eastAsia="Arial" w:hAnsi="Arial"/>
                <w:sz w:val="7"/>
                <w:szCs w:val="7"/>
                <w:color w:val="auto"/>
              </w:rPr>
              <w:t>Fee / Leasehold</w:t>
            </w: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r>
      <w:tr>
        <w:trPr>
          <w:trHeight w:val="101"/>
        </w:trPr>
        <w:tc>
          <w:tcPr>
            <w:tcW w:w="140" w:type="dxa"/>
            <w:vAlign w:val="bottom"/>
          </w:tcPr>
          <w:p>
            <w:pPr>
              <w:ind w:left="20"/>
              <w:spacing w:after="0"/>
              <w:rPr>
                <w:sz w:val="20"/>
                <w:szCs w:val="20"/>
                <w:color w:val="auto"/>
              </w:rPr>
            </w:pPr>
            <w:r>
              <w:rPr>
                <w:rFonts w:ascii="Arial" w:cs="Arial" w:eastAsia="Arial" w:hAnsi="Arial"/>
                <w:sz w:val="7"/>
                <w:szCs w:val="7"/>
                <w:color w:val="auto"/>
                <w:w w:val="85"/>
              </w:rPr>
              <w:t>885</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8"/>
                <w:szCs w:val="8"/>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District</w:t>
            </w:r>
          </w:p>
        </w:tc>
        <w:tc>
          <w:tcPr>
            <w:tcW w:w="720" w:type="dxa"/>
            <w:vAlign w:val="bottom"/>
            <w:gridSpan w:val="2"/>
          </w:tcPr>
          <w:p>
            <w:pPr>
              <w:spacing w:after="0"/>
              <w:rPr>
                <w:sz w:val="20"/>
                <w:szCs w:val="20"/>
                <w:color w:val="auto"/>
              </w:rPr>
            </w:pPr>
            <w:r>
              <w:rPr>
                <w:rFonts w:ascii="Arial" w:cs="Arial" w:eastAsia="Arial" w:hAnsi="Arial"/>
                <w:sz w:val="7"/>
                <w:szCs w:val="7"/>
                <w:color w:val="auto"/>
              </w:rPr>
              <w:t>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218,796</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0.9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86.5</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84.5</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81.2</w:t>
            </w:r>
          </w:p>
        </w:tc>
        <w:tc>
          <w:tcPr>
            <w:tcW w:w="100" w:type="dxa"/>
            <w:vAlign w:val="bottom"/>
          </w:tcPr>
          <w:p>
            <w:pPr>
              <w:spacing w:after="0"/>
              <w:rPr>
                <w:sz w:val="8"/>
                <w:szCs w:val="8"/>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84.5</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81.5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74.6</w:t>
            </w:r>
          </w:p>
        </w:tc>
        <w:tc>
          <w:tcPr>
            <w:tcW w:w="8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12,200</w:t>
            </w:r>
          </w:p>
        </w:tc>
        <w:tc>
          <w:tcPr>
            <w:tcW w:w="520" w:type="dxa"/>
            <w:vAlign w:val="bottom"/>
          </w:tcPr>
          <w:p>
            <w:pPr>
              <w:jc w:val="center"/>
              <w:spacing w:after="0"/>
              <w:rPr>
                <w:sz w:val="20"/>
                <w:szCs w:val="20"/>
                <w:color w:val="auto"/>
              </w:rPr>
            </w:pPr>
            <w:r>
              <w:rPr>
                <w:rFonts w:ascii="Arial" w:cs="Arial" w:eastAsia="Arial" w:hAnsi="Arial"/>
                <w:sz w:val="7"/>
                <w:szCs w:val="7"/>
                <w:color w:val="auto"/>
              </w:rPr>
              <w:t>12,200</w:t>
            </w:r>
          </w:p>
        </w:tc>
        <w:tc>
          <w:tcPr>
            <w:tcW w:w="80" w:type="dxa"/>
            <w:vAlign w:val="bottom"/>
          </w:tcPr>
          <w:p>
            <w:pPr>
              <w:spacing w:after="0"/>
              <w:rPr>
                <w:sz w:val="8"/>
                <w:szCs w:val="8"/>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16</w:t>
            </w:r>
          </w:p>
        </w:tc>
      </w:tr>
      <w:tr>
        <w:trPr>
          <w:trHeight w:val="118"/>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1185 Avenue of the Americas</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Rockefeller Center</w:t>
            </w:r>
          </w:p>
        </w:tc>
        <w:tc>
          <w:tcPr>
            <w:tcW w:w="72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1,062,000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92.8</w:t>
            </w:r>
          </w:p>
        </w:tc>
        <w:tc>
          <w:tcPr>
            <w:tcW w:w="80" w:type="dxa"/>
            <w:vAlign w:val="bottom"/>
          </w:tcPr>
          <w:p>
            <w:pPr>
              <w:spacing w:after="0"/>
              <w:rPr>
                <w:sz w:val="10"/>
                <w:szCs w:val="10"/>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77.0</w:t>
            </w:r>
          </w:p>
        </w:tc>
        <w:tc>
          <w:tcPr>
            <w:tcW w:w="80" w:type="dxa"/>
            <w:vAlign w:val="bottom"/>
          </w:tcPr>
          <w:p>
            <w:pPr>
              <w:spacing w:after="0"/>
              <w:rPr>
                <w:sz w:val="10"/>
                <w:szCs w:val="10"/>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72.3</w:t>
            </w:r>
          </w:p>
        </w:tc>
        <w:tc>
          <w:tcPr>
            <w:tcW w:w="100" w:type="dxa"/>
            <w:vAlign w:val="bottom"/>
          </w:tcPr>
          <w:p>
            <w:pPr>
              <w:spacing w:after="0"/>
              <w:rPr>
                <w:sz w:val="10"/>
                <w:szCs w:val="10"/>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89.0</w:t>
            </w:r>
          </w:p>
        </w:tc>
        <w:tc>
          <w:tcPr>
            <w:tcW w:w="80" w:type="dxa"/>
            <w:vAlign w:val="bottom"/>
          </w:tcPr>
          <w:p>
            <w:pPr>
              <w:spacing w:after="0"/>
              <w:rPr>
                <w:sz w:val="10"/>
                <w:szCs w:val="10"/>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74.5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67.2</w:t>
            </w:r>
          </w:p>
        </w:tc>
        <w:tc>
          <w:tcPr>
            <w:tcW w:w="8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62,650</w:t>
            </w:r>
          </w:p>
        </w:tc>
        <w:tc>
          <w:tcPr>
            <w:tcW w:w="520" w:type="dxa"/>
            <w:vAlign w:val="bottom"/>
          </w:tcPr>
          <w:p>
            <w:pPr>
              <w:jc w:val="center"/>
              <w:spacing w:after="0"/>
              <w:rPr>
                <w:sz w:val="20"/>
                <w:szCs w:val="20"/>
                <w:color w:val="auto"/>
              </w:rPr>
            </w:pPr>
            <w:r>
              <w:rPr>
                <w:rFonts w:ascii="Arial" w:cs="Arial" w:eastAsia="Arial" w:hAnsi="Arial"/>
                <w:sz w:val="7"/>
                <w:szCs w:val="7"/>
                <w:color w:val="auto"/>
              </w:rPr>
              <w:t>62,650</w:t>
            </w:r>
          </w:p>
        </w:tc>
        <w:tc>
          <w:tcPr>
            <w:tcW w:w="80" w:type="dxa"/>
            <w:vAlign w:val="bottom"/>
          </w:tcPr>
          <w:p>
            <w:pPr>
              <w:spacing w:after="0"/>
              <w:rPr>
                <w:sz w:val="10"/>
                <w:szCs w:val="10"/>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24</w:t>
            </w:r>
          </w:p>
        </w:tc>
      </w:tr>
      <w:tr>
        <w:trPr>
          <w:trHeight w:val="118"/>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1350 Avenue of the Americas</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Rockefeller Center</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562,000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2.3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80.7</w:t>
            </w:r>
          </w:p>
        </w:tc>
        <w:tc>
          <w:tcPr>
            <w:tcW w:w="80" w:type="dxa"/>
            <w:vAlign w:val="bottom"/>
          </w:tcPr>
          <w:p>
            <w:pPr>
              <w:spacing w:after="0"/>
              <w:rPr>
                <w:sz w:val="10"/>
                <w:szCs w:val="10"/>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73.3</w:t>
            </w:r>
          </w:p>
        </w:tc>
        <w:tc>
          <w:tcPr>
            <w:tcW w:w="80" w:type="dxa"/>
            <w:vAlign w:val="bottom"/>
          </w:tcPr>
          <w:p>
            <w:pPr>
              <w:spacing w:after="0"/>
              <w:rPr>
                <w:sz w:val="10"/>
                <w:szCs w:val="10"/>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73.3</w:t>
            </w:r>
          </w:p>
        </w:tc>
        <w:tc>
          <w:tcPr>
            <w:tcW w:w="100" w:type="dxa"/>
            <w:vAlign w:val="bottom"/>
          </w:tcPr>
          <w:p>
            <w:pPr>
              <w:spacing w:after="0"/>
              <w:rPr>
                <w:sz w:val="10"/>
                <w:szCs w:val="10"/>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80.7</w:t>
            </w:r>
          </w:p>
        </w:tc>
        <w:tc>
          <w:tcPr>
            <w:tcW w:w="80" w:type="dxa"/>
            <w:vAlign w:val="bottom"/>
          </w:tcPr>
          <w:p>
            <w:pPr>
              <w:spacing w:after="0"/>
              <w:rPr>
                <w:sz w:val="10"/>
                <w:szCs w:val="10"/>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75.5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75.1</w:t>
            </w:r>
          </w:p>
        </w:tc>
        <w:tc>
          <w:tcPr>
            <w:tcW w:w="8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33,321</w:t>
            </w:r>
          </w:p>
        </w:tc>
        <w:tc>
          <w:tcPr>
            <w:tcW w:w="520" w:type="dxa"/>
            <w:vAlign w:val="bottom"/>
          </w:tcPr>
          <w:p>
            <w:pPr>
              <w:jc w:val="center"/>
              <w:spacing w:after="0"/>
              <w:rPr>
                <w:sz w:val="20"/>
                <w:szCs w:val="20"/>
                <w:color w:val="auto"/>
              </w:rPr>
            </w:pPr>
            <w:r>
              <w:rPr>
                <w:rFonts w:ascii="Arial" w:cs="Arial" w:eastAsia="Arial" w:hAnsi="Arial"/>
                <w:sz w:val="7"/>
                <w:szCs w:val="7"/>
                <w:color w:val="auto"/>
              </w:rPr>
              <w:t>33,321</w:t>
            </w:r>
          </w:p>
        </w:tc>
        <w:tc>
          <w:tcPr>
            <w:tcW w:w="80" w:type="dxa"/>
            <w:vAlign w:val="bottom"/>
          </w:tcPr>
          <w:p>
            <w:pPr>
              <w:spacing w:after="0"/>
              <w:rPr>
                <w:sz w:val="10"/>
                <w:szCs w:val="10"/>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42</w:t>
            </w: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7"/>
                <w:szCs w:val="7"/>
                <w:b w:val="1"/>
                <w:bCs w:val="1"/>
                <w:color w:val="auto"/>
              </w:rPr>
              <w:t>Added to Same Store in</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97"/>
        </w:trPr>
        <w:tc>
          <w:tcPr>
            <w:tcW w:w="380" w:type="dxa"/>
            <w:vAlign w:val="bottom"/>
            <w:gridSpan w:val="2"/>
          </w:tcPr>
          <w:p>
            <w:pPr>
              <w:ind w:left="20"/>
              <w:spacing w:after="0"/>
              <w:rPr>
                <w:sz w:val="20"/>
                <w:szCs w:val="20"/>
                <w:color w:val="auto"/>
              </w:rPr>
            </w:pPr>
            <w:r>
              <w:rPr>
                <w:rFonts w:ascii="Arial" w:cs="Arial" w:eastAsia="Arial" w:hAnsi="Arial"/>
                <w:sz w:val="7"/>
                <w:szCs w:val="7"/>
                <w:b w:val="1"/>
                <w:bCs w:val="1"/>
                <w:color w:val="auto"/>
              </w:rPr>
              <w:t>2026</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12"/>
        </w:trPr>
        <w:tc>
          <w:tcPr>
            <w:tcW w:w="140" w:type="dxa"/>
            <w:vAlign w:val="bottom"/>
          </w:tcPr>
          <w:p>
            <w:pPr>
              <w:ind w:left="20"/>
              <w:spacing w:after="0"/>
              <w:rPr>
                <w:sz w:val="20"/>
                <w:szCs w:val="20"/>
                <w:color w:val="auto"/>
              </w:rPr>
            </w:pPr>
            <w:r>
              <w:rPr>
                <w:rFonts w:ascii="Arial" w:cs="Arial" w:eastAsia="Arial" w:hAnsi="Arial"/>
                <w:sz w:val="7"/>
                <w:szCs w:val="7"/>
                <w:color w:val="auto"/>
                <w:w w:val="85"/>
              </w:rPr>
              <w:t>500</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Park Avenue</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201,411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0.9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90.7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90.7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90.7</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90.7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90.7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90.7</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17,119</w:t>
            </w:r>
          </w:p>
        </w:tc>
        <w:tc>
          <w:tcPr>
            <w:tcW w:w="520" w:type="dxa"/>
            <w:vAlign w:val="bottom"/>
          </w:tcPr>
          <w:p>
            <w:pPr>
              <w:jc w:val="center"/>
              <w:spacing w:after="0"/>
              <w:rPr>
                <w:sz w:val="20"/>
                <w:szCs w:val="20"/>
                <w:color w:val="auto"/>
              </w:rPr>
            </w:pPr>
            <w:r>
              <w:rPr>
                <w:rFonts w:ascii="Arial" w:cs="Arial" w:eastAsia="Arial" w:hAnsi="Arial"/>
                <w:sz w:val="7"/>
                <w:szCs w:val="7"/>
                <w:color w:val="auto"/>
              </w:rPr>
              <w:t>17,119</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12</w:t>
            </w:r>
          </w:p>
        </w:tc>
      </w:tr>
      <w:tr>
        <w:trPr>
          <w:trHeight w:val="47"/>
        </w:trPr>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95"/>
        </w:trPr>
        <w:tc>
          <w:tcPr>
            <w:tcW w:w="140" w:type="dxa"/>
            <w:vAlign w:val="bottom"/>
          </w:tcPr>
          <w:p>
            <w:pPr>
              <w:spacing w:after="0"/>
              <w:rPr>
                <w:sz w:val="8"/>
                <w:szCs w:val="8"/>
                <w:color w:val="auto"/>
              </w:rPr>
            </w:pPr>
          </w:p>
        </w:tc>
        <w:tc>
          <w:tcPr>
            <w:tcW w:w="1320" w:type="dxa"/>
            <w:vAlign w:val="bottom"/>
            <w:gridSpan w:val="5"/>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9,480,852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39.6 %</w:t>
            </w:r>
          </w:p>
        </w:tc>
        <w:tc>
          <w:tcPr>
            <w:tcW w:w="10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88.6 %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84.7 %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83.3 %</w:t>
            </w:r>
          </w:p>
        </w:tc>
        <w:tc>
          <w:tcPr>
            <w:tcW w:w="10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87.9 %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84.2 %</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82.1 %</w:t>
            </w:r>
          </w:p>
        </w:tc>
        <w:tc>
          <w:tcPr>
            <w:tcW w:w="8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rPr>
              <w:t>$596,094</w:t>
            </w:r>
          </w:p>
        </w:tc>
        <w:tc>
          <w:tcPr>
            <w:tcW w:w="520" w:type="dxa"/>
            <w:vAlign w:val="bottom"/>
          </w:tcPr>
          <w:p>
            <w:pPr>
              <w:jc w:val="center"/>
              <w:spacing w:after="0"/>
              <w:rPr>
                <w:sz w:val="20"/>
                <w:szCs w:val="20"/>
                <w:color w:val="auto"/>
              </w:rPr>
            </w:pPr>
            <w:r>
              <w:rPr>
                <w:rFonts w:ascii="Arial" w:cs="Arial" w:eastAsia="Arial" w:hAnsi="Arial"/>
                <w:sz w:val="7"/>
                <w:szCs w:val="7"/>
                <w:b w:val="1"/>
                <w:bCs w:val="1"/>
                <w:color w:val="auto"/>
              </w:rPr>
              <w:t>$596,094</w:t>
            </w:r>
          </w:p>
        </w:tc>
        <w:tc>
          <w:tcPr>
            <w:tcW w:w="80" w:type="dxa"/>
            <w:vAlign w:val="bottom"/>
          </w:tcPr>
          <w:p>
            <w:pPr>
              <w:spacing w:after="0"/>
              <w:rPr>
                <w:sz w:val="8"/>
                <w:szCs w:val="8"/>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b w:val="1"/>
                <w:bCs w:val="1"/>
                <w:color w:val="auto"/>
              </w:rPr>
              <w:t>581</w:t>
            </w:r>
          </w:p>
        </w:tc>
      </w:tr>
      <w:tr>
        <w:trPr>
          <w:trHeight w:val="149"/>
        </w:trPr>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"Non Same Store"</w:t>
            </w: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70"/>
        </w:trPr>
        <w:tc>
          <w:tcPr>
            <w:tcW w:w="1000" w:type="dxa"/>
            <w:vAlign w:val="bottom"/>
            <w:gridSpan w:val="3"/>
          </w:tcPr>
          <w:p>
            <w:pPr>
              <w:ind w:left="20"/>
              <w:spacing w:after="0" w:line="71" w:lineRule="exact"/>
              <w:rPr>
                <w:sz w:val="20"/>
                <w:szCs w:val="20"/>
                <w:color w:val="auto"/>
              </w:rPr>
            </w:pPr>
            <w:r>
              <w:rPr>
                <w:rFonts w:ascii="Arial" w:cs="Arial" w:eastAsia="Arial" w:hAnsi="Arial"/>
                <w:sz w:val="7"/>
                <w:szCs w:val="7"/>
                <w:color w:val="auto"/>
              </w:rPr>
              <w:t>65 East 55th Street (Park</w:t>
            </w: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101"/>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Avenue Tower)</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95.0</w:t>
            </w:r>
          </w:p>
        </w:tc>
        <w:tc>
          <w:tcPr>
            <w:tcW w:w="20" w:type="dxa"/>
            <w:vAlign w:val="bottom"/>
          </w:tcPr>
          <w:p>
            <w:pPr>
              <w:spacing w:after="0"/>
              <w:rPr>
                <w:sz w:val="8"/>
                <w:szCs w:val="8"/>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Park Avenue</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622,000</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2.5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96.6</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94.8</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94.8</w:t>
            </w:r>
          </w:p>
        </w:tc>
        <w:tc>
          <w:tcPr>
            <w:tcW w:w="100" w:type="dxa"/>
            <w:vAlign w:val="bottom"/>
          </w:tcPr>
          <w:p>
            <w:pPr>
              <w:spacing w:after="0"/>
              <w:rPr>
                <w:sz w:val="8"/>
                <w:szCs w:val="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7"/>
                <w:szCs w:val="7"/>
                <w:color w:val="auto"/>
              </w:rPr>
              <w:t>N/A</w:t>
            </w:r>
          </w:p>
        </w:tc>
        <w:tc>
          <w:tcPr>
            <w:tcW w:w="680" w:type="dxa"/>
            <w:vAlign w:val="bottom"/>
            <w:gridSpan w:val="3"/>
          </w:tcPr>
          <w:p>
            <w:pPr>
              <w:jc w:val="right"/>
              <w:ind w:right="160"/>
              <w:spacing w:after="0"/>
              <w:rPr>
                <w:sz w:val="20"/>
                <w:szCs w:val="20"/>
                <w:color w:val="auto"/>
              </w:rPr>
            </w:pPr>
            <w:r>
              <w:rPr>
                <w:rFonts w:ascii="Arial" w:cs="Arial" w:eastAsia="Arial" w:hAnsi="Arial"/>
                <w:sz w:val="7"/>
                <w:szCs w:val="7"/>
                <w:color w:val="auto"/>
              </w:rPr>
              <w:t>N/A</w:t>
            </w:r>
          </w:p>
        </w:tc>
        <w:tc>
          <w:tcPr>
            <w:tcW w:w="580" w:type="dxa"/>
            <w:vAlign w:val="bottom"/>
            <w:gridSpan w:val="2"/>
          </w:tcPr>
          <w:p>
            <w:pPr>
              <w:jc w:val="right"/>
              <w:ind w:right="100"/>
              <w:spacing w:after="0"/>
              <w:rPr>
                <w:sz w:val="20"/>
                <w:szCs w:val="20"/>
                <w:color w:val="auto"/>
              </w:rPr>
            </w:pPr>
            <w:r>
              <w:rPr>
                <w:rFonts w:ascii="Arial" w:cs="Arial" w:eastAsia="Arial" w:hAnsi="Arial"/>
                <w:sz w:val="7"/>
                <w:szCs w:val="7"/>
                <w:color w:val="auto"/>
              </w:rPr>
              <w:t>N/A</w:t>
            </w:r>
          </w:p>
        </w:tc>
        <w:tc>
          <w:tcPr>
            <w:tcW w:w="460" w:type="dxa"/>
            <w:vAlign w:val="bottom"/>
          </w:tcPr>
          <w:p>
            <w:pPr>
              <w:jc w:val="center"/>
              <w:spacing w:after="0"/>
              <w:rPr>
                <w:sz w:val="20"/>
                <w:szCs w:val="20"/>
                <w:color w:val="auto"/>
              </w:rPr>
            </w:pPr>
            <w:r>
              <w:rPr>
                <w:rFonts w:ascii="Arial" w:cs="Arial" w:eastAsia="Arial" w:hAnsi="Arial"/>
                <w:sz w:val="7"/>
                <w:szCs w:val="7"/>
                <w:color w:val="auto"/>
              </w:rPr>
              <w:t>$67,425</w:t>
            </w:r>
          </w:p>
        </w:tc>
        <w:tc>
          <w:tcPr>
            <w:tcW w:w="520" w:type="dxa"/>
            <w:vAlign w:val="bottom"/>
          </w:tcPr>
          <w:p>
            <w:pPr>
              <w:jc w:val="center"/>
              <w:spacing w:after="0"/>
              <w:rPr>
                <w:sz w:val="20"/>
                <w:szCs w:val="20"/>
                <w:color w:val="auto"/>
              </w:rPr>
            </w:pPr>
            <w:r>
              <w:rPr>
                <w:rFonts w:ascii="Arial" w:cs="Arial" w:eastAsia="Arial" w:hAnsi="Arial"/>
                <w:sz w:val="7"/>
                <w:szCs w:val="7"/>
                <w:color w:val="auto"/>
              </w:rPr>
              <w:t>$67,425</w:t>
            </w:r>
          </w:p>
        </w:tc>
        <w:tc>
          <w:tcPr>
            <w:tcW w:w="80" w:type="dxa"/>
            <w:vAlign w:val="bottom"/>
          </w:tcPr>
          <w:p>
            <w:pPr>
              <w:spacing w:after="0"/>
              <w:rPr>
                <w:sz w:val="8"/>
                <w:szCs w:val="8"/>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29</w:t>
            </w:r>
          </w:p>
        </w:tc>
      </w:tr>
      <w:tr>
        <w:trPr>
          <w:trHeight w:val="47"/>
        </w:trPr>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95"/>
        </w:trPr>
        <w:tc>
          <w:tcPr>
            <w:tcW w:w="140" w:type="dxa"/>
            <w:vAlign w:val="bottom"/>
          </w:tcPr>
          <w:p>
            <w:pPr>
              <w:spacing w:after="0"/>
              <w:rPr>
                <w:sz w:val="8"/>
                <w:szCs w:val="8"/>
                <w:color w:val="auto"/>
              </w:rPr>
            </w:pPr>
          </w:p>
        </w:tc>
        <w:tc>
          <w:tcPr>
            <w:tcW w:w="1320" w:type="dxa"/>
            <w:vAlign w:val="bottom"/>
            <w:gridSpan w:val="5"/>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622,000</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2.5 %</w:t>
            </w:r>
          </w:p>
        </w:tc>
        <w:tc>
          <w:tcPr>
            <w:tcW w:w="10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96.6 %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94.8 %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94.8 %</w:t>
            </w:r>
          </w:p>
        </w:tc>
        <w:tc>
          <w:tcPr>
            <w:tcW w:w="100" w:type="dxa"/>
            <w:vAlign w:val="bottom"/>
          </w:tcPr>
          <w:p>
            <w:pPr>
              <w:spacing w:after="0"/>
              <w:rPr>
                <w:sz w:val="8"/>
                <w:szCs w:val="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7"/>
                <w:szCs w:val="7"/>
                <w:b w:val="1"/>
                <w:bCs w:val="1"/>
                <w:color w:val="auto"/>
              </w:rPr>
              <w:t>— %</w:t>
            </w:r>
          </w:p>
        </w:tc>
        <w:tc>
          <w:tcPr>
            <w:tcW w:w="68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 %</w:t>
            </w:r>
          </w:p>
        </w:tc>
        <w:tc>
          <w:tcPr>
            <w:tcW w:w="580" w:type="dxa"/>
            <w:vAlign w:val="bottom"/>
            <w:gridSpan w:val="2"/>
          </w:tcPr>
          <w:p>
            <w:pPr>
              <w:jc w:val="right"/>
              <w:ind w:right="100"/>
              <w:spacing w:after="0"/>
              <w:rPr>
                <w:sz w:val="20"/>
                <w:szCs w:val="20"/>
                <w:color w:val="auto"/>
              </w:rPr>
            </w:pPr>
            <w:r>
              <w:rPr>
                <w:rFonts w:ascii="Arial" w:cs="Arial" w:eastAsia="Arial" w:hAnsi="Arial"/>
                <w:sz w:val="7"/>
                <w:szCs w:val="7"/>
                <w:b w:val="1"/>
                <w:bCs w:val="1"/>
                <w:color w:val="auto"/>
              </w:rPr>
              <w:t>— %</w:t>
            </w: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rPr>
              <w:t>$67,425</w:t>
            </w:r>
          </w:p>
        </w:tc>
        <w:tc>
          <w:tcPr>
            <w:tcW w:w="520" w:type="dxa"/>
            <w:vAlign w:val="bottom"/>
          </w:tcPr>
          <w:p>
            <w:pPr>
              <w:jc w:val="center"/>
              <w:spacing w:after="0"/>
              <w:rPr>
                <w:sz w:val="20"/>
                <w:szCs w:val="20"/>
                <w:color w:val="auto"/>
              </w:rPr>
            </w:pPr>
            <w:r>
              <w:rPr>
                <w:rFonts w:ascii="Arial" w:cs="Arial" w:eastAsia="Arial" w:hAnsi="Arial"/>
                <w:sz w:val="7"/>
                <w:szCs w:val="7"/>
                <w:b w:val="1"/>
                <w:bCs w:val="1"/>
                <w:color w:val="auto"/>
              </w:rPr>
              <w:t>$67,425</w:t>
            </w:r>
          </w:p>
        </w:tc>
        <w:tc>
          <w:tcPr>
            <w:tcW w:w="80" w:type="dxa"/>
            <w:vAlign w:val="bottom"/>
          </w:tcPr>
          <w:p>
            <w:pPr>
              <w:spacing w:after="0"/>
              <w:rPr>
                <w:sz w:val="8"/>
                <w:szCs w:val="8"/>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b w:val="1"/>
                <w:bCs w:val="1"/>
                <w:color w:val="auto"/>
              </w:rPr>
              <w:t>29</w:t>
            </w:r>
          </w:p>
        </w:tc>
      </w:tr>
      <w:tr>
        <w:trPr>
          <w:trHeight w:val="148"/>
        </w:trPr>
        <w:tc>
          <w:tcPr>
            <w:tcW w:w="2220" w:type="dxa"/>
            <w:vAlign w:val="bottom"/>
            <w:gridSpan w:val="9"/>
          </w:tcPr>
          <w:p>
            <w:pPr>
              <w:ind w:left="20"/>
              <w:spacing w:after="0"/>
              <w:rPr>
                <w:sz w:val="20"/>
                <w:szCs w:val="20"/>
                <w:color w:val="auto"/>
              </w:rPr>
            </w:pPr>
            <w:r>
              <w:rPr>
                <w:rFonts w:ascii="Arial" w:cs="Arial" w:eastAsia="Arial" w:hAnsi="Arial"/>
                <w:sz w:val="7"/>
                <w:szCs w:val="7"/>
                <w:b w:val="1"/>
                <w:bCs w:val="1"/>
                <w:color w:val="auto"/>
              </w:rPr>
              <w:t>Total / Weighted Average Consolidated Properties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10,102,852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42.1 %</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89.1 %</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85.3 %</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84.0 %</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87.9 %</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84.2 %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82.1 %</w:t>
            </w:r>
          </w:p>
        </w:tc>
        <w:tc>
          <w:tcPr>
            <w:tcW w:w="8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rPr>
              <w:t>$663,519</w:t>
            </w:r>
          </w:p>
        </w:tc>
        <w:tc>
          <w:tcPr>
            <w:tcW w:w="520" w:type="dxa"/>
            <w:vAlign w:val="bottom"/>
          </w:tcPr>
          <w:p>
            <w:pPr>
              <w:jc w:val="center"/>
              <w:spacing w:after="0"/>
              <w:rPr>
                <w:sz w:val="20"/>
                <w:szCs w:val="20"/>
                <w:color w:val="auto"/>
              </w:rPr>
            </w:pPr>
            <w:r>
              <w:rPr>
                <w:rFonts w:ascii="Arial" w:cs="Arial" w:eastAsia="Arial" w:hAnsi="Arial"/>
                <w:sz w:val="7"/>
                <w:szCs w:val="7"/>
                <w:b w:val="1"/>
                <w:bCs w:val="1"/>
                <w:color w:val="auto"/>
              </w:rPr>
              <w:t>$663,519</w:t>
            </w:r>
          </w:p>
        </w:tc>
        <w:tc>
          <w:tcPr>
            <w:tcW w:w="80" w:type="dxa"/>
            <w:vAlign w:val="bottom"/>
          </w:tcPr>
          <w:p>
            <w:pPr>
              <w:spacing w:after="0"/>
              <w:rPr>
                <w:sz w:val="12"/>
                <w:szCs w:val="12"/>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b w:val="1"/>
                <w:bCs w:val="1"/>
                <w:color w:val="auto"/>
              </w:rPr>
              <w:t>610</w:t>
            </w:r>
          </w:p>
        </w:tc>
      </w:tr>
      <w:tr>
        <w:trPr>
          <w:trHeight w:val="43"/>
        </w:trPr>
        <w:tc>
          <w:tcPr>
            <w:tcW w:w="3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24"/>
        </w:trPr>
        <w:tc>
          <w:tcPr>
            <w:tcW w:w="1460" w:type="dxa"/>
            <w:vAlign w:val="bottom"/>
            <w:gridSpan w:val="6"/>
          </w:tcPr>
          <w:p>
            <w:pPr>
              <w:ind w:left="20"/>
              <w:spacing w:after="0"/>
              <w:rPr>
                <w:sz w:val="20"/>
                <w:szCs w:val="20"/>
                <w:color w:val="auto"/>
              </w:rPr>
            </w:pPr>
            <w:r>
              <w:rPr>
                <w:rFonts w:ascii="Arial" w:cs="Arial" w:eastAsia="Arial" w:hAnsi="Arial"/>
                <w:sz w:val="7"/>
                <w:szCs w:val="7"/>
                <w:b w:val="1"/>
                <w:bCs w:val="1"/>
                <w:color w:val="auto"/>
              </w:rPr>
              <w:t>UNCONSOLIDATED PROPERTIES</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0"/>
        </w:trPr>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"Same Store"</w:t>
            </w: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92"/>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One Vanderbilt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55.0</w:t>
            </w:r>
          </w:p>
        </w:tc>
        <w:tc>
          <w:tcPr>
            <w:tcW w:w="20" w:type="dxa"/>
            <w:vAlign w:val="bottom"/>
          </w:tcPr>
          <w:p>
            <w:pPr>
              <w:spacing w:after="0"/>
              <w:rPr>
                <w:sz w:val="8"/>
                <w:szCs w:val="8"/>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1,657,198</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6.9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$291,204</w:t>
            </w:r>
          </w:p>
        </w:tc>
        <w:tc>
          <w:tcPr>
            <w:tcW w:w="520" w:type="dxa"/>
            <w:vAlign w:val="bottom"/>
          </w:tcPr>
          <w:p>
            <w:pPr>
              <w:jc w:val="center"/>
              <w:spacing w:after="0"/>
              <w:rPr>
                <w:sz w:val="20"/>
                <w:szCs w:val="20"/>
                <w:color w:val="auto"/>
              </w:rPr>
            </w:pPr>
            <w:r>
              <w:rPr>
                <w:rFonts w:ascii="Arial" w:cs="Arial" w:eastAsia="Arial" w:hAnsi="Arial"/>
                <w:sz w:val="7"/>
                <w:szCs w:val="7"/>
                <w:color w:val="auto"/>
              </w:rPr>
              <w:t>$160,162</w:t>
            </w:r>
          </w:p>
        </w:tc>
        <w:tc>
          <w:tcPr>
            <w:tcW w:w="80" w:type="dxa"/>
            <w:vAlign w:val="bottom"/>
          </w:tcPr>
          <w:p>
            <w:pPr>
              <w:spacing w:after="0"/>
              <w:rPr>
                <w:sz w:val="8"/>
                <w:szCs w:val="8"/>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40</w:t>
            </w:r>
          </w:p>
        </w:tc>
      </w:tr>
      <w:tr>
        <w:trPr>
          <w:trHeight w:val="108"/>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11 Madison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60.0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Park Avenue South</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2,314,000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9.7</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96.5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87.9</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93.0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93.0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87.9</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180,954</w:t>
            </w:r>
          </w:p>
        </w:tc>
        <w:tc>
          <w:tcPr>
            <w:tcW w:w="520" w:type="dxa"/>
            <w:vAlign w:val="bottom"/>
          </w:tcPr>
          <w:p>
            <w:pPr>
              <w:jc w:val="center"/>
              <w:spacing w:after="0"/>
              <w:rPr>
                <w:sz w:val="20"/>
                <w:szCs w:val="20"/>
                <w:color w:val="auto"/>
              </w:rPr>
            </w:pPr>
            <w:r>
              <w:rPr>
                <w:rFonts w:ascii="Arial" w:cs="Arial" w:eastAsia="Arial" w:hAnsi="Arial"/>
                <w:sz w:val="7"/>
                <w:szCs w:val="7"/>
                <w:color w:val="auto"/>
              </w:rPr>
              <w:t>108,572</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9</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100</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50.8</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Grand Central South</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834,000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3.5</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99.4</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96.8</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73.0</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97.1</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96.8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67.2</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63,019</w:t>
            </w:r>
          </w:p>
        </w:tc>
        <w:tc>
          <w:tcPr>
            <w:tcW w:w="520" w:type="dxa"/>
            <w:vAlign w:val="bottom"/>
          </w:tcPr>
          <w:p>
            <w:pPr>
              <w:jc w:val="center"/>
              <w:spacing w:after="0"/>
              <w:rPr>
                <w:sz w:val="20"/>
                <w:szCs w:val="20"/>
                <w:color w:val="auto"/>
              </w:rPr>
            </w:pPr>
            <w:r>
              <w:rPr>
                <w:rFonts w:ascii="Arial" w:cs="Arial" w:eastAsia="Arial" w:hAnsi="Arial"/>
                <w:sz w:val="7"/>
                <w:szCs w:val="7"/>
                <w:color w:val="auto"/>
              </w:rPr>
              <w:t>32,014</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38</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220</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51.0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1,135,000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4.7</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94.0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93.8</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92.9</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94.0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93.5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93.1</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72,745</w:t>
            </w:r>
          </w:p>
        </w:tc>
        <w:tc>
          <w:tcPr>
            <w:tcW w:w="520" w:type="dxa"/>
            <w:vAlign w:val="bottom"/>
          </w:tcPr>
          <w:p>
            <w:pPr>
              <w:jc w:val="center"/>
              <w:spacing w:after="0"/>
              <w:rPr>
                <w:sz w:val="20"/>
                <w:szCs w:val="20"/>
                <w:color w:val="auto"/>
              </w:rPr>
            </w:pPr>
            <w:r>
              <w:rPr>
                <w:rFonts w:ascii="Arial" w:cs="Arial" w:eastAsia="Arial" w:hAnsi="Arial"/>
                <w:sz w:val="7"/>
                <w:szCs w:val="7"/>
                <w:color w:val="auto"/>
              </w:rPr>
              <w:t>37,100</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34</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245</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50.1</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Park Avenue</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1,782,793</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7.4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97.7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86.5</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94.8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86.4</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186,958</w:t>
            </w:r>
          </w:p>
        </w:tc>
        <w:tc>
          <w:tcPr>
            <w:tcW w:w="520" w:type="dxa"/>
            <w:vAlign w:val="bottom"/>
          </w:tcPr>
          <w:p>
            <w:pPr>
              <w:jc w:val="center"/>
              <w:spacing w:after="0"/>
              <w:rPr>
                <w:sz w:val="20"/>
                <w:szCs w:val="20"/>
                <w:color w:val="auto"/>
              </w:rPr>
            </w:pPr>
            <w:r>
              <w:rPr>
                <w:rFonts w:ascii="Arial" w:cs="Arial" w:eastAsia="Arial" w:hAnsi="Arial"/>
                <w:sz w:val="7"/>
                <w:szCs w:val="7"/>
                <w:color w:val="auto"/>
              </w:rPr>
              <w:t>93,666</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16</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280</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50.0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Park Avenue</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1,219,158</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5.1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96.6</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94.0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91.8</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94.2</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90.5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89.7</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134,985</w:t>
            </w:r>
          </w:p>
        </w:tc>
        <w:tc>
          <w:tcPr>
            <w:tcW w:w="520" w:type="dxa"/>
            <w:vAlign w:val="bottom"/>
          </w:tcPr>
          <w:p>
            <w:pPr>
              <w:jc w:val="center"/>
              <w:spacing w:after="0"/>
              <w:rPr>
                <w:sz w:val="20"/>
                <w:szCs w:val="20"/>
                <w:color w:val="auto"/>
              </w:rPr>
            </w:pPr>
            <w:r>
              <w:rPr>
                <w:rFonts w:ascii="Arial" w:cs="Arial" w:eastAsia="Arial" w:hAnsi="Arial"/>
                <w:sz w:val="7"/>
                <w:szCs w:val="7"/>
                <w:color w:val="auto"/>
              </w:rPr>
              <w:t>67,492</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37</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450</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25.1</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Park Avenue</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337,000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1.4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84.6</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84.6</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84.6</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93.9</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90.7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90.7</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36,828</w:t>
            </w:r>
          </w:p>
        </w:tc>
        <w:tc>
          <w:tcPr>
            <w:tcW w:w="520" w:type="dxa"/>
            <w:vAlign w:val="bottom"/>
          </w:tcPr>
          <w:p>
            <w:pPr>
              <w:jc w:val="center"/>
              <w:spacing w:after="0"/>
              <w:rPr>
                <w:sz w:val="20"/>
                <w:szCs w:val="20"/>
                <w:color w:val="auto"/>
              </w:rPr>
            </w:pPr>
            <w:r>
              <w:rPr>
                <w:rFonts w:ascii="Arial" w:cs="Arial" w:eastAsia="Arial" w:hAnsi="Arial"/>
                <w:sz w:val="7"/>
                <w:szCs w:val="7"/>
                <w:color w:val="auto"/>
              </w:rPr>
              <w:t>9,244</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26</w:t>
            </w:r>
          </w:p>
        </w:tc>
      </w:tr>
      <w:tr>
        <w:trPr>
          <w:trHeight w:val="108"/>
        </w:trPr>
        <w:tc>
          <w:tcPr>
            <w:tcW w:w="140" w:type="dxa"/>
            <w:vAlign w:val="bottom"/>
          </w:tcPr>
          <w:p>
            <w:pPr>
              <w:ind w:left="20"/>
              <w:spacing w:after="0"/>
              <w:rPr>
                <w:sz w:val="20"/>
                <w:szCs w:val="20"/>
                <w:color w:val="auto"/>
              </w:rPr>
            </w:pPr>
            <w:r>
              <w:rPr>
                <w:rFonts w:ascii="Arial" w:cs="Arial" w:eastAsia="Arial" w:hAnsi="Arial"/>
                <w:sz w:val="7"/>
                <w:szCs w:val="7"/>
                <w:color w:val="auto"/>
                <w:w w:val="85"/>
              </w:rPr>
              <w:t>919</w:t>
            </w:r>
          </w:p>
        </w:tc>
        <w:tc>
          <w:tcPr>
            <w:tcW w:w="86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51.0</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Grand Central North</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1,454,000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6.1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99.8</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84.3</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99.8</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84.2</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101,218</w:t>
            </w:r>
          </w:p>
        </w:tc>
        <w:tc>
          <w:tcPr>
            <w:tcW w:w="520" w:type="dxa"/>
            <w:vAlign w:val="bottom"/>
          </w:tcPr>
          <w:p>
            <w:pPr>
              <w:jc w:val="center"/>
              <w:spacing w:after="0"/>
              <w:rPr>
                <w:sz w:val="20"/>
                <w:szCs w:val="20"/>
                <w:color w:val="auto"/>
              </w:rPr>
            </w:pPr>
            <w:r>
              <w:rPr>
                <w:rFonts w:ascii="Arial" w:cs="Arial" w:eastAsia="Arial" w:hAnsi="Arial"/>
                <w:sz w:val="7"/>
                <w:szCs w:val="7"/>
                <w:color w:val="auto"/>
              </w:rPr>
              <w:t>51,621</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11</w:t>
            </w:r>
          </w:p>
        </w:tc>
      </w:tr>
      <w:tr>
        <w:trPr>
          <w:trHeight w:val="108"/>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1515 Broadway</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56.9</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Times Square</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1,750,000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7.3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99.7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99.7</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99.7</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99.7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99.7</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137,198</w:t>
            </w:r>
          </w:p>
        </w:tc>
        <w:tc>
          <w:tcPr>
            <w:tcW w:w="520" w:type="dxa"/>
            <w:vAlign w:val="bottom"/>
          </w:tcPr>
          <w:p>
            <w:pPr>
              <w:jc w:val="center"/>
              <w:spacing w:after="0"/>
              <w:rPr>
                <w:sz w:val="20"/>
                <w:szCs w:val="20"/>
                <w:color w:val="auto"/>
              </w:rPr>
            </w:pPr>
            <w:r>
              <w:rPr>
                <w:rFonts w:ascii="Arial" w:cs="Arial" w:eastAsia="Arial" w:hAnsi="Arial"/>
                <w:sz w:val="7"/>
                <w:szCs w:val="7"/>
                <w:color w:val="auto"/>
              </w:rPr>
              <w:t>78,067</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7</w:t>
            </w:r>
          </w:p>
        </w:tc>
      </w:tr>
      <w:tr>
        <w:trPr>
          <w:trHeight w:val="126"/>
        </w:trPr>
        <w:tc>
          <w:tcPr>
            <w:tcW w:w="1000" w:type="dxa"/>
            <w:vAlign w:val="bottom"/>
            <w:gridSpan w:val="3"/>
          </w:tcPr>
          <w:p>
            <w:pPr>
              <w:ind w:left="20"/>
              <w:spacing w:after="0"/>
              <w:rPr>
                <w:sz w:val="20"/>
                <w:szCs w:val="20"/>
                <w:color w:val="auto"/>
              </w:rPr>
            </w:pPr>
            <w:r>
              <w:rPr>
                <w:rFonts w:ascii="Arial" w:cs="Arial" w:eastAsia="Arial" w:hAnsi="Arial"/>
                <w:sz w:val="7"/>
                <w:szCs w:val="7"/>
                <w:b w:val="1"/>
                <w:bCs w:val="1"/>
                <w:color w:val="auto"/>
              </w:rPr>
              <w:t>Added to Same Store in</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97"/>
        </w:trPr>
        <w:tc>
          <w:tcPr>
            <w:tcW w:w="380" w:type="dxa"/>
            <w:vAlign w:val="bottom"/>
            <w:gridSpan w:val="2"/>
          </w:tcPr>
          <w:p>
            <w:pPr>
              <w:ind w:left="20"/>
              <w:spacing w:after="0"/>
              <w:rPr>
                <w:sz w:val="20"/>
                <w:szCs w:val="20"/>
                <w:color w:val="auto"/>
              </w:rPr>
            </w:pPr>
            <w:r>
              <w:rPr>
                <w:rFonts w:ascii="Arial" w:cs="Arial" w:eastAsia="Arial" w:hAnsi="Arial"/>
                <w:sz w:val="7"/>
                <w:szCs w:val="7"/>
                <w:b w:val="1"/>
                <w:bCs w:val="1"/>
                <w:color w:val="auto"/>
              </w:rPr>
              <w:t>2026</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12"/>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One Madison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25.5</w:t>
            </w:r>
          </w:p>
        </w:tc>
        <w:tc>
          <w:tcPr>
            <w:tcW w:w="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7"/>
                <w:szCs w:val="7"/>
                <w:color w:val="auto"/>
              </w:rPr>
              <w:t>Park Avenue South</w:t>
            </w:r>
          </w:p>
        </w:tc>
        <w:tc>
          <w:tcPr>
            <w:tcW w:w="72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1,385,484</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5.8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98.9</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85.5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64.7</w:t>
            </w:r>
          </w:p>
        </w:tc>
        <w:tc>
          <w:tcPr>
            <w:tcW w:w="1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color w:val="auto"/>
              </w:rPr>
              <w:t>93.3</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79.9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64.7</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7"/>
                <w:szCs w:val="7"/>
                <w:color w:val="auto"/>
              </w:rPr>
              <w:t>139,675</w:t>
            </w:r>
          </w:p>
        </w:tc>
        <w:tc>
          <w:tcPr>
            <w:tcW w:w="520" w:type="dxa"/>
            <w:vAlign w:val="bottom"/>
          </w:tcPr>
          <w:p>
            <w:pPr>
              <w:jc w:val="center"/>
              <w:spacing w:after="0"/>
              <w:rPr>
                <w:sz w:val="20"/>
                <w:szCs w:val="20"/>
                <w:color w:val="auto"/>
              </w:rPr>
            </w:pPr>
            <w:r>
              <w:rPr>
                <w:rFonts w:ascii="Arial" w:cs="Arial" w:eastAsia="Arial" w:hAnsi="Arial"/>
                <w:sz w:val="7"/>
                <w:szCs w:val="7"/>
                <w:color w:val="auto"/>
              </w:rPr>
              <w:t>35,617</w:t>
            </w:r>
          </w:p>
        </w:tc>
        <w:tc>
          <w:tcPr>
            <w:tcW w:w="80" w:type="dxa"/>
            <w:vAlign w:val="bottom"/>
          </w:tcPr>
          <w:p>
            <w:pPr>
              <w:spacing w:after="0"/>
              <w:rPr>
                <w:sz w:val="9"/>
                <w:szCs w:val="9"/>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color w:val="auto"/>
              </w:rPr>
              <w:t>15</w:t>
            </w:r>
          </w:p>
        </w:tc>
      </w:tr>
      <w:tr>
        <w:trPr>
          <w:trHeight w:val="47"/>
        </w:trPr>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95"/>
        </w:trPr>
        <w:tc>
          <w:tcPr>
            <w:tcW w:w="140" w:type="dxa"/>
            <w:vAlign w:val="bottom"/>
          </w:tcPr>
          <w:p>
            <w:pPr>
              <w:spacing w:after="0"/>
              <w:rPr>
                <w:sz w:val="8"/>
                <w:szCs w:val="8"/>
                <w:color w:val="auto"/>
              </w:rPr>
            </w:pPr>
          </w:p>
        </w:tc>
        <w:tc>
          <w:tcPr>
            <w:tcW w:w="1320" w:type="dxa"/>
            <w:vAlign w:val="bottom"/>
            <w:gridSpan w:val="5"/>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13,868,633</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57.9 %</w:t>
            </w:r>
          </w:p>
        </w:tc>
        <w:tc>
          <w:tcPr>
            <w:tcW w:w="10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98.3 %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95.6 %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87.7 %</w:t>
            </w:r>
          </w:p>
        </w:tc>
        <w:tc>
          <w:tcPr>
            <w:tcW w:w="10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96.5 %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93.9 %</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87.3 %</w:t>
            </w:r>
          </w:p>
        </w:tc>
        <w:tc>
          <w:tcPr>
            <w:tcW w:w="8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rPr>
              <w:t>$1,344,784</w:t>
            </w:r>
          </w:p>
        </w:tc>
        <w:tc>
          <w:tcPr>
            <w:tcW w:w="520" w:type="dxa"/>
            <w:vAlign w:val="bottom"/>
          </w:tcPr>
          <w:p>
            <w:pPr>
              <w:jc w:val="center"/>
              <w:spacing w:after="0"/>
              <w:rPr>
                <w:sz w:val="20"/>
                <w:szCs w:val="20"/>
                <w:color w:val="auto"/>
              </w:rPr>
            </w:pPr>
            <w:r>
              <w:rPr>
                <w:rFonts w:ascii="Arial" w:cs="Arial" w:eastAsia="Arial" w:hAnsi="Arial"/>
                <w:sz w:val="7"/>
                <w:szCs w:val="7"/>
                <w:b w:val="1"/>
                <w:bCs w:val="1"/>
                <w:color w:val="auto"/>
              </w:rPr>
              <w:t>$673,555</w:t>
            </w:r>
          </w:p>
        </w:tc>
        <w:tc>
          <w:tcPr>
            <w:tcW w:w="80" w:type="dxa"/>
            <w:vAlign w:val="bottom"/>
          </w:tcPr>
          <w:p>
            <w:pPr>
              <w:spacing w:after="0"/>
              <w:rPr>
                <w:sz w:val="8"/>
                <w:szCs w:val="8"/>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b w:val="1"/>
                <w:bCs w:val="1"/>
                <w:color w:val="auto"/>
              </w:rPr>
              <w:t>233</w:t>
            </w:r>
          </w:p>
        </w:tc>
      </w:tr>
      <w:tr>
        <w:trPr>
          <w:trHeight w:val="256"/>
        </w:trPr>
        <w:tc>
          <w:tcPr>
            <w:tcW w:w="2220" w:type="dxa"/>
            <w:vAlign w:val="bottom"/>
            <w:gridSpan w:val="9"/>
          </w:tcPr>
          <w:p>
            <w:pPr>
              <w:ind w:left="20"/>
              <w:spacing w:after="0"/>
              <w:rPr>
                <w:sz w:val="20"/>
                <w:szCs w:val="20"/>
                <w:color w:val="auto"/>
              </w:rPr>
            </w:pPr>
            <w:r>
              <w:rPr>
                <w:rFonts w:ascii="Arial" w:cs="Arial" w:eastAsia="Arial" w:hAnsi="Arial"/>
                <w:sz w:val="7"/>
                <w:szCs w:val="7"/>
                <w:b w:val="1"/>
                <w:bCs w:val="1"/>
                <w:color w:val="auto"/>
              </w:rPr>
              <w:t>Total / Weighted Average Unconsolidated Properties</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13,868,633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57.9 %</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98.3 %</w:t>
            </w: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95.6 %</w:t>
            </w: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87.7 %</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96.5 %</w:t>
            </w: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93.9 %</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87.3 %</w:t>
            </w:r>
          </w:p>
        </w:tc>
        <w:tc>
          <w:tcPr>
            <w:tcW w:w="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rPr>
              <w:t>$1,344,784</w:t>
            </w:r>
          </w:p>
        </w:tc>
        <w:tc>
          <w:tcPr>
            <w:tcW w:w="520" w:type="dxa"/>
            <w:vAlign w:val="bottom"/>
          </w:tcPr>
          <w:p>
            <w:pPr>
              <w:jc w:val="center"/>
              <w:spacing w:after="0"/>
              <w:rPr>
                <w:sz w:val="20"/>
                <w:szCs w:val="20"/>
                <w:color w:val="auto"/>
              </w:rPr>
            </w:pPr>
            <w:r>
              <w:rPr>
                <w:rFonts w:ascii="Arial" w:cs="Arial" w:eastAsia="Arial" w:hAnsi="Arial"/>
                <w:sz w:val="7"/>
                <w:szCs w:val="7"/>
                <w:b w:val="1"/>
                <w:bCs w:val="1"/>
                <w:color w:val="auto"/>
              </w:rPr>
              <w:t>$673,555</w:t>
            </w:r>
          </w:p>
        </w:tc>
        <w:tc>
          <w:tcPr>
            <w:tcW w:w="80" w:type="dxa"/>
            <w:vAlign w:val="bottom"/>
          </w:tcPr>
          <w:p>
            <w:pPr>
              <w:spacing w:after="0"/>
              <w:rPr>
                <w:sz w:val="22"/>
                <w:szCs w:val="22"/>
                <w:color w:val="auto"/>
              </w:rPr>
            </w:pPr>
          </w:p>
        </w:tc>
        <w:tc>
          <w:tcPr>
            <w:tcW w:w="400" w:type="dxa"/>
            <w:vAlign w:val="bottom"/>
          </w:tcPr>
          <w:p>
            <w:pPr>
              <w:jc w:val="right"/>
              <w:ind w:right="24"/>
              <w:spacing w:after="0"/>
              <w:rPr>
                <w:sz w:val="20"/>
                <w:szCs w:val="20"/>
                <w:color w:val="auto"/>
              </w:rPr>
            </w:pPr>
            <w:r>
              <w:rPr>
                <w:rFonts w:ascii="Arial" w:cs="Arial" w:eastAsia="Arial" w:hAnsi="Arial"/>
                <w:sz w:val="7"/>
                <w:szCs w:val="7"/>
                <w:b w:val="1"/>
                <w:bCs w:val="1"/>
                <w:color w:val="auto"/>
              </w:rPr>
              <w:t>233</w:t>
            </w:r>
          </w:p>
        </w:tc>
      </w:tr>
      <w:tr>
        <w:trPr>
          <w:trHeight w:val="218"/>
        </w:trPr>
        <w:tc>
          <w:tcPr>
            <w:tcW w:w="2220" w:type="dxa"/>
            <w:vAlign w:val="bottom"/>
            <w:tcBorders>
              <w:bottom w:val="single" w:sz="8" w:color="auto"/>
            </w:tcBorders>
            <w:gridSpan w:val="9"/>
          </w:tcPr>
          <w:p>
            <w:pPr>
              <w:ind w:left="20"/>
              <w:spacing w:after="0"/>
              <w:rPr>
                <w:sz w:val="20"/>
                <w:szCs w:val="20"/>
                <w:color w:val="auto"/>
              </w:rPr>
            </w:pPr>
            <w:r>
              <w:rPr>
                <w:rFonts w:ascii="Arial" w:cs="Arial" w:eastAsia="Arial" w:hAnsi="Arial"/>
                <w:sz w:val="7"/>
                <w:szCs w:val="7"/>
                <w:b w:val="1"/>
                <w:bCs w:val="1"/>
                <w:color w:val="auto"/>
              </w:rPr>
              <w:t>Manhattan Operating Properties Grand Total / Weighted Average</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b w:val="1"/>
                <w:bCs w:val="1"/>
                <w:color w:val="auto"/>
              </w:rPr>
              <w:t>23,971,485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b w:val="1"/>
                <w:bCs w:val="1"/>
                <w:color w:val="auto"/>
              </w:rPr>
              <w:t>100.0 %</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94.4 %</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91.2 %</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86.2 %</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93.0 %</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90.0 %</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85.2 %</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$2,008,303</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$1,337,074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843</w:t>
            </w:r>
          </w:p>
        </w:tc>
      </w:tr>
      <w:tr>
        <w:trPr>
          <w:trHeight w:val="98"/>
        </w:trPr>
        <w:tc>
          <w:tcPr>
            <w:tcW w:w="2220" w:type="dxa"/>
            <w:vAlign w:val="bottom"/>
            <w:tcBorders>
              <w:left w:val="single" w:sz="8" w:color="auto"/>
              <w:bottom w:val="single" w:sz="8" w:color="auto"/>
            </w:tcBorders>
            <w:gridSpan w:val="9"/>
          </w:tcPr>
          <w:p>
            <w:pPr>
              <w:ind w:left="20"/>
              <w:spacing w:after="0"/>
              <w:rPr>
                <w:sz w:val="20"/>
                <w:szCs w:val="20"/>
                <w:color w:val="auto"/>
              </w:rPr>
            </w:pPr>
            <w:r>
              <w:rPr>
                <w:rFonts w:ascii="Arial" w:cs="Arial" w:eastAsia="Arial" w:hAnsi="Arial"/>
                <w:sz w:val="7"/>
                <w:szCs w:val="7"/>
                <w:b w:val="1"/>
                <w:bCs w:val="1"/>
                <w:color w:val="auto"/>
              </w:rPr>
              <w:t>Manhattan Operating Properties Same Store Occupancy %</w:t>
            </w: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b w:val="1"/>
                <w:bCs w:val="1"/>
                <w:color w:val="auto"/>
              </w:rPr>
              <w:t>23,349,485</w:t>
            </w: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b w:val="1"/>
                <w:bCs w:val="1"/>
                <w:color w:val="auto"/>
              </w:rPr>
              <w:t>97.5 %</w:t>
            </w: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94.4 %</w:t>
            </w: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91.1 %</w:t>
            </w: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85.9 %</w:t>
            </w: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93.0 %</w:t>
            </w: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90.0 %</w:t>
            </w: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85.2 %</w:t>
            </w: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r>
    </w:tbl>
    <w:p>
      <w:pPr>
        <w:spacing w:after="0" w:line="63" w:lineRule="exact"/>
        <w:rPr>
          <w:sz w:val="20"/>
          <w:szCs w:val="20"/>
          <w:color w:val="auto"/>
        </w:rPr>
      </w:pPr>
    </w:p>
    <w:p>
      <w:pPr>
        <w:ind w:left="1120" w:hanging="105"/>
        <w:spacing w:after="0"/>
        <w:tabs>
          <w:tab w:leader="none" w:pos="1120" w:val="left"/>
        </w:tabs>
        <w:numPr>
          <w:ilvl w:val="0"/>
          <w:numId w:val="19"/>
        </w:numPr>
        <w:rPr>
          <w:rFonts w:ascii="Arial" w:cs="Arial" w:eastAsia="Arial" w:hAnsi="Arial"/>
          <w:sz w:val="7"/>
          <w:szCs w:val="7"/>
          <w:color w:val="auto"/>
        </w:rPr>
      </w:pPr>
      <w:r>
        <w:rPr>
          <w:rFonts w:ascii="Arial" w:cs="Arial" w:eastAsia="Arial" w:hAnsi="Arial"/>
          <w:sz w:val="7"/>
          <w:szCs w:val="7"/>
          <w:color w:val="auto"/>
        </w:rPr>
        <w:t>Represents the rentable square footage at the time the property was acquired.</w:t>
      </w:r>
    </w:p>
    <w:p>
      <w:pPr>
        <w:spacing w:after="0" w:line="27" w:lineRule="exact"/>
        <w:rPr>
          <w:rFonts w:ascii="Arial" w:cs="Arial" w:eastAsia="Arial" w:hAnsi="Arial"/>
          <w:sz w:val="7"/>
          <w:szCs w:val="7"/>
          <w:color w:val="auto"/>
        </w:rPr>
      </w:pPr>
    </w:p>
    <w:p>
      <w:pPr>
        <w:ind w:left="1120" w:hanging="105"/>
        <w:spacing w:after="0"/>
        <w:tabs>
          <w:tab w:leader="none" w:pos="1120" w:val="left"/>
        </w:tabs>
        <w:numPr>
          <w:ilvl w:val="0"/>
          <w:numId w:val="19"/>
        </w:numPr>
        <w:rPr>
          <w:rFonts w:ascii="Arial" w:cs="Arial" w:eastAsia="Arial" w:hAnsi="Arial"/>
          <w:sz w:val="7"/>
          <w:szCs w:val="7"/>
          <w:color w:val="auto"/>
        </w:rPr>
      </w:pPr>
      <w:r>
        <w:rPr>
          <w:rFonts w:ascii="Arial" w:cs="Arial" w:eastAsia="Arial" w:hAnsi="Arial"/>
          <w:sz w:val="7"/>
          <w:szCs w:val="7"/>
          <w:color w:val="auto"/>
        </w:rPr>
        <w:t>Calculated based on the square footage leased under executed leases as of the reporting date, regardless of whether the leases have commenced or the tenants have taken possession.</w:t>
      </w:r>
    </w:p>
    <w:p>
      <w:pPr>
        <w:spacing w:after="0" w:line="27" w:lineRule="exact"/>
        <w:rPr>
          <w:rFonts w:ascii="Arial" w:cs="Arial" w:eastAsia="Arial" w:hAnsi="Arial"/>
          <w:sz w:val="7"/>
          <w:szCs w:val="7"/>
          <w:color w:val="auto"/>
        </w:rPr>
      </w:pPr>
    </w:p>
    <w:p>
      <w:pPr>
        <w:ind w:left="1120" w:hanging="105"/>
        <w:spacing w:after="0"/>
        <w:tabs>
          <w:tab w:leader="none" w:pos="1120" w:val="left"/>
        </w:tabs>
        <w:numPr>
          <w:ilvl w:val="0"/>
          <w:numId w:val="19"/>
        </w:numPr>
        <w:rPr>
          <w:rFonts w:ascii="Arial" w:cs="Arial" w:eastAsia="Arial" w:hAnsi="Arial"/>
          <w:sz w:val="7"/>
          <w:szCs w:val="7"/>
          <w:color w:val="auto"/>
        </w:rPr>
      </w:pPr>
      <w:r>
        <w:rPr>
          <w:rFonts w:ascii="Arial" w:cs="Arial" w:eastAsia="Arial" w:hAnsi="Arial"/>
          <w:sz w:val="7"/>
          <w:szCs w:val="7"/>
          <w:color w:val="auto"/>
        </w:rPr>
        <w:t>Calculated based on the square footage for which lease terms have commenced per the underlying lease. For GAAP purposes revenue may not yet be recognized for certain commenced leases as of the reporting date.</w:t>
      </w:r>
    </w:p>
    <w:p>
      <w:pPr>
        <w:spacing w:after="0" w:line="27" w:lineRule="exact"/>
        <w:rPr>
          <w:rFonts w:ascii="Arial" w:cs="Arial" w:eastAsia="Arial" w:hAnsi="Arial"/>
          <w:sz w:val="7"/>
          <w:szCs w:val="7"/>
          <w:color w:val="auto"/>
        </w:rPr>
      </w:pPr>
    </w:p>
    <w:p>
      <w:pPr>
        <w:ind w:left="1120" w:hanging="105"/>
        <w:spacing w:after="0"/>
        <w:tabs>
          <w:tab w:leader="none" w:pos="1120" w:val="left"/>
        </w:tabs>
        <w:numPr>
          <w:ilvl w:val="0"/>
          <w:numId w:val="19"/>
        </w:numPr>
        <w:rPr>
          <w:rFonts w:ascii="Arial" w:cs="Arial" w:eastAsia="Arial" w:hAnsi="Arial"/>
          <w:sz w:val="7"/>
          <w:szCs w:val="7"/>
          <w:color w:val="auto"/>
        </w:rPr>
      </w:pPr>
      <w:r>
        <w:rPr>
          <w:rFonts w:ascii="Arial" w:cs="Arial" w:eastAsia="Arial" w:hAnsi="Arial"/>
          <w:sz w:val="7"/>
          <w:szCs w:val="7"/>
          <w:color w:val="auto"/>
        </w:rPr>
        <w:t>Calculated based on the square footage on which revenue is being recognized for GAAP purposes as of the reporting date, which may differ from the square footage on which cash rent is being collected.</w:t>
      </w:r>
    </w:p>
    <w:p>
      <w:pPr>
        <w:spacing w:after="0" w:line="27" w:lineRule="exact"/>
        <w:rPr>
          <w:rFonts w:ascii="Arial" w:cs="Arial" w:eastAsia="Arial" w:hAnsi="Arial"/>
          <w:sz w:val="7"/>
          <w:szCs w:val="7"/>
          <w:color w:val="auto"/>
        </w:rPr>
      </w:pPr>
    </w:p>
    <w:p>
      <w:pPr>
        <w:ind w:left="1120" w:hanging="105"/>
        <w:spacing w:after="0"/>
        <w:tabs>
          <w:tab w:leader="none" w:pos="1120" w:val="left"/>
        </w:tabs>
        <w:numPr>
          <w:ilvl w:val="0"/>
          <w:numId w:val="19"/>
        </w:numPr>
        <w:rPr>
          <w:rFonts w:ascii="Arial" w:cs="Arial" w:eastAsia="Arial" w:hAnsi="Arial"/>
          <w:sz w:val="7"/>
          <w:szCs w:val="7"/>
          <w:color w:val="auto"/>
        </w:rPr>
      </w:pPr>
      <w:r>
        <w:rPr>
          <w:rFonts w:ascii="Arial" w:cs="Arial" w:eastAsia="Arial" w:hAnsi="Arial"/>
          <w:sz w:val="7"/>
          <w:szCs w:val="7"/>
          <w:color w:val="auto"/>
        </w:rPr>
        <w:t>The Company also owns 50% of the fee interest.</w:t>
      </w:r>
    </w:p>
    <w:p>
      <w:pPr>
        <w:spacing w:after="0" w:line="366" w:lineRule="exact"/>
        <w:rPr>
          <w:sz w:val="20"/>
          <w:szCs w:val="20"/>
          <w:color w:val="auto"/>
        </w:rPr>
      </w:pPr>
    </w:p>
    <w:p>
      <w:pPr>
        <w:ind w:left="1100"/>
        <w:spacing w:after="0"/>
        <w:tabs>
          <w:tab w:leader="none" w:pos="5540" w:val="left"/>
          <w:tab w:leader="none" w:pos="938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29</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0260"/>
          </w:cols>
          <w:pgMar w:left="320" w:top="229" w:right="131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Retail, Residential and Suburban Operating Properties</w:t>
      </w:r>
    </w:p>
    <w:p>
      <w:pPr>
        <w:spacing w:after="0" w:line="227"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80"/>
        </w:trPr>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tcPr>
          <w:p>
            <w:pPr>
              <w:jc w:val="center"/>
              <w:spacing w:after="0"/>
              <w:rPr>
                <w:sz w:val="20"/>
                <w:szCs w:val="20"/>
                <w:color w:val="auto"/>
              </w:rPr>
            </w:pPr>
            <w:r>
              <w:rPr>
                <w:rFonts w:ascii="Arial" w:cs="Arial" w:eastAsia="Arial" w:hAnsi="Arial"/>
                <w:sz w:val="7"/>
                <w:szCs w:val="7"/>
                <w:b w:val="1"/>
                <w:bCs w:val="1"/>
                <w:color w:val="auto"/>
              </w:rPr>
              <w:t>Annualized Contractual</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March 31, 2026</w:t>
            </w:r>
          </w:p>
        </w:tc>
        <w:tc>
          <w:tcPr>
            <w:tcW w:w="100" w:type="dxa"/>
            <w:vAlign w:val="bottom"/>
          </w:tcPr>
          <w:p>
            <w:pPr>
              <w:spacing w:after="0"/>
              <w:rPr>
                <w:sz w:val="9"/>
                <w:szCs w:val="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December 31, 2025</w:t>
            </w:r>
          </w:p>
        </w:tc>
        <w:tc>
          <w:tcPr>
            <w:tcW w:w="120" w:type="dxa"/>
            <w:vAlign w:val="bottom"/>
          </w:tcPr>
          <w:p>
            <w:pPr>
              <w:spacing w:after="0"/>
              <w:rPr>
                <w:sz w:val="9"/>
                <w:szCs w:val="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b w:val="1"/>
                <w:bCs w:val="1"/>
                <w:color w:val="auto"/>
              </w:rPr>
              <w:t>Cash Rent</w:t>
            </w:r>
          </w:p>
        </w:tc>
        <w:tc>
          <w:tcPr>
            <w:tcW w:w="18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Total Tenants</w:t>
            </w: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gridSpan w:val="2"/>
          </w:tcPr>
          <w:p>
            <w:pPr>
              <w:ind w:left="20"/>
              <w:spacing w:after="0"/>
              <w:rPr>
                <w:sz w:val="20"/>
                <w:szCs w:val="20"/>
                <w:color w:val="auto"/>
              </w:rPr>
            </w:pPr>
            <w:r>
              <w:rPr>
                <w:rFonts w:ascii="Arial" w:cs="Arial" w:eastAsia="Arial" w:hAnsi="Arial"/>
                <w:sz w:val="7"/>
                <w:szCs w:val="7"/>
                <w:b w:val="1"/>
                <w:bCs w:val="1"/>
                <w:color w:val="auto"/>
              </w:rPr>
              <w:t>Ownership</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5"/>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1320" w:type="dxa"/>
            <w:vAlign w:val="bottom"/>
            <w:gridSpan w:val="4"/>
          </w:tcPr>
          <w:p>
            <w:pPr>
              <w:jc w:val="center"/>
              <w:ind w:right="100"/>
              <w:spacing w:after="0"/>
              <w:rPr>
                <w:sz w:val="20"/>
                <w:szCs w:val="20"/>
                <w:color w:val="auto"/>
              </w:rPr>
            </w:pPr>
            <w:r>
              <w:rPr>
                <w:rFonts w:ascii="Arial" w:cs="Arial" w:eastAsia="Arial" w:hAnsi="Arial"/>
                <w:sz w:val="7"/>
                <w:szCs w:val="7"/>
                <w:b w:val="1"/>
                <w:bCs w:val="1"/>
                <w:color w:val="auto"/>
              </w:rPr>
              <w:t>Occupancy %</w:t>
            </w:r>
          </w:p>
        </w:tc>
        <w:tc>
          <w:tcPr>
            <w:tcW w:w="1340" w:type="dxa"/>
            <w:vAlign w:val="bottom"/>
            <w:gridSpan w:val="4"/>
          </w:tcPr>
          <w:p>
            <w:pPr>
              <w:jc w:val="center"/>
              <w:ind w:right="140"/>
              <w:spacing w:after="0"/>
              <w:rPr>
                <w:sz w:val="20"/>
                <w:szCs w:val="20"/>
                <w:color w:val="auto"/>
              </w:rPr>
            </w:pPr>
            <w:r>
              <w:rPr>
                <w:rFonts w:ascii="Arial" w:cs="Arial" w:eastAsia="Arial" w:hAnsi="Arial"/>
                <w:sz w:val="7"/>
                <w:szCs w:val="7"/>
                <w:b w:val="1"/>
                <w:bCs w:val="1"/>
                <w:color w:val="auto"/>
              </w:rPr>
              <w:t>Occupancy %</w:t>
            </w: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rPr>
                <w:sz w:val="20"/>
                <w:szCs w:val="20"/>
                <w:color w:val="auto"/>
              </w:rPr>
            </w:pPr>
            <w:r>
              <w:rPr>
                <w:rFonts w:ascii="Arial" w:cs="Arial" w:eastAsia="Arial" w:hAnsi="Arial"/>
                <w:sz w:val="7"/>
                <w:szCs w:val="7"/>
                <w:b w:val="1"/>
                <w:bCs w:val="1"/>
                <w:color w:val="auto"/>
                <w:w w:val="98"/>
              </w:rPr>
              <w:t>Properties</w:t>
            </w:r>
          </w:p>
        </w:tc>
        <w:tc>
          <w:tcPr>
            <w:tcW w:w="1060" w:type="dxa"/>
            <w:vAlign w:val="bottom"/>
          </w:tcPr>
          <w:p>
            <w:pPr>
              <w:spacing w:after="0"/>
              <w:rPr>
                <w:sz w:val="8"/>
                <w:szCs w:val="8"/>
                <w:color w:val="auto"/>
              </w:rPr>
            </w:pPr>
          </w:p>
        </w:tc>
        <w:tc>
          <w:tcPr>
            <w:tcW w:w="400" w:type="dxa"/>
            <w:vAlign w:val="bottom"/>
          </w:tcPr>
          <w:p>
            <w:pPr>
              <w:spacing w:after="0"/>
              <w:rPr>
                <w:sz w:val="20"/>
                <w:szCs w:val="20"/>
                <w:color w:val="auto"/>
              </w:rPr>
            </w:pPr>
            <w:r>
              <w:rPr>
                <w:rFonts w:ascii="Arial" w:cs="Arial" w:eastAsia="Arial" w:hAnsi="Arial"/>
                <w:sz w:val="7"/>
                <w:szCs w:val="7"/>
                <w:b w:val="1"/>
                <w:bCs w:val="1"/>
                <w:color w:val="auto"/>
                <w:w w:val="99"/>
              </w:rPr>
              <w:t>Interest (%)</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20"/>
                <w:szCs w:val="20"/>
                <w:color w:val="auto"/>
              </w:rPr>
            </w:pPr>
            <w:r>
              <w:rPr>
                <w:rFonts w:ascii="Arial" w:cs="Arial" w:eastAsia="Arial" w:hAnsi="Arial"/>
                <w:sz w:val="7"/>
                <w:szCs w:val="7"/>
                <w:b w:val="1"/>
                <w:bCs w:val="1"/>
                <w:color w:val="auto"/>
              </w:rPr>
              <w:t>SubMarket</w:t>
            </w:r>
          </w:p>
        </w:tc>
        <w:tc>
          <w:tcPr>
            <w:tcW w:w="260" w:type="dxa"/>
            <w:vAlign w:val="bottom"/>
          </w:tcPr>
          <w:p>
            <w:pPr>
              <w:spacing w:after="0"/>
              <w:rPr>
                <w:sz w:val="8"/>
                <w:szCs w:val="8"/>
                <w:color w:val="auto"/>
              </w:rPr>
            </w:pPr>
          </w:p>
        </w:tc>
        <w:tc>
          <w:tcPr>
            <w:tcW w:w="720" w:type="dxa"/>
            <w:vAlign w:val="bottom"/>
            <w:gridSpan w:val="3"/>
          </w:tcPr>
          <w:p>
            <w:pPr>
              <w:ind w:left="100"/>
              <w:spacing w:after="0"/>
              <w:rPr>
                <w:sz w:val="20"/>
                <w:szCs w:val="20"/>
                <w:color w:val="auto"/>
              </w:rPr>
            </w:pPr>
            <w:r>
              <w:rPr>
                <w:rFonts w:ascii="Arial" w:cs="Arial" w:eastAsia="Arial" w:hAnsi="Arial"/>
                <w:sz w:val="7"/>
                <w:szCs w:val="7"/>
                <w:b w:val="1"/>
                <w:bCs w:val="1"/>
                <w:color w:val="auto"/>
              </w:rPr>
              <w:t>Ownership</w:t>
            </w:r>
          </w:p>
        </w:tc>
        <w:tc>
          <w:tcPr>
            <w:tcW w:w="20" w:type="dxa"/>
            <w:vAlign w:val="bottom"/>
          </w:tcPr>
          <w:p>
            <w:pPr>
              <w:spacing w:after="0"/>
              <w:rPr>
                <w:sz w:val="8"/>
                <w:szCs w:val="8"/>
                <w:color w:val="auto"/>
              </w:rPr>
            </w:pPr>
          </w:p>
        </w:tc>
        <w:tc>
          <w:tcPr>
            <w:tcW w:w="680" w:type="dxa"/>
            <w:vAlign w:val="bottom"/>
            <w:gridSpan w:val="3"/>
          </w:tcPr>
          <w:p>
            <w:pPr>
              <w:spacing w:after="0"/>
              <w:rPr>
                <w:sz w:val="20"/>
                <w:szCs w:val="20"/>
                <w:color w:val="auto"/>
              </w:rPr>
            </w:pPr>
            <w:r>
              <w:rPr>
                <w:rFonts w:ascii="Arial" w:cs="Arial" w:eastAsia="Arial" w:hAnsi="Arial"/>
                <w:sz w:val="7"/>
                <w:szCs w:val="7"/>
                <w:b w:val="1"/>
                <w:bCs w:val="1"/>
                <w:color w:val="auto"/>
              </w:rPr>
              <w:t>Square Feet (1)</w:t>
            </w:r>
          </w:p>
        </w:tc>
        <w:tc>
          <w:tcPr>
            <w:tcW w:w="620" w:type="dxa"/>
            <w:vAlign w:val="bottom"/>
            <w:gridSpan w:val="5"/>
          </w:tcPr>
          <w:p>
            <w:pPr>
              <w:jc w:val="right"/>
              <w:ind w:right="180"/>
              <w:spacing w:after="0"/>
              <w:rPr>
                <w:sz w:val="20"/>
                <w:szCs w:val="20"/>
                <w:color w:val="auto"/>
              </w:rPr>
            </w:pPr>
            <w:r>
              <w:rPr>
                <w:rFonts w:ascii="Arial" w:cs="Arial" w:eastAsia="Arial" w:hAnsi="Arial"/>
                <w:sz w:val="7"/>
                <w:szCs w:val="7"/>
                <w:b w:val="1"/>
                <w:bCs w:val="1"/>
                <w:color w:val="auto"/>
              </w:rPr>
              <w:t>Sq. Feet</w:t>
            </w:r>
          </w:p>
        </w:tc>
        <w:tc>
          <w:tcPr>
            <w:tcW w:w="640" w:type="dxa"/>
            <w:vAlign w:val="bottom"/>
            <w:gridSpan w:val="2"/>
          </w:tcPr>
          <w:p>
            <w:pPr>
              <w:ind w:left="100"/>
              <w:spacing w:after="0"/>
              <w:rPr>
                <w:sz w:val="20"/>
                <w:szCs w:val="20"/>
                <w:color w:val="auto"/>
              </w:rPr>
            </w:pPr>
            <w:r>
              <w:rPr>
                <w:rFonts w:ascii="Arial" w:cs="Arial" w:eastAsia="Arial" w:hAnsi="Arial"/>
                <w:sz w:val="7"/>
                <w:szCs w:val="7"/>
                <w:b w:val="1"/>
                <w:bCs w:val="1"/>
                <w:color w:val="auto"/>
              </w:rPr>
              <w:t>Leased (2)</w:t>
            </w:r>
          </w:p>
        </w:tc>
        <w:tc>
          <w:tcPr>
            <w:tcW w:w="680" w:type="dxa"/>
            <w:vAlign w:val="bottom"/>
            <w:gridSpan w:val="2"/>
          </w:tcPr>
          <w:p>
            <w:pPr>
              <w:ind w:left="80"/>
              <w:spacing w:after="0"/>
              <w:rPr>
                <w:sz w:val="20"/>
                <w:szCs w:val="20"/>
                <w:color w:val="auto"/>
              </w:rPr>
            </w:pPr>
            <w:r>
              <w:rPr>
                <w:rFonts w:ascii="Arial" w:cs="Arial" w:eastAsia="Arial" w:hAnsi="Arial"/>
                <w:sz w:val="7"/>
                <w:szCs w:val="7"/>
                <w:b w:val="1"/>
                <w:bCs w:val="1"/>
                <w:color w:val="auto"/>
              </w:rPr>
              <w:t>Occupied (3)</w:t>
            </w:r>
          </w:p>
        </w:tc>
        <w:tc>
          <w:tcPr>
            <w:tcW w:w="640" w:type="dxa"/>
            <w:vAlign w:val="bottom"/>
            <w:gridSpan w:val="2"/>
          </w:tcPr>
          <w:p>
            <w:pPr>
              <w:ind w:left="80"/>
              <w:spacing w:after="0"/>
              <w:rPr>
                <w:sz w:val="20"/>
                <w:szCs w:val="20"/>
                <w:color w:val="auto"/>
              </w:rPr>
            </w:pPr>
            <w:r>
              <w:rPr>
                <w:rFonts w:ascii="Arial" w:cs="Arial" w:eastAsia="Arial" w:hAnsi="Arial"/>
                <w:sz w:val="7"/>
                <w:szCs w:val="7"/>
                <w:b w:val="1"/>
                <w:bCs w:val="1"/>
                <w:color w:val="auto"/>
              </w:rPr>
              <w:t>Leased (2)</w:t>
            </w:r>
          </w:p>
        </w:tc>
        <w:tc>
          <w:tcPr>
            <w:tcW w:w="700" w:type="dxa"/>
            <w:vAlign w:val="bottom"/>
            <w:gridSpan w:val="2"/>
          </w:tcPr>
          <w:p>
            <w:pPr>
              <w:ind w:left="60"/>
              <w:spacing w:after="0"/>
              <w:rPr>
                <w:sz w:val="20"/>
                <w:szCs w:val="20"/>
                <w:color w:val="auto"/>
              </w:rPr>
            </w:pPr>
            <w:r>
              <w:rPr>
                <w:rFonts w:ascii="Arial" w:cs="Arial" w:eastAsia="Arial" w:hAnsi="Arial"/>
                <w:sz w:val="7"/>
                <w:szCs w:val="7"/>
                <w:b w:val="1"/>
                <w:bCs w:val="1"/>
                <w:color w:val="auto"/>
              </w:rPr>
              <w:t>Occupied (3)</w:t>
            </w:r>
          </w:p>
        </w:tc>
        <w:tc>
          <w:tcPr>
            <w:tcW w:w="480" w:type="dxa"/>
            <w:vAlign w:val="bottom"/>
          </w:tcPr>
          <w:p>
            <w:pPr>
              <w:ind w:left="200"/>
              <w:spacing w:after="0"/>
              <w:rPr>
                <w:sz w:val="20"/>
                <w:szCs w:val="20"/>
                <w:color w:val="auto"/>
              </w:rPr>
            </w:pPr>
            <w:r>
              <w:rPr>
                <w:rFonts w:ascii="Arial" w:cs="Arial" w:eastAsia="Arial" w:hAnsi="Arial"/>
                <w:sz w:val="7"/>
                <w:szCs w:val="7"/>
                <w:b w:val="1"/>
                <w:bCs w:val="1"/>
                <w:color w:val="auto"/>
              </w:rPr>
              <w:t>($'s)</w:t>
            </w:r>
          </w:p>
        </w:tc>
        <w:tc>
          <w:tcPr>
            <w:tcW w:w="640" w:type="dxa"/>
            <w:vAlign w:val="bottom"/>
          </w:tcPr>
          <w:p>
            <w:pPr>
              <w:ind w:left="80"/>
              <w:spacing w:after="0"/>
              <w:rPr>
                <w:sz w:val="20"/>
                <w:szCs w:val="20"/>
                <w:color w:val="auto"/>
              </w:rPr>
            </w:pPr>
            <w:r>
              <w:rPr>
                <w:rFonts w:ascii="Arial" w:cs="Arial" w:eastAsia="Arial" w:hAnsi="Arial"/>
                <w:sz w:val="7"/>
                <w:szCs w:val="7"/>
                <w:b w:val="1"/>
                <w:bCs w:val="1"/>
                <w:color w:val="auto"/>
              </w:rPr>
              <w:t>SLG Share ($'s)</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420" w:type="dxa"/>
            <w:vAlign w:val="bottom"/>
            <w:gridSpan w:val="2"/>
          </w:tcPr>
          <w:p>
            <w:pPr>
              <w:spacing w:after="0"/>
              <w:rPr>
                <w:sz w:val="20"/>
                <w:szCs w:val="20"/>
                <w:color w:val="auto"/>
              </w:rPr>
            </w:pPr>
            <w:r>
              <w:rPr>
                <w:rFonts w:ascii="Arial" w:cs="Arial" w:eastAsia="Arial" w:hAnsi="Arial"/>
                <w:sz w:val="7"/>
                <w:szCs w:val="7"/>
                <w:b w:val="1"/>
                <w:bCs w:val="1"/>
                <w:color w:val="auto"/>
              </w:rPr>
              <w:t>RETAIL PROPERTIES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Retail</w:t>
            </w: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420" w:type="dxa"/>
            <w:vAlign w:val="bottom"/>
            <w:gridSpan w:val="2"/>
          </w:tcPr>
          <w:p>
            <w:pPr>
              <w:spacing w:after="0"/>
              <w:rPr>
                <w:sz w:val="20"/>
                <w:szCs w:val="20"/>
                <w:color w:val="auto"/>
              </w:rPr>
            </w:pPr>
            <w:r>
              <w:rPr>
                <w:rFonts w:ascii="Arial" w:cs="Arial" w:eastAsia="Arial" w:hAnsi="Arial"/>
                <w:sz w:val="7"/>
                <w:szCs w:val="7"/>
                <w:color w:val="auto"/>
              </w:rPr>
              <w:t>760 Madison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8"/>
                <w:szCs w:val="8"/>
                <w:color w:val="auto"/>
              </w:rPr>
            </w:pPr>
          </w:p>
        </w:tc>
        <w:tc>
          <w:tcPr>
            <w:tcW w:w="660" w:type="dxa"/>
            <w:vAlign w:val="bottom"/>
            <w:gridSpan w:val="3"/>
          </w:tcPr>
          <w:p>
            <w:pPr>
              <w:ind w:left="20"/>
              <w:spacing w:after="0"/>
              <w:rPr>
                <w:sz w:val="20"/>
                <w:szCs w:val="20"/>
                <w:color w:val="auto"/>
              </w:rPr>
            </w:pPr>
            <w:r>
              <w:rPr>
                <w:rFonts w:ascii="Arial" w:cs="Arial" w:eastAsia="Arial" w:hAnsi="Arial"/>
                <w:sz w:val="7"/>
                <w:szCs w:val="7"/>
                <w:color w:val="auto"/>
              </w:rPr>
              <w:t>Plaza District</w:t>
            </w: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4"/>
              <w:spacing w:after="0"/>
              <w:rPr>
                <w:sz w:val="20"/>
                <w:szCs w:val="20"/>
                <w:color w:val="auto"/>
              </w:rPr>
            </w:pPr>
            <w:r>
              <w:rPr>
                <w:rFonts w:ascii="Arial" w:cs="Arial" w:eastAsia="Arial" w:hAnsi="Arial"/>
                <w:sz w:val="7"/>
                <w:szCs w:val="7"/>
                <w:color w:val="auto"/>
              </w:rPr>
              <w:t>22,648</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color w:val="auto"/>
              </w:rPr>
              <w:t>6.4</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60" w:type="dxa"/>
            <w:vAlign w:val="bottom"/>
          </w:tcPr>
          <w:p>
            <w:pPr>
              <w:jc w:val="right"/>
              <w:ind w:right="8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8"/>
                <w:szCs w:val="8"/>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color w:val="auto"/>
              </w:rPr>
              <w:t>$18,558</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$18,558</w:t>
            </w:r>
          </w:p>
        </w:tc>
        <w:tc>
          <w:tcPr>
            <w:tcW w:w="180" w:type="dxa"/>
            <w:vAlign w:val="bottom"/>
          </w:tcPr>
          <w:p>
            <w:pPr>
              <w:spacing w:after="0"/>
              <w:rPr>
                <w:sz w:val="8"/>
                <w:szCs w:val="8"/>
                <w:color w:val="auto"/>
              </w:rPr>
            </w:pPr>
          </w:p>
        </w:tc>
        <w:tc>
          <w:tcPr>
            <w:tcW w:w="56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1480" w:type="dxa"/>
            <w:vAlign w:val="bottom"/>
            <w:gridSpan w:val="3"/>
          </w:tcPr>
          <w:p>
            <w:pPr>
              <w:ind w:left="260"/>
              <w:spacing w:after="0"/>
              <w:rPr>
                <w:sz w:val="20"/>
                <w:szCs w:val="20"/>
                <w:color w:val="auto"/>
              </w:rPr>
            </w:pPr>
            <w:r>
              <w:rPr>
                <w:rFonts w:ascii="Arial" w:cs="Arial" w:eastAsia="Arial" w:hAnsi="Arial"/>
                <w:sz w:val="7"/>
                <w:szCs w:val="7"/>
                <w:b w:val="1"/>
                <w:bCs w:val="1"/>
                <w:color w:val="auto"/>
              </w:rPr>
              <w:t>Subtotal/Weighted Average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22,648</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6.4 %</w:t>
            </w: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100.0 %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100.0 %</w:t>
            </w: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100.0 %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100.0 %</w:t>
            </w:r>
          </w:p>
        </w:tc>
        <w:tc>
          <w:tcPr>
            <w:tcW w:w="120" w:type="dxa"/>
            <w:vAlign w:val="bottom"/>
          </w:tcPr>
          <w:p>
            <w:pPr>
              <w:spacing w:after="0"/>
              <w:rPr>
                <w:sz w:val="8"/>
                <w:szCs w:val="8"/>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b w:val="1"/>
                <w:bCs w:val="1"/>
                <w:color w:val="auto"/>
              </w:rPr>
              <w:t>$18,558</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$18,558</w:t>
            </w:r>
          </w:p>
        </w:tc>
        <w:tc>
          <w:tcPr>
            <w:tcW w:w="180" w:type="dxa"/>
            <w:vAlign w:val="bottom"/>
          </w:tcPr>
          <w:p>
            <w:pPr>
              <w:spacing w:after="0"/>
              <w:rPr>
                <w:sz w:val="8"/>
                <w:szCs w:val="8"/>
                <w:color w:val="auto"/>
              </w:rPr>
            </w:pPr>
          </w:p>
        </w:tc>
        <w:tc>
          <w:tcPr>
            <w:tcW w:w="560" w:type="dxa"/>
            <w:vAlign w:val="bottom"/>
          </w:tcPr>
          <w:p>
            <w:pPr>
              <w:jc w:val="right"/>
              <w:ind w:right="4"/>
              <w:spacing w:after="0"/>
              <w:rPr>
                <w:sz w:val="20"/>
                <w:szCs w:val="20"/>
                <w:color w:val="auto"/>
              </w:rPr>
            </w:pP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149"/>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"Non Same Store" Retail</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420" w:type="dxa"/>
            <w:vAlign w:val="bottom"/>
            <w:gridSpan w:val="2"/>
          </w:tcPr>
          <w:p>
            <w:pPr>
              <w:spacing w:after="0"/>
              <w:rPr>
                <w:sz w:val="20"/>
                <w:szCs w:val="20"/>
                <w:color w:val="auto"/>
              </w:rPr>
            </w:pPr>
            <w:r>
              <w:rPr>
                <w:rFonts w:ascii="Arial" w:cs="Arial" w:eastAsia="Arial" w:hAnsi="Arial"/>
                <w:sz w:val="7"/>
                <w:szCs w:val="7"/>
                <w:color w:val="auto"/>
              </w:rPr>
              <w:t>315 West 33rd Street - The Olivia</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8"/>
                <w:szCs w:val="8"/>
                <w:color w:val="auto"/>
              </w:rPr>
            </w:pPr>
          </w:p>
        </w:tc>
        <w:tc>
          <w:tcPr>
            <w:tcW w:w="660" w:type="dxa"/>
            <w:vAlign w:val="bottom"/>
            <w:gridSpan w:val="3"/>
          </w:tcPr>
          <w:p>
            <w:pPr>
              <w:ind w:left="20"/>
              <w:spacing w:after="0"/>
              <w:rPr>
                <w:sz w:val="20"/>
                <w:szCs w:val="20"/>
                <w:color w:val="auto"/>
              </w:rPr>
            </w:pPr>
            <w:r>
              <w:rPr>
                <w:rFonts w:ascii="Arial" w:cs="Arial" w:eastAsia="Arial" w:hAnsi="Arial"/>
                <w:sz w:val="7"/>
                <w:szCs w:val="7"/>
                <w:color w:val="auto"/>
              </w:rPr>
              <w:t>Penn Station</w:t>
            </w: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4"/>
              <w:spacing w:after="0"/>
              <w:rPr>
                <w:sz w:val="20"/>
                <w:szCs w:val="20"/>
                <w:color w:val="auto"/>
              </w:rPr>
            </w:pPr>
            <w:r>
              <w:rPr>
                <w:rFonts w:ascii="Arial" w:cs="Arial" w:eastAsia="Arial" w:hAnsi="Arial"/>
                <w:sz w:val="7"/>
                <w:szCs w:val="7"/>
                <w:color w:val="auto"/>
              </w:rPr>
              <w:t>270,132</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color w:val="auto"/>
              </w:rPr>
              <w:t>76.9</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82.4</w:t>
            </w:r>
          </w:p>
        </w:tc>
        <w:tc>
          <w:tcPr>
            <w:tcW w:w="80" w:type="dxa"/>
            <w:vAlign w:val="bottom"/>
          </w:tcPr>
          <w:p>
            <w:pPr>
              <w:spacing w:after="0"/>
              <w:rPr>
                <w:sz w:val="8"/>
                <w:szCs w:val="8"/>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82.4</w:t>
            </w:r>
          </w:p>
        </w:tc>
        <w:tc>
          <w:tcPr>
            <w:tcW w:w="100" w:type="dxa"/>
            <w:vAlign w:val="bottom"/>
          </w:tcPr>
          <w:p>
            <w:pPr>
              <w:spacing w:after="0"/>
              <w:rPr>
                <w:sz w:val="8"/>
                <w:szCs w:val="8"/>
                <w:color w:val="auto"/>
              </w:rPr>
            </w:pPr>
          </w:p>
        </w:tc>
        <w:tc>
          <w:tcPr>
            <w:tcW w:w="560" w:type="dxa"/>
            <w:vAlign w:val="bottom"/>
          </w:tcPr>
          <w:p>
            <w:pPr>
              <w:jc w:val="right"/>
              <w:ind w:right="84"/>
              <w:spacing w:after="0"/>
              <w:rPr>
                <w:sz w:val="20"/>
                <w:szCs w:val="20"/>
                <w:color w:val="auto"/>
              </w:rPr>
            </w:pPr>
            <w:r>
              <w:rPr>
                <w:rFonts w:ascii="Arial" w:cs="Arial" w:eastAsia="Arial" w:hAnsi="Arial"/>
                <w:sz w:val="7"/>
                <w:szCs w:val="7"/>
                <w:color w:val="auto"/>
              </w:rPr>
              <w:t>82.4</w:t>
            </w:r>
          </w:p>
        </w:tc>
        <w:tc>
          <w:tcPr>
            <w:tcW w:w="80" w:type="dxa"/>
            <w:vAlign w:val="bottom"/>
          </w:tcPr>
          <w:p>
            <w:pPr>
              <w:spacing w:after="0"/>
              <w:rPr>
                <w:sz w:val="8"/>
                <w:szCs w:val="8"/>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82.4</w:t>
            </w:r>
          </w:p>
        </w:tc>
        <w:tc>
          <w:tcPr>
            <w:tcW w:w="120" w:type="dxa"/>
            <w:vAlign w:val="bottom"/>
          </w:tcPr>
          <w:p>
            <w:pPr>
              <w:spacing w:after="0"/>
              <w:rPr>
                <w:sz w:val="8"/>
                <w:szCs w:val="8"/>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color w:val="auto"/>
              </w:rPr>
              <w:t>$13,563</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$13,564</w:t>
            </w:r>
          </w:p>
        </w:tc>
        <w:tc>
          <w:tcPr>
            <w:tcW w:w="180" w:type="dxa"/>
            <w:vAlign w:val="bottom"/>
          </w:tcPr>
          <w:p>
            <w:pPr>
              <w:spacing w:after="0"/>
              <w:rPr>
                <w:sz w:val="8"/>
                <w:szCs w:val="8"/>
                <w:color w:val="auto"/>
              </w:rPr>
            </w:pPr>
          </w:p>
        </w:tc>
        <w:tc>
          <w:tcPr>
            <w:tcW w:w="560" w:type="dxa"/>
            <w:vAlign w:val="bottom"/>
          </w:tcPr>
          <w:p>
            <w:pPr>
              <w:jc w:val="right"/>
              <w:ind w:right="4"/>
              <w:spacing w:after="0"/>
              <w:rPr>
                <w:sz w:val="20"/>
                <w:szCs w:val="20"/>
                <w:color w:val="auto"/>
              </w:rPr>
            </w:pPr>
            <w:r>
              <w:rPr>
                <w:rFonts w:ascii="Arial" w:cs="Arial" w:eastAsia="Arial" w:hAnsi="Arial"/>
                <w:sz w:val="7"/>
                <w:szCs w:val="7"/>
                <w:color w:val="auto"/>
              </w:rPr>
              <w:t>8</w:t>
            </w:r>
          </w:p>
        </w:tc>
        <w:tc>
          <w:tcPr>
            <w:tcW w:w="0" w:type="dxa"/>
            <w:vAlign w:val="bottom"/>
          </w:tcPr>
          <w:p>
            <w:pPr>
              <w:spacing w:after="0"/>
              <w:rPr>
                <w:sz w:val="1"/>
                <w:szCs w:val="1"/>
                <w:color w:val="auto"/>
              </w:rPr>
            </w:pPr>
          </w:p>
        </w:tc>
      </w:tr>
      <w:tr>
        <w:trPr>
          <w:trHeight w:val="108"/>
        </w:trPr>
        <w:tc>
          <w:tcPr>
            <w:tcW w:w="1420" w:type="dxa"/>
            <w:vAlign w:val="bottom"/>
            <w:gridSpan w:val="2"/>
          </w:tcPr>
          <w:p>
            <w:pPr>
              <w:spacing w:after="0"/>
              <w:rPr>
                <w:sz w:val="20"/>
                <w:szCs w:val="20"/>
                <w:color w:val="auto"/>
              </w:rPr>
            </w:pPr>
            <w:r>
              <w:rPr>
                <w:rFonts w:ascii="Arial" w:cs="Arial" w:eastAsia="Arial" w:hAnsi="Arial"/>
                <w:sz w:val="7"/>
                <w:szCs w:val="7"/>
                <w:color w:val="auto"/>
              </w:rPr>
              <w:t>610 Park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660" w:type="dxa"/>
            <w:vAlign w:val="bottom"/>
            <w:gridSpan w:val="3"/>
          </w:tcPr>
          <w:p>
            <w:pPr>
              <w:ind w:left="20"/>
              <w:spacing w:after="0"/>
              <w:rPr>
                <w:sz w:val="20"/>
                <w:szCs w:val="20"/>
                <w:color w:val="auto"/>
              </w:rPr>
            </w:pPr>
            <w:r>
              <w:rPr>
                <w:rFonts w:ascii="Arial" w:cs="Arial" w:eastAsia="Arial" w:hAnsi="Arial"/>
                <w:sz w:val="7"/>
                <w:szCs w:val="7"/>
                <w:color w:val="auto"/>
              </w:rPr>
              <w:t>Plaza District</w:t>
            </w: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4"/>
              <w:spacing w:after="0"/>
              <w:rPr>
                <w:sz w:val="20"/>
                <w:szCs w:val="20"/>
                <w:color w:val="auto"/>
              </w:rPr>
            </w:pPr>
            <w:r>
              <w:rPr>
                <w:rFonts w:ascii="Arial" w:cs="Arial" w:eastAsia="Arial" w:hAnsi="Arial"/>
                <w:sz w:val="7"/>
                <w:szCs w:val="7"/>
                <w:color w:val="auto"/>
              </w:rPr>
              <w:t>17,765</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color w:val="auto"/>
              </w:rPr>
              <w:t>5.1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640" w:type="dxa"/>
            <w:vAlign w:val="bottom"/>
            <w:gridSpan w:val="2"/>
          </w:tcPr>
          <w:p>
            <w:pPr>
              <w:ind w:left="340"/>
              <w:spacing w:after="0"/>
              <w:rPr>
                <w:sz w:val="20"/>
                <w:szCs w:val="20"/>
                <w:color w:val="auto"/>
              </w:rPr>
            </w:pPr>
            <w:r>
              <w:rPr>
                <w:rFonts w:ascii="Arial" w:cs="Arial" w:eastAsia="Arial" w:hAnsi="Arial"/>
                <w:sz w:val="7"/>
                <w:szCs w:val="7"/>
                <w:color w:val="auto"/>
              </w:rPr>
              <w:t>N/A</w:t>
            </w:r>
          </w:p>
        </w:tc>
        <w:tc>
          <w:tcPr>
            <w:tcW w:w="700" w:type="dxa"/>
            <w:vAlign w:val="bottom"/>
            <w:gridSpan w:val="2"/>
          </w:tcPr>
          <w:p>
            <w:pPr>
              <w:ind w:left="360"/>
              <w:spacing w:after="0"/>
              <w:rPr>
                <w:sz w:val="20"/>
                <w:szCs w:val="20"/>
                <w:color w:val="auto"/>
              </w:rPr>
            </w:pPr>
            <w:r>
              <w:rPr>
                <w:rFonts w:ascii="Arial" w:cs="Arial" w:eastAsia="Arial" w:hAnsi="Arial"/>
                <w:sz w:val="7"/>
                <w:szCs w:val="7"/>
                <w:color w:val="auto"/>
              </w:rPr>
              <w:t>N/A</w:t>
            </w:r>
          </w:p>
        </w:tc>
        <w:tc>
          <w:tcPr>
            <w:tcW w:w="480" w:type="dxa"/>
            <w:vAlign w:val="bottom"/>
          </w:tcPr>
          <w:p>
            <w:pPr>
              <w:jc w:val="center"/>
              <w:ind w:left="24"/>
              <w:spacing w:after="0"/>
              <w:rPr>
                <w:sz w:val="20"/>
                <w:szCs w:val="20"/>
                <w:color w:val="auto"/>
              </w:rPr>
            </w:pPr>
            <w:r>
              <w:rPr>
                <w:rFonts w:ascii="Arial" w:cs="Arial" w:eastAsia="Arial" w:hAnsi="Arial"/>
                <w:sz w:val="7"/>
                <w:szCs w:val="7"/>
                <w:color w:val="auto"/>
              </w:rPr>
              <w:t>1,171</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1,170</w:t>
            </w:r>
          </w:p>
        </w:tc>
        <w:tc>
          <w:tcPr>
            <w:tcW w:w="180" w:type="dxa"/>
            <w:vAlign w:val="bottom"/>
          </w:tcPr>
          <w:p>
            <w:pPr>
              <w:spacing w:after="0"/>
              <w:rPr>
                <w:sz w:val="9"/>
                <w:szCs w:val="9"/>
                <w:color w:val="auto"/>
              </w:rPr>
            </w:pPr>
          </w:p>
        </w:tc>
        <w:tc>
          <w:tcPr>
            <w:tcW w:w="56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08"/>
        </w:trPr>
        <w:tc>
          <w:tcPr>
            <w:tcW w:w="1420" w:type="dxa"/>
            <w:vAlign w:val="bottom"/>
            <w:gridSpan w:val="2"/>
          </w:tcPr>
          <w:p>
            <w:pPr>
              <w:spacing w:after="0"/>
              <w:rPr>
                <w:sz w:val="20"/>
                <w:szCs w:val="20"/>
                <w:color w:val="auto"/>
              </w:rPr>
            </w:pPr>
            <w:r>
              <w:rPr>
                <w:rFonts w:ascii="Arial" w:cs="Arial" w:eastAsia="Arial" w:hAnsi="Arial"/>
                <w:sz w:val="7"/>
                <w:szCs w:val="7"/>
                <w:color w:val="auto"/>
              </w:rPr>
              <w:t>800 Seventh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660" w:type="dxa"/>
            <w:vAlign w:val="bottom"/>
            <w:gridSpan w:val="3"/>
          </w:tcPr>
          <w:p>
            <w:pPr>
              <w:ind w:left="20"/>
              <w:spacing w:after="0"/>
              <w:rPr>
                <w:sz w:val="20"/>
                <w:szCs w:val="20"/>
                <w:color w:val="auto"/>
              </w:rPr>
            </w:pPr>
            <w:r>
              <w:rPr>
                <w:rFonts w:ascii="Arial" w:cs="Arial" w:eastAsia="Arial" w:hAnsi="Arial"/>
                <w:sz w:val="7"/>
                <w:szCs w:val="7"/>
                <w:color w:val="auto"/>
              </w:rPr>
              <w:t>Times Square</w:t>
            </w: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4"/>
              <w:spacing w:after="0"/>
              <w:rPr>
                <w:sz w:val="20"/>
                <w:szCs w:val="20"/>
                <w:color w:val="auto"/>
              </w:rPr>
            </w:pPr>
            <w:r>
              <w:rPr>
                <w:rFonts w:ascii="Arial" w:cs="Arial" w:eastAsia="Arial" w:hAnsi="Arial"/>
                <w:sz w:val="7"/>
                <w:szCs w:val="7"/>
                <w:color w:val="auto"/>
              </w:rPr>
              <w:t>28,000</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color w:val="auto"/>
              </w:rPr>
              <w:t>8.0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8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9"/>
                <w:szCs w:val="9"/>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color w:val="auto"/>
              </w:rPr>
              <w:t>1,100</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1,100</w:t>
            </w:r>
          </w:p>
        </w:tc>
        <w:tc>
          <w:tcPr>
            <w:tcW w:w="180" w:type="dxa"/>
            <w:vAlign w:val="bottom"/>
          </w:tcPr>
          <w:p>
            <w:pPr>
              <w:jc w:val="right"/>
              <w:ind w:right="44"/>
              <w:spacing w:after="0"/>
              <w:rPr>
                <w:sz w:val="20"/>
                <w:szCs w:val="20"/>
                <w:color w:val="auto"/>
              </w:rPr>
            </w:pPr>
            <w:r>
              <w:rPr>
                <w:rFonts w:ascii="Arial" w:cs="Arial" w:eastAsia="Arial" w:hAnsi="Arial"/>
                <w:sz w:val="7"/>
                <w:szCs w:val="7"/>
                <w:color w:val="auto"/>
                <w:w w:val="92"/>
              </w:rPr>
              <w:t>(4)</w:t>
            </w:r>
          </w:p>
        </w:tc>
        <w:tc>
          <w:tcPr>
            <w:tcW w:w="56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86"/>
        </w:trPr>
        <w:tc>
          <w:tcPr>
            <w:tcW w:w="1420" w:type="dxa"/>
            <w:vAlign w:val="bottom"/>
            <w:gridSpan w:val="2"/>
          </w:tcPr>
          <w:p>
            <w:pPr>
              <w:spacing w:after="0"/>
              <w:rPr>
                <w:sz w:val="20"/>
                <w:szCs w:val="20"/>
                <w:color w:val="auto"/>
              </w:rPr>
            </w:pPr>
            <w:r>
              <w:rPr>
                <w:rFonts w:ascii="Arial" w:cs="Arial" w:eastAsia="Arial" w:hAnsi="Arial"/>
                <w:sz w:val="7"/>
                <w:szCs w:val="7"/>
                <w:color w:val="auto"/>
              </w:rPr>
              <w:t>1552 Broadway/1560 Broadway Signage</w:t>
            </w:r>
          </w:p>
        </w:tc>
        <w:tc>
          <w:tcPr>
            <w:tcW w:w="400" w:type="dxa"/>
            <w:vAlign w:val="bottom"/>
          </w:tcPr>
          <w:p>
            <w:pPr>
              <w:jc w:val="center"/>
              <w:spacing w:after="0"/>
              <w:rPr>
                <w:sz w:val="20"/>
                <w:szCs w:val="20"/>
                <w:color w:val="auto"/>
              </w:rPr>
            </w:pPr>
            <w:r>
              <w:rPr>
                <w:rFonts w:ascii="Arial" w:cs="Arial" w:eastAsia="Arial" w:hAnsi="Arial"/>
                <w:sz w:val="7"/>
                <w:szCs w:val="7"/>
                <w:color w:val="auto"/>
              </w:rPr>
              <w:t>50.0</w:t>
            </w:r>
          </w:p>
        </w:tc>
        <w:tc>
          <w:tcPr>
            <w:tcW w:w="20" w:type="dxa"/>
            <w:vAlign w:val="bottom"/>
          </w:tcPr>
          <w:p>
            <w:pPr>
              <w:spacing w:after="0"/>
              <w:rPr>
                <w:sz w:val="7"/>
                <w:szCs w:val="7"/>
                <w:color w:val="auto"/>
              </w:rPr>
            </w:pPr>
          </w:p>
        </w:tc>
        <w:tc>
          <w:tcPr>
            <w:tcW w:w="660" w:type="dxa"/>
            <w:vAlign w:val="bottom"/>
            <w:gridSpan w:val="3"/>
          </w:tcPr>
          <w:p>
            <w:pPr>
              <w:ind w:left="20"/>
              <w:spacing w:after="0"/>
              <w:rPr>
                <w:sz w:val="20"/>
                <w:szCs w:val="20"/>
                <w:color w:val="auto"/>
              </w:rPr>
            </w:pPr>
            <w:r>
              <w:rPr>
                <w:rFonts w:ascii="Arial" w:cs="Arial" w:eastAsia="Arial" w:hAnsi="Arial"/>
                <w:sz w:val="7"/>
                <w:szCs w:val="7"/>
                <w:color w:val="auto"/>
              </w:rPr>
              <w:t>Times Square</w:t>
            </w: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Fee / Leasehold</w:t>
            </w:r>
          </w:p>
        </w:tc>
        <w:tc>
          <w:tcPr>
            <w:tcW w:w="540" w:type="dxa"/>
            <w:vAlign w:val="bottom"/>
            <w:gridSpan w:val="2"/>
          </w:tcPr>
          <w:p>
            <w:pPr>
              <w:jc w:val="right"/>
              <w:ind w:right="4"/>
              <w:spacing w:after="0"/>
              <w:rPr>
                <w:sz w:val="20"/>
                <w:szCs w:val="20"/>
                <w:color w:val="auto"/>
              </w:rPr>
            </w:pPr>
            <w:r>
              <w:rPr>
                <w:rFonts w:ascii="Arial" w:cs="Arial" w:eastAsia="Arial" w:hAnsi="Arial"/>
                <w:sz w:val="7"/>
                <w:szCs w:val="7"/>
                <w:color w:val="auto"/>
              </w:rPr>
              <w:t>12,719</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color w:val="auto"/>
              </w:rPr>
              <w:t>3.6</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7"/>
                <w:szCs w:val="7"/>
                <w:color w:val="auto"/>
              </w:rPr>
            </w:pPr>
          </w:p>
        </w:tc>
        <w:tc>
          <w:tcPr>
            <w:tcW w:w="560" w:type="dxa"/>
            <w:vAlign w:val="bottom"/>
          </w:tcPr>
          <w:p>
            <w:pPr>
              <w:jc w:val="right"/>
              <w:ind w:right="8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7"/>
                <w:szCs w:val="7"/>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color w:val="auto"/>
              </w:rPr>
              <w:t>$4,200</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$2,100</w:t>
            </w:r>
          </w:p>
        </w:tc>
        <w:tc>
          <w:tcPr>
            <w:tcW w:w="180" w:type="dxa"/>
            <w:vAlign w:val="bottom"/>
          </w:tcPr>
          <w:p>
            <w:pPr>
              <w:spacing w:after="0"/>
              <w:rPr>
                <w:sz w:val="7"/>
                <w:szCs w:val="7"/>
                <w:color w:val="auto"/>
              </w:rPr>
            </w:pPr>
          </w:p>
        </w:tc>
        <w:tc>
          <w:tcPr>
            <w:tcW w:w="56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Interest</w:t>
            </w: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4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1480" w:type="dxa"/>
            <w:vAlign w:val="bottom"/>
            <w:gridSpan w:val="3"/>
          </w:tcPr>
          <w:p>
            <w:pPr>
              <w:ind w:left="260"/>
              <w:spacing w:after="0"/>
              <w:rPr>
                <w:sz w:val="20"/>
                <w:szCs w:val="20"/>
                <w:color w:val="auto"/>
              </w:rPr>
            </w:pPr>
            <w:r>
              <w:rPr>
                <w:rFonts w:ascii="Arial" w:cs="Arial" w:eastAsia="Arial" w:hAnsi="Arial"/>
                <w:sz w:val="7"/>
                <w:szCs w:val="7"/>
                <w:b w:val="1"/>
                <w:bCs w:val="1"/>
                <w:color w:val="auto"/>
              </w:rPr>
              <w:t>Subtotal/Weighted Average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328,616</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93.6 %</w:t>
            </w: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85.5 %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85.5 %</w:t>
            </w: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84.7 %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84.7 %</w:t>
            </w:r>
          </w:p>
        </w:tc>
        <w:tc>
          <w:tcPr>
            <w:tcW w:w="120" w:type="dxa"/>
            <w:vAlign w:val="bottom"/>
          </w:tcPr>
          <w:p>
            <w:pPr>
              <w:spacing w:after="0"/>
              <w:rPr>
                <w:sz w:val="8"/>
                <w:szCs w:val="8"/>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b w:val="1"/>
                <w:bCs w:val="1"/>
                <w:color w:val="auto"/>
              </w:rPr>
              <w:t>$20,034</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$17,934</w:t>
            </w:r>
          </w:p>
        </w:tc>
        <w:tc>
          <w:tcPr>
            <w:tcW w:w="1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11</w:t>
            </w:r>
          </w:p>
        </w:tc>
        <w:tc>
          <w:tcPr>
            <w:tcW w:w="0" w:type="dxa"/>
            <w:vAlign w:val="bottom"/>
          </w:tcPr>
          <w:p>
            <w:pPr>
              <w:spacing w:after="0"/>
              <w:rPr>
                <w:sz w:val="1"/>
                <w:szCs w:val="1"/>
                <w:color w:val="auto"/>
              </w:rPr>
            </w:pPr>
          </w:p>
        </w:tc>
      </w:tr>
      <w:tr>
        <w:trPr>
          <w:trHeight w:val="148"/>
        </w:trPr>
        <w:tc>
          <w:tcPr>
            <w:tcW w:w="1840" w:type="dxa"/>
            <w:vAlign w:val="bottom"/>
            <w:gridSpan w:val="4"/>
          </w:tcPr>
          <w:p>
            <w:pPr>
              <w:spacing w:after="0"/>
              <w:rPr>
                <w:sz w:val="20"/>
                <w:szCs w:val="20"/>
                <w:color w:val="auto"/>
              </w:rPr>
            </w:pPr>
            <w:r>
              <w:rPr>
                <w:rFonts w:ascii="Arial" w:cs="Arial" w:eastAsia="Arial" w:hAnsi="Arial"/>
                <w:sz w:val="7"/>
                <w:szCs w:val="7"/>
                <w:b w:val="1"/>
                <w:bCs w:val="1"/>
                <w:color w:val="auto"/>
              </w:rPr>
              <w:t>Total / Weighted Average Retail Properties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351,264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100.0 %</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86.5 %</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86.5 %</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85.7 %</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85.7 %</w:t>
            </w:r>
          </w:p>
        </w:tc>
        <w:tc>
          <w:tcPr>
            <w:tcW w:w="120" w:type="dxa"/>
            <w:vAlign w:val="bottom"/>
          </w:tcPr>
          <w:p>
            <w:pPr>
              <w:spacing w:after="0"/>
              <w:rPr>
                <w:sz w:val="12"/>
                <w:szCs w:val="12"/>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b w:val="1"/>
                <w:bCs w:val="1"/>
                <w:color w:val="auto"/>
              </w:rPr>
              <w:t>$38,592</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$36,492</w:t>
            </w:r>
          </w:p>
        </w:tc>
        <w:tc>
          <w:tcPr>
            <w:tcW w:w="18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Arial" w:cs="Arial" w:eastAsia="Arial" w:hAnsi="Arial"/>
                <w:sz w:val="7"/>
                <w:szCs w:val="7"/>
                <w:b w:val="1"/>
                <w:bCs w:val="1"/>
                <w:color w:val="auto"/>
              </w:rPr>
              <w:t>12</w:t>
            </w:r>
          </w:p>
        </w:tc>
        <w:tc>
          <w:tcPr>
            <w:tcW w:w="0" w:type="dxa"/>
            <w:vAlign w:val="bottom"/>
          </w:tcPr>
          <w:p>
            <w:pPr>
              <w:spacing w:after="0"/>
              <w:rPr>
                <w:sz w:val="1"/>
                <w:szCs w:val="1"/>
                <w:color w:val="auto"/>
              </w:rPr>
            </w:pPr>
          </w:p>
        </w:tc>
      </w:tr>
      <w:tr>
        <w:trPr>
          <w:trHeight w:val="131"/>
        </w:trPr>
        <w:tc>
          <w:tcPr>
            <w:tcW w:w="360" w:type="dxa"/>
            <w:vAlign w:val="bottom"/>
            <w:tcBorders>
              <w:bottom w:val="single" w:sz="8" w:color="00497F"/>
            </w:tcBorders>
          </w:tcPr>
          <w:p>
            <w:pPr>
              <w:spacing w:after="0"/>
              <w:rPr>
                <w:sz w:val="11"/>
                <w:szCs w:val="11"/>
                <w:color w:val="auto"/>
              </w:rPr>
            </w:pPr>
          </w:p>
        </w:tc>
        <w:tc>
          <w:tcPr>
            <w:tcW w:w="1060" w:type="dxa"/>
            <w:vAlign w:val="bottom"/>
            <w:tcBorders>
              <w:bottom w:val="single" w:sz="8" w:color="00497F"/>
            </w:tcBorders>
          </w:tcPr>
          <w:p>
            <w:pPr>
              <w:spacing w:after="0"/>
              <w:rPr>
                <w:sz w:val="11"/>
                <w:szCs w:val="11"/>
                <w:color w:val="auto"/>
              </w:rPr>
            </w:pPr>
          </w:p>
        </w:tc>
        <w:tc>
          <w:tcPr>
            <w:tcW w:w="400" w:type="dxa"/>
            <w:vAlign w:val="bottom"/>
            <w:tcBorders>
              <w:bottom w:val="single" w:sz="8" w:color="00497F"/>
            </w:tcBorders>
          </w:tcPr>
          <w:p>
            <w:pPr>
              <w:spacing w:after="0"/>
              <w:rPr>
                <w:sz w:val="11"/>
                <w:szCs w:val="11"/>
                <w:color w:val="auto"/>
              </w:rPr>
            </w:pPr>
          </w:p>
        </w:tc>
        <w:tc>
          <w:tcPr>
            <w:tcW w:w="20" w:type="dxa"/>
            <w:vAlign w:val="bottom"/>
            <w:tcBorders>
              <w:bottom w:val="single" w:sz="8" w:color="00497F"/>
            </w:tcBorders>
          </w:tcPr>
          <w:p>
            <w:pPr>
              <w:spacing w:after="0"/>
              <w:rPr>
                <w:sz w:val="11"/>
                <w:szCs w:val="11"/>
                <w:color w:val="auto"/>
              </w:rPr>
            </w:pPr>
          </w:p>
        </w:tc>
        <w:tc>
          <w:tcPr>
            <w:tcW w:w="20" w:type="dxa"/>
            <w:vAlign w:val="bottom"/>
            <w:tcBorders>
              <w:bottom w:val="single" w:sz="8" w:color="00497F"/>
            </w:tcBorders>
          </w:tcPr>
          <w:p>
            <w:pPr>
              <w:spacing w:after="0"/>
              <w:rPr>
                <w:sz w:val="11"/>
                <w:szCs w:val="11"/>
                <w:color w:val="auto"/>
              </w:rPr>
            </w:pPr>
          </w:p>
        </w:tc>
        <w:tc>
          <w:tcPr>
            <w:tcW w:w="380" w:type="dxa"/>
            <w:vAlign w:val="bottom"/>
            <w:tcBorders>
              <w:bottom w:val="single" w:sz="8" w:color="00497F"/>
            </w:tcBorders>
          </w:tcPr>
          <w:p>
            <w:pPr>
              <w:spacing w:after="0"/>
              <w:rPr>
                <w:sz w:val="11"/>
                <w:szCs w:val="11"/>
                <w:color w:val="auto"/>
              </w:rPr>
            </w:pPr>
          </w:p>
        </w:tc>
        <w:tc>
          <w:tcPr>
            <w:tcW w:w="260" w:type="dxa"/>
            <w:vAlign w:val="bottom"/>
            <w:tcBorders>
              <w:bottom w:val="single" w:sz="8" w:color="00497F"/>
            </w:tcBorders>
          </w:tcPr>
          <w:p>
            <w:pPr>
              <w:spacing w:after="0"/>
              <w:rPr>
                <w:sz w:val="11"/>
                <w:szCs w:val="11"/>
                <w:color w:val="auto"/>
              </w:rPr>
            </w:pPr>
          </w:p>
        </w:tc>
        <w:tc>
          <w:tcPr>
            <w:tcW w:w="100" w:type="dxa"/>
            <w:vAlign w:val="bottom"/>
            <w:tcBorders>
              <w:bottom w:val="single" w:sz="8" w:color="00497F"/>
            </w:tcBorders>
          </w:tcPr>
          <w:p>
            <w:pPr>
              <w:spacing w:after="0"/>
              <w:rPr>
                <w:sz w:val="11"/>
                <w:szCs w:val="11"/>
                <w:color w:val="auto"/>
              </w:rPr>
            </w:pPr>
          </w:p>
        </w:tc>
        <w:tc>
          <w:tcPr>
            <w:tcW w:w="360" w:type="dxa"/>
            <w:vAlign w:val="bottom"/>
            <w:tcBorders>
              <w:bottom w:val="single" w:sz="8" w:color="00497F"/>
            </w:tcBorders>
          </w:tcPr>
          <w:p>
            <w:pPr>
              <w:spacing w:after="0"/>
              <w:rPr>
                <w:sz w:val="11"/>
                <w:szCs w:val="11"/>
                <w:color w:val="auto"/>
              </w:rPr>
            </w:pPr>
          </w:p>
        </w:tc>
        <w:tc>
          <w:tcPr>
            <w:tcW w:w="260" w:type="dxa"/>
            <w:vAlign w:val="bottom"/>
            <w:tcBorders>
              <w:bottom w:val="single" w:sz="8" w:color="00497F"/>
            </w:tcBorders>
          </w:tcPr>
          <w:p>
            <w:pPr>
              <w:spacing w:after="0"/>
              <w:rPr>
                <w:sz w:val="11"/>
                <w:szCs w:val="11"/>
                <w:color w:val="auto"/>
              </w:rPr>
            </w:pPr>
          </w:p>
        </w:tc>
        <w:tc>
          <w:tcPr>
            <w:tcW w:w="20" w:type="dxa"/>
            <w:vAlign w:val="bottom"/>
            <w:tcBorders>
              <w:bottom w:val="single" w:sz="8" w:color="00497F"/>
            </w:tcBorders>
          </w:tcPr>
          <w:p>
            <w:pPr>
              <w:spacing w:after="0"/>
              <w:rPr>
                <w:sz w:val="11"/>
                <w:szCs w:val="11"/>
                <w:color w:val="auto"/>
              </w:rPr>
            </w:pPr>
          </w:p>
        </w:tc>
        <w:tc>
          <w:tcPr>
            <w:tcW w:w="520" w:type="dxa"/>
            <w:vAlign w:val="bottom"/>
            <w:tcBorders>
              <w:bottom w:val="single" w:sz="8" w:color="00497F"/>
            </w:tcBorders>
          </w:tcPr>
          <w:p>
            <w:pPr>
              <w:spacing w:after="0"/>
              <w:rPr>
                <w:sz w:val="11"/>
                <w:szCs w:val="11"/>
                <w:color w:val="auto"/>
              </w:rPr>
            </w:pPr>
          </w:p>
        </w:tc>
        <w:tc>
          <w:tcPr>
            <w:tcW w:w="20" w:type="dxa"/>
            <w:vAlign w:val="bottom"/>
            <w:tcBorders>
              <w:bottom w:val="single" w:sz="8" w:color="00497F"/>
            </w:tcBorders>
          </w:tcPr>
          <w:p>
            <w:pPr>
              <w:spacing w:after="0"/>
              <w:rPr>
                <w:sz w:val="11"/>
                <w:szCs w:val="11"/>
                <w:color w:val="auto"/>
              </w:rPr>
            </w:pPr>
          </w:p>
        </w:tc>
        <w:tc>
          <w:tcPr>
            <w:tcW w:w="140" w:type="dxa"/>
            <w:vAlign w:val="bottom"/>
            <w:tcBorders>
              <w:bottom w:val="single" w:sz="8" w:color="00497F"/>
            </w:tcBorders>
          </w:tcPr>
          <w:p>
            <w:pPr>
              <w:spacing w:after="0"/>
              <w:rPr>
                <w:sz w:val="11"/>
                <w:szCs w:val="11"/>
                <w:color w:val="auto"/>
              </w:rPr>
            </w:pPr>
          </w:p>
        </w:tc>
        <w:tc>
          <w:tcPr>
            <w:tcW w:w="160" w:type="dxa"/>
            <w:vAlign w:val="bottom"/>
            <w:tcBorders>
              <w:bottom w:val="single" w:sz="8" w:color="00497F"/>
            </w:tcBorders>
          </w:tcPr>
          <w:p>
            <w:pPr>
              <w:spacing w:after="0"/>
              <w:rPr>
                <w:sz w:val="11"/>
                <w:szCs w:val="11"/>
                <w:color w:val="auto"/>
              </w:rPr>
            </w:pPr>
          </w:p>
        </w:tc>
        <w:tc>
          <w:tcPr>
            <w:tcW w:w="100" w:type="dxa"/>
            <w:vAlign w:val="bottom"/>
            <w:tcBorders>
              <w:bottom w:val="single" w:sz="8" w:color="00497F"/>
            </w:tcBorders>
          </w:tcPr>
          <w:p>
            <w:pPr>
              <w:spacing w:after="0"/>
              <w:rPr>
                <w:sz w:val="11"/>
                <w:szCs w:val="11"/>
                <w:color w:val="auto"/>
              </w:rPr>
            </w:pPr>
          </w:p>
        </w:tc>
        <w:tc>
          <w:tcPr>
            <w:tcW w:w="180" w:type="dxa"/>
            <w:vAlign w:val="bottom"/>
            <w:tcBorders>
              <w:bottom w:val="single" w:sz="8" w:color="00497F"/>
            </w:tcBorders>
          </w:tcPr>
          <w:p>
            <w:pPr>
              <w:spacing w:after="0"/>
              <w:rPr>
                <w:sz w:val="11"/>
                <w:szCs w:val="11"/>
                <w:color w:val="auto"/>
              </w:rPr>
            </w:pPr>
          </w:p>
        </w:tc>
        <w:tc>
          <w:tcPr>
            <w:tcW w:w="20" w:type="dxa"/>
            <w:vAlign w:val="bottom"/>
            <w:tcBorders>
              <w:bottom w:val="single" w:sz="8" w:color="00497F"/>
            </w:tcBorders>
          </w:tcPr>
          <w:p>
            <w:pPr>
              <w:spacing w:after="0"/>
              <w:rPr>
                <w:sz w:val="11"/>
                <w:szCs w:val="11"/>
                <w:color w:val="auto"/>
              </w:rPr>
            </w:pPr>
          </w:p>
        </w:tc>
        <w:tc>
          <w:tcPr>
            <w:tcW w:w="160" w:type="dxa"/>
            <w:vAlign w:val="bottom"/>
            <w:tcBorders>
              <w:bottom w:val="single" w:sz="8" w:color="00497F"/>
            </w:tcBorders>
          </w:tcPr>
          <w:p>
            <w:pPr>
              <w:spacing w:after="0"/>
              <w:rPr>
                <w:sz w:val="11"/>
                <w:szCs w:val="11"/>
                <w:color w:val="auto"/>
              </w:rPr>
            </w:pPr>
          </w:p>
        </w:tc>
        <w:tc>
          <w:tcPr>
            <w:tcW w:w="560" w:type="dxa"/>
            <w:vAlign w:val="bottom"/>
            <w:tcBorders>
              <w:bottom w:val="single" w:sz="8" w:color="00497F"/>
            </w:tcBorders>
          </w:tcPr>
          <w:p>
            <w:pPr>
              <w:spacing w:after="0"/>
              <w:rPr>
                <w:sz w:val="11"/>
                <w:szCs w:val="11"/>
                <w:color w:val="auto"/>
              </w:rPr>
            </w:pPr>
          </w:p>
        </w:tc>
        <w:tc>
          <w:tcPr>
            <w:tcW w:w="80" w:type="dxa"/>
            <w:vAlign w:val="bottom"/>
            <w:tcBorders>
              <w:bottom w:val="single" w:sz="8" w:color="00497F"/>
            </w:tcBorders>
          </w:tcPr>
          <w:p>
            <w:pPr>
              <w:spacing w:after="0"/>
              <w:rPr>
                <w:sz w:val="11"/>
                <w:szCs w:val="11"/>
                <w:color w:val="auto"/>
              </w:rPr>
            </w:pPr>
          </w:p>
        </w:tc>
        <w:tc>
          <w:tcPr>
            <w:tcW w:w="580" w:type="dxa"/>
            <w:vAlign w:val="bottom"/>
            <w:tcBorders>
              <w:bottom w:val="single" w:sz="8" w:color="00497F"/>
            </w:tcBorders>
          </w:tcPr>
          <w:p>
            <w:pPr>
              <w:spacing w:after="0"/>
              <w:rPr>
                <w:sz w:val="11"/>
                <w:szCs w:val="11"/>
                <w:color w:val="auto"/>
              </w:rPr>
            </w:pPr>
          </w:p>
        </w:tc>
        <w:tc>
          <w:tcPr>
            <w:tcW w:w="100" w:type="dxa"/>
            <w:vAlign w:val="bottom"/>
            <w:tcBorders>
              <w:bottom w:val="single" w:sz="8" w:color="00497F"/>
            </w:tcBorders>
          </w:tcPr>
          <w:p>
            <w:pPr>
              <w:spacing w:after="0"/>
              <w:rPr>
                <w:sz w:val="11"/>
                <w:szCs w:val="11"/>
                <w:color w:val="auto"/>
              </w:rPr>
            </w:pPr>
          </w:p>
        </w:tc>
        <w:tc>
          <w:tcPr>
            <w:tcW w:w="560" w:type="dxa"/>
            <w:vAlign w:val="bottom"/>
            <w:tcBorders>
              <w:bottom w:val="single" w:sz="8" w:color="00497F"/>
            </w:tcBorders>
          </w:tcPr>
          <w:p>
            <w:pPr>
              <w:spacing w:after="0"/>
              <w:rPr>
                <w:sz w:val="11"/>
                <w:szCs w:val="11"/>
                <w:color w:val="auto"/>
              </w:rPr>
            </w:pPr>
          </w:p>
        </w:tc>
        <w:tc>
          <w:tcPr>
            <w:tcW w:w="80" w:type="dxa"/>
            <w:vAlign w:val="bottom"/>
            <w:tcBorders>
              <w:bottom w:val="single" w:sz="8" w:color="00497F"/>
            </w:tcBorders>
          </w:tcPr>
          <w:p>
            <w:pPr>
              <w:spacing w:after="0"/>
              <w:rPr>
                <w:sz w:val="11"/>
                <w:szCs w:val="11"/>
                <w:color w:val="auto"/>
              </w:rPr>
            </w:pPr>
          </w:p>
        </w:tc>
        <w:tc>
          <w:tcPr>
            <w:tcW w:w="580" w:type="dxa"/>
            <w:vAlign w:val="bottom"/>
            <w:tcBorders>
              <w:bottom w:val="single" w:sz="8" w:color="00497F"/>
            </w:tcBorders>
          </w:tcPr>
          <w:p>
            <w:pPr>
              <w:spacing w:after="0"/>
              <w:rPr>
                <w:sz w:val="11"/>
                <w:szCs w:val="11"/>
                <w:color w:val="auto"/>
              </w:rPr>
            </w:pPr>
          </w:p>
        </w:tc>
        <w:tc>
          <w:tcPr>
            <w:tcW w:w="120" w:type="dxa"/>
            <w:vAlign w:val="bottom"/>
            <w:tcBorders>
              <w:bottom w:val="single" w:sz="8" w:color="00497F"/>
            </w:tcBorders>
          </w:tcPr>
          <w:p>
            <w:pPr>
              <w:spacing w:after="0"/>
              <w:rPr>
                <w:sz w:val="11"/>
                <w:szCs w:val="11"/>
                <w:color w:val="auto"/>
              </w:rPr>
            </w:pPr>
          </w:p>
        </w:tc>
        <w:tc>
          <w:tcPr>
            <w:tcW w:w="480" w:type="dxa"/>
            <w:vAlign w:val="bottom"/>
            <w:tcBorders>
              <w:bottom w:val="single" w:sz="8" w:color="00497F"/>
            </w:tcBorders>
          </w:tcPr>
          <w:p>
            <w:pPr>
              <w:spacing w:after="0"/>
              <w:rPr>
                <w:sz w:val="11"/>
                <w:szCs w:val="11"/>
                <w:color w:val="auto"/>
              </w:rPr>
            </w:pPr>
          </w:p>
        </w:tc>
        <w:tc>
          <w:tcPr>
            <w:tcW w:w="640" w:type="dxa"/>
            <w:vAlign w:val="bottom"/>
            <w:tcBorders>
              <w:bottom w:val="single" w:sz="8" w:color="00497F"/>
            </w:tcBorders>
          </w:tcPr>
          <w:p>
            <w:pPr>
              <w:spacing w:after="0"/>
              <w:rPr>
                <w:sz w:val="11"/>
                <w:szCs w:val="11"/>
                <w:color w:val="auto"/>
              </w:rPr>
            </w:pPr>
          </w:p>
        </w:tc>
        <w:tc>
          <w:tcPr>
            <w:tcW w:w="180" w:type="dxa"/>
            <w:vAlign w:val="bottom"/>
            <w:tcBorders>
              <w:bottom w:val="single" w:sz="8" w:color="00497F"/>
            </w:tcBorders>
          </w:tcPr>
          <w:p>
            <w:pPr>
              <w:spacing w:after="0"/>
              <w:rPr>
                <w:sz w:val="11"/>
                <w:szCs w:val="11"/>
                <w:color w:val="auto"/>
              </w:rPr>
            </w:pPr>
          </w:p>
        </w:tc>
        <w:tc>
          <w:tcPr>
            <w:tcW w:w="560" w:type="dxa"/>
            <w:vAlign w:val="bottom"/>
            <w:tcBorders>
              <w:bottom w:val="single" w:sz="8" w:color="00497F"/>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7"/>
                <w:szCs w:val="7"/>
                <w:b w:val="1"/>
                <w:bCs w:val="1"/>
                <w:color w:val="auto"/>
              </w:rPr>
              <w:t>Average</w:t>
            </w:r>
          </w:p>
        </w:tc>
        <w:tc>
          <w:tcPr>
            <w:tcW w:w="0" w:type="dxa"/>
            <w:vAlign w:val="bottom"/>
          </w:tcPr>
          <w:p>
            <w:pPr>
              <w:spacing w:after="0"/>
              <w:rPr>
                <w:sz w:val="1"/>
                <w:szCs w:val="1"/>
                <w:color w:val="auto"/>
              </w:rPr>
            </w:pPr>
          </w:p>
        </w:tc>
      </w:tr>
      <w:tr>
        <w:trPr>
          <w:trHeight w:val="69"/>
        </w:trPr>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7"/>
                <w:szCs w:val="7"/>
                <w:b w:val="1"/>
                <w:bCs w:val="1"/>
                <w:color w:val="auto"/>
              </w:rPr>
              <w:t>Annualized Contractual</w:t>
            </w:r>
          </w:p>
        </w:tc>
        <w:tc>
          <w:tcPr>
            <w:tcW w:w="180" w:type="dxa"/>
            <w:vAlign w:val="bottom"/>
          </w:tcPr>
          <w:p>
            <w:pPr>
              <w:spacing w:after="0"/>
              <w:rPr>
                <w:sz w:val="5"/>
                <w:szCs w:val="5"/>
                <w:color w:val="auto"/>
              </w:rPr>
            </w:pPr>
          </w:p>
        </w:tc>
        <w:tc>
          <w:tcPr>
            <w:tcW w:w="560" w:type="dxa"/>
            <w:vAlign w:val="bottom"/>
          </w:tcPr>
          <w:p>
            <w:pPr>
              <w:jc w:val="center"/>
              <w:spacing w:after="0" w:line="69" w:lineRule="exact"/>
              <w:rPr>
                <w:sz w:val="20"/>
                <w:szCs w:val="20"/>
                <w:color w:val="auto"/>
              </w:rPr>
            </w:pPr>
            <w:r>
              <w:rPr>
                <w:rFonts w:ascii="Arial" w:cs="Arial" w:eastAsia="Arial" w:hAnsi="Arial"/>
                <w:sz w:val="7"/>
                <w:szCs w:val="7"/>
                <w:b w:val="1"/>
                <w:bCs w:val="1"/>
                <w:color w:val="auto"/>
              </w:rPr>
              <w:t>Monthly Rent</w:t>
            </w:r>
          </w:p>
        </w:tc>
        <w:tc>
          <w:tcPr>
            <w:tcW w:w="0" w:type="dxa"/>
            <w:vAlign w:val="bottom"/>
          </w:tcPr>
          <w:p>
            <w:pPr>
              <w:spacing w:after="0"/>
              <w:rPr>
                <w:sz w:val="1"/>
                <w:szCs w:val="1"/>
                <w:color w:val="auto"/>
              </w:rPr>
            </w:pPr>
          </w:p>
        </w:tc>
      </w:tr>
      <w:tr>
        <w:trPr>
          <w:trHeight w:val="69"/>
        </w:trPr>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jc w:val="center"/>
              <w:spacing w:after="0" w:line="69" w:lineRule="exact"/>
              <w:rPr>
                <w:sz w:val="20"/>
                <w:szCs w:val="20"/>
                <w:color w:val="auto"/>
              </w:rPr>
            </w:pPr>
            <w:r>
              <w:rPr>
                <w:rFonts w:ascii="Arial" w:cs="Arial" w:eastAsia="Arial" w:hAnsi="Arial"/>
                <w:sz w:val="7"/>
                <w:szCs w:val="7"/>
                <w:b w:val="1"/>
                <w:bCs w:val="1"/>
                <w:color w:val="auto"/>
              </w:rPr>
              <w:t>Per Occupied</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March 31, 2026</w:t>
            </w:r>
          </w:p>
        </w:tc>
        <w:tc>
          <w:tcPr>
            <w:tcW w:w="100" w:type="dxa"/>
            <w:vAlign w:val="bottom"/>
          </w:tcPr>
          <w:p>
            <w:pPr>
              <w:spacing w:after="0"/>
              <w:rPr>
                <w:sz w:val="9"/>
                <w:szCs w:val="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December 31, 2025</w:t>
            </w:r>
          </w:p>
        </w:tc>
        <w:tc>
          <w:tcPr>
            <w:tcW w:w="120" w:type="dxa"/>
            <w:vAlign w:val="bottom"/>
          </w:tcPr>
          <w:p>
            <w:pPr>
              <w:spacing w:after="0"/>
              <w:rPr>
                <w:sz w:val="9"/>
                <w:szCs w:val="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b w:val="1"/>
                <w:bCs w:val="1"/>
                <w:color w:val="auto"/>
              </w:rPr>
              <w:t>Cash Rent</w:t>
            </w:r>
          </w:p>
        </w:tc>
        <w:tc>
          <w:tcPr>
            <w:tcW w:w="18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Unit</w:t>
            </w: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gridSpan w:val="2"/>
          </w:tcPr>
          <w:p>
            <w:pPr>
              <w:ind w:left="20"/>
              <w:spacing w:after="0"/>
              <w:rPr>
                <w:sz w:val="20"/>
                <w:szCs w:val="20"/>
                <w:color w:val="auto"/>
              </w:rPr>
            </w:pPr>
            <w:r>
              <w:rPr>
                <w:rFonts w:ascii="Arial" w:cs="Arial" w:eastAsia="Arial" w:hAnsi="Arial"/>
                <w:sz w:val="7"/>
                <w:szCs w:val="7"/>
                <w:b w:val="1"/>
                <w:bCs w:val="1"/>
                <w:color w:val="auto"/>
              </w:rPr>
              <w:t>Ownership</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7"/>
                <w:szCs w:val="7"/>
                <w:b w:val="1"/>
                <w:bCs w:val="1"/>
                <w:color w:val="auto"/>
                <w:w w:val="95"/>
              </w:rPr>
              <w:t>Total</w:t>
            </w:r>
          </w:p>
        </w:tc>
        <w:tc>
          <w:tcPr>
            <w:tcW w:w="1320" w:type="dxa"/>
            <w:vAlign w:val="bottom"/>
            <w:gridSpan w:val="4"/>
          </w:tcPr>
          <w:p>
            <w:pPr>
              <w:jc w:val="center"/>
              <w:ind w:right="100"/>
              <w:spacing w:after="0"/>
              <w:rPr>
                <w:sz w:val="20"/>
                <w:szCs w:val="20"/>
                <w:color w:val="auto"/>
              </w:rPr>
            </w:pPr>
            <w:r>
              <w:rPr>
                <w:rFonts w:ascii="Arial" w:cs="Arial" w:eastAsia="Arial" w:hAnsi="Arial"/>
                <w:sz w:val="7"/>
                <w:szCs w:val="7"/>
                <w:b w:val="1"/>
                <w:bCs w:val="1"/>
                <w:color w:val="auto"/>
              </w:rPr>
              <w:t>Occupancy %</w:t>
            </w:r>
          </w:p>
        </w:tc>
        <w:tc>
          <w:tcPr>
            <w:tcW w:w="1340" w:type="dxa"/>
            <w:vAlign w:val="bottom"/>
            <w:gridSpan w:val="4"/>
          </w:tcPr>
          <w:p>
            <w:pPr>
              <w:jc w:val="center"/>
              <w:ind w:right="140"/>
              <w:spacing w:after="0"/>
              <w:rPr>
                <w:sz w:val="20"/>
                <w:szCs w:val="20"/>
                <w:color w:val="auto"/>
              </w:rPr>
            </w:pPr>
            <w:r>
              <w:rPr>
                <w:rFonts w:ascii="Arial" w:cs="Arial" w:eastAsia="Arial" w:hAnsi="Arial"/>
                <w:sz w:val="7"/>
                <w:szCs w:val="7"/>
                <w:b w:val="1"/>
                <w:bCs w:val="1"/>
                <w:color w:val="auto"/>
              </w:rPr>
              <w:t>Occupancy %</w:t>
            </w: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rPr>
                <w:sz w:val="20"/>
                <w:szCs w:val="20"/>
                <w:color w:val="auto"/>
              </w:rPr>
            </w:pPr>
            <w:r>
              <w:rPr>
                <w:rFonts w:ascii="Arial" w:cs="Arial" w:eastAsia="Arial" w:hAnsi="Arial"/>
                <w:sz w:val="7"/>
                <w:szCs w:val="7"/>
                <w:b w:val="1"/>
                <w:bCs w:val="1"/>
                <w:color w:val="auto"/>
                <w:w w:val="98"/>
              </w:rPr>
              <w:t>Properties</w:t>
            </w:r>
          </w:p>
        </w:tc>
        <w:tc>
          <w:tcPr>
            <w:tcW w:w="1060" w:type="dxa"/>
            <w:vAlign w:val="bottom"/>
          </w:tcPr>
          <w:p>
            <w:pPr>
              <w:spacing w:after="0"/>
              <w:rPr>
                <w:sz w:val="8"/>
                <w:szCs w:val="8"/>
                <w:color w:val="auto"/>
              </w:rPr>
            </w:pPr>
          </w:p>
        </w:tc>
        <w:tc>
          <w:tcPr>
            <w:tcW w:w="400" w:type="dxa"/>
            <w:vAlign w:val="bottom"/>
          </w:tcPr>
          <w:p>
            <w:pPr>
              <w:spacing w:after="0"/>
              <w:rPr>
                <w:sz w:val="20"/>
                <w:szCs w:val="20"/>
                <w:color w:val="auto"/>
              </w:rPr>
            </w:pPr>
            <w:r>
              <w:rPr>
                <w:rFonts w:ascii="Arial" w:cs="Arial" w:eastAsia="Arial" w:hAnsi="Arial"/>
                <w:sz w:val="7"/>
                <w:szCs w:val="7"/>
                <w:b w:val="1"/>
                <w:bCs w:val="1"/>
                <w:color w:val="auto"/>
                <w:w w:val="99"/>
              </w:rPr>
              <w:t>Interest (%)</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20"/>
                <w:szCs w:val="20"/>
                <w:color w:val="auto"/>
              </w:rPr>
            </w:pPr>
            <w:r>
              <w:rPr>
                <w:rFonts w:ascii="Arial" w:cs="Arial" w:eastAsia="Arial" w:hAnsi="Arial"/>
                <w:sz w:val="7"/>
                <w:szCs w:val="7"/>
                <w:b w:val="1"/>
                <w:bCs w:val="1"/>
                <w:color w:val="auto"/>
              </w:rPr>
              <w:t>SubMarket</w:t>
            </w:r>
          </w:p>
        </w:tc>
        <w:tc>
          <w:tcPr>
            <w:tcW w:w="260" w:type="dxa"/>
            <w:vAlign w:val="bottom"/>
          </w:tcPr>
          <w:p>
            <w:pPr>
              <w:spacing w:after="0"/>
              <w:rPr>
                <w:sz w:val="8"/>
                <w:szCs w:val="8"/>
                <w:color w:val="auto"/>
              </w:rPr>
            </w:pPr>
          </w:p>
        </w:tc>
        <w:tc>
          <w:tcPr>
            <w:tcW w:w="720" w:type="dxa"/>
            <w:vAlign w:val="bottom"/>
            <w:gridSpan w:val="3"/>
          </w:tcPr>
          <w:p>
            <w:pPr>
              <w:ind w:left="100"/>
              <w:spacing w:after="0"/>
              <w:rPr>
                <w:sz w:val="20"/>
                <w:szCs w:val="20"/>
                <w:color w:val="auto"/>
              </w:rPr>
            </w:pPr>
            <w:r>
              <w:rPr>
                <w:rFonts w:ascii="Arial" w:cs="Arial" w:eastAsia="Arial" w:hAnsi="Arial"/>
                <w:sz w:val="7"/>
                <w:szCs w:val="7"/>
                <w:b w:val="1"/>
                <w:bCs w:val="1"/>
                <w:color w:val="auto"/>
              </w:rPr>
              <w:t>Ownership</w:t>
            </w:r>
          </w:p>
        </w:tc>
        <w:tc>
          <w:tcPr>
            <w:tcW w:w="20" w:type="dxa"/>
            <w:vAlign w:val="bottom"/>
          </w:tcPr>
          <w:p>
            <w:pPr>
              <w:spacing w:after="0"/>
              <w:rPr>
                <w:sz w:val="8"/>
                <w:szCs w:val="8"/>
                <w:color w:val="auto"/>
              </w:rPr>
            </w:pPr>
          </w:p>
        </w:tc>
        <w:tc>
          <w:tcPr>
            <w:tcW w:w="680" w:type="dxa"/>
            <w:vAlign w:val="bottom"/>
            <w:gridSpan w:val="3"/>
          </w:tcPr>
          <w:p>
            <w:pPr>
              <w:spacing w:after="0"/>
              <w:rPr>
                <w:sz w:val="20"/>
                <w:szCs w:val="20"/>
                <w:color w:val="auto"/>
              </w:rPr>
            </w:pPr>
            <w:r>
              <w:rPr>
                <w:rFonts w:ascii="Arial" w:cs="Arial" w:eastAsia="Arial" w:hAnsi="Arial"/>
                <w:sz w:val="7"/>
                <w:szCs w:val="7"/>
                <w:b w:val="1"/>
                <w:bCs w:val="1"/>
                <w:color w:val="auto"/>
              </w:rPr>
              <w:t>Square Feet (1)</w:t>
            </w:r>
          </w:p>
        </w:tc>
        <w:tc>
          <w:tcPr>
            <w:tcW w:w="160" w:type="dxa"/>
            <w:vAlign w:val="bottom"/>
          </w:tcPr>
          <w:p>
            <w:pPr>
              <w:spacing w:after="0"/>
              <w:rPr>
                <w:sz w:val="8"/>
                <w:szCs w:val="8"/>
                <w:color w:val="auto"/>
              </w:rPr>
            </w:pPr>
          </w:p>
        </w:tc>
        <w:tc>
          <w:tcPr>
            <w:tcW w:w="46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Units</w:t>
            </w:r>
          </w:p>
        </w:tc>
        <w:tc>
          <w:tcPr>
            <w:tcW w:w="640" w:type="dxa"/>
            <w:vAlign w:val="bottom"/>
            <w:gridSpan w:val="2"/>
          </w:tcPr>
          <w:p>
            <w:pPr>
              <w:ind w:left="100"/>
              <w:spacing w:after="0"/>
              <w:rPr>
                <w:sz w:val="20"/>
                <w:szCs w:val="20"/>
                <w:color w:val="auto"/>
              </w:rPr>
            </w:pPr>
            <w:r>
              <w:rPr>
                <w:rFonts w:ascii="Arial" w:cs="Arial" w:eastAsia="Arial" w:hAnsi="Arial"/>
                <w:sz w:val="7"/>
                <w:szCs w:val="7"/>
                <w:b w:val="1"/>
                <w:bCs w:val="1"/>
                <w:color w:val="auto"/>
              </w:rPr>
              <w:t>Leased (2)</w:t>
            </w:r>
          </w:p>
        </w:tc>
        <w:tc>
          <w:tcPr>
            <w:tcW w:w="680" w:type="dxa"/>
            <w:vAlign w:val="bottom"/>
            <w:gridSpan w:val="2"/>
          </w:tcPr>
          <w:p>
            <w:pPr>
              <w:ind w:left="80"/>
              <w:spacing w:after="0"/>
              <w:rPr>
                <w:sz w:val="20"/>
                <w:szCs w:val="20"/>
                <w:color w:val="auto"/>
              </w:rPr>
            </w:pPr>
            <w:r>
              <w:rPr>
                <w:rFonts w:ascii="Arial" w:cs="Arial" w:eastAsia="Arial" w:hAnsi="Arial"/>
                <w:sz w:val="7"/>
                <w:szCs w:val="7"/>
                <w:b w:val="1"/>
                <w:bCs w:val="1"/>
                <w:color w:val="auto"/>
              </w:rPr>
              <w:t>Occupied (3)</w:t>
            </w:r>
          </w:p>
        </w:tc>
        <w:tc>
          <w:tcPr>
            <w:tcW w:w="640" w:type="dxa"/>
            <w:vAlign w:val="bottom"/>
            <w:gridSpan w:val="2"/>
          </w:tcPr>
          <w:p>
            <w:pPr>
              <w:ind w:left="80"/>
              <w:spacing w:after="0"/>
              <w:rPr>
                <w:sz w:val="20"/>
                <w:szCs w:val="20"/>
                <w:color w:val="auto"/>
              </w:rPr>
            </w:pPr>
            <w:r>
              <w:rPr>
                <w:rFonts w:ascii="Arial" w:cs="Arial" w:eastAsia="Arial" w:hAnsi="Arial"/>
                <w:sz w:val="7"/>
                <w:szCs w:val="7"/>
                <w:b w:val="1"/>
                <w:bCs w:val="1"/>
                <w:color w:val="auto"/>
              </w:rPr>
              <w:t>Leased (2)</w:t>
            </w:r>
          </w:p>
        </w:tc>
        <w:tc>
          <w:tcPr>
            <w:tcW w:w="700" w:type="dxa"/>
            <w:vAlign w:val="bottom"/>
            <w:gridSpan w:val="2"/>
          </w:tcPr>
          <w:p>
            <w:pPr>
              <w:ind w:left="60"/>
              <w:spacing w:after="0"/>
              <w:rPr>
                <w:sz w:val="20"/>
                <w:szCs w:val="20"/>
                <w:color w:val="auto"/>
              </w:rPr>
            </w:pPr>
            <w:r>
              <w:rPr>
                <w:rFonts w:ascii="Arial" w:cs="Arial" w:eastAsia="Arial" w:hAnsi="Arial"/>
                <w:sz w:val="7"/>
                <w:szCs w:val="7"/>
                <w:b w:val="1"/>
                <w:bCs w:val="1"/>
                <w:color w:val="auto"/>
              </w:rPr>
              <w:t>Occupied (3)</w:t>
            </w:r>
          </w:p>
        </w:tc>
        <w:tc>
          <w:tcPr>
            <w:tcW w:w="480" w:type="dxa"/>
            <w:vAlign w:val="bottom"/>
          </w:tcPr>
          <w:p>
            <w:pPr>
              <w:ind w:left="200"/>
              <w:spacing w:after="0"/>
              <w:rPr>
                <w:sz w:val="20"/>
                <w:szCs w:val="20"/>
                <w:color w:val="auto"/>
              </w:rPr>
            </w:pPr>
            <w:r>
              <w:rPr>
                <w:rFonts w:ascii="Arial" w:cs="Arial" w:eastAsia="Arial" w:hAnsi="Arial"/>
                <w:sz w:val="7"/>
                <w:szCs w:val="7"/>
                <w:b w:val="1"/>
                <w:bCs w:val="1"/>
                <w:color w:val="auto"/>
              </w:rPr>
              <w:t>($'s)</w:t>
            </w:r>
          </w:p>
        </w:tc>
        <w:tc>
          <w:tcPr>
            <w:tcW w:w="640" w:type="dxa"/>
            <w:vAlign w:val="bottom"/>
          </w:tcPr>
          <w:p>
            <w:pPr>
              <w:ind w:left="80"/>
              <w:spacing w:after="0"/>
              <w:rPr>
                <w:sz w:val="20"/>
                <w:szCs w:val="20"/>
                <w:color w:val="auto"/>
              </w:rPr>
            </w:pPr>
            <w:r>
              <w:rPr>
                <w:rFonts w:ascii="Arial" w:cs="Arial" w:eastAsia="Arial" w:hAnsi="Arial"/>
                <w:sz w:val="7"/>
                <w:szCs w:val="7"/>
                <w:b w:val="1"/>
                <w:bCs w:val="1"/>
                <w:color w:val="auto"/>
              </w:rPr>
              <w:t>SLG Share ($'s)</w:t>
            </w:r>
          </w:p>
        </w:tc>
        <w:tc>
          <w:tcPr>
            <w:tcW w:w="18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7"/>
                <w:szCs w:val="7"/>
                <w:b w:val="1"/>
                <w:bCs w:val="1"/>
                <w:color w:val="auto"/>
              </w:rPr>
              <w:t>($'s)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420" w:type="dxa"/>
            <w:vAlign w:val="bottom"/>
            <w:gridSpan w:val="2"/>
          </w:tcPr>
          <w:p>
            <w:pPr>
              <w:spacing w:after="0"/>
              <w:rPr>
                <w:sz w:val="20"/>
                <w:szCs w:val="20"/>
                <w:color w:val="auto"/>
              </w:rPr>
            </w:pPr>
            <w:r>
              <w:rPr>
                <w:rFonts w:ascii="Arial" w:cs="Arial" w:eastAsia="Arial" w:hAnsi="Arial"/>
                <w:sz w:val="7"/>
                <w:szCs w:val="7"/>
                <w:b w:val="1"/>
                <w:bCs w:val="1"/>
                <w:color w:val="auto"/>
              </w:rPr>
              <w:t>RESIDENTIAL PROPERTIES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Residential</w:t>
            </w: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1420" w:type="dxa"/>
            <w:vAlign w:val="bottom"/>
            <w:gridSpan w:val="2"/>
          </w:tcPr>
          <w:p>
            <w:pPr>
              <w:spacing w:after="0"/>
              <w:rPr>
                <w:sz w:val="20"/>
                <w:szCs w:val="20"/>
                <w:color w:val="auto"/>
              </w:rPr>
            </w:pPr>
            <w:r>
              <w:rPr>
                <w:rFonts w:ascii="Arial" w:cs="Arial" w:eastAsia="Arial" w:hAnsi="Arial"/>
                <w:sz w:val="7"/>
                <w:szCs w:val="7"/>
                <w:color w:val="auto"/>
              </w:rPr>
              <w:t>7 Dey Street</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8"/>
                <w:szCs w:val="8"/>
                <w:color w:val="auto"/>
              </w:rPr>
            </w:pPr>
          </w:p>
        </w:tc>
        <w:tc>
          <w:tcPr>
            <w:tcW w:w="660" w:type="dxa"/>
            <w:vAlign w:val="bottom"/>
            <w:gridSpan w:val="3"/>
          </w:tcPr>
          <w:p>
            <w:pPr>
              <w:ind w:left="20"/>
              <w:spacing w:after="0"/>
              <w:rPr>
                <w:sz w:val="20"/>
                <w:szCs w:val="20"/>
                <w:color w:val="auto"/>
              </w:rPr>
            </w:pPr>
            <w:r>
              <w:rPr>
                <w:rFonts w:ascii="Arial" w:cs="Arial" w:eastAsia="Arial" w:hAnsi="Arial"/>
                <w:sz w:val="7"/>
                <w:szCs w:val="7"/>
                <w:color w:val="auto"/>
              </w:rPr>
              <w:t>Lower Manhattan</w:t>
            </w: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4"/>
              <w:spacing w:after="0"/>
              <w:rPr>
                <w:sz w:val="20"/>
                <w:szCs w:val="20"/>
                <w:color w:val="auto"/>
              </w:rPr>
            </w:pPr>
            <w:r>
              <w:rPr>
                <w:rFonts w:ascii="Arial" w:cs="Arial" w:eastAsia="Arial" w:hAnsi="Arial"/>
                <w:sz w:val="7"/>
                <w:szCs w:val="7"/>
                <w:color w:val="auto"/>
              </w:rPr>
              <w:t>140,382</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color w:val="auto"/>
              </w:rPr>
              <w:t>209</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8"/>
                <w:szCs w:val="8"/>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98.6</w:t>
            </w:r>
          </w:p>
        </w:tc>
        <w:tc>
          <w:tcPr>
            <w:tcW w:w="100" w:type="dxa"/>
            <w:vAlign w:val="bottom"/>
          </w:tcPr>
          <w:p>
            <w:pPr>
              <w:spacing w:after="0"/>
              <w:rPr>
                <w:sz w:val="8"/>
                <w:szCs w:val="8"/>
                <w:color w:val="auto"/>
              </w:rPr>
            </w:pPr>
          </w:p>
        </w:tc>
        <w:tc>
          <w:tcPr>
            <w:tcW w:w="560" w:type="dxa"/>
            <w:vAlign w:val="bottom"/>
          </w:tcPr>
          <w:p>
            <w:pPr>
              <w:jc w:val="right"/>
              <w:ind w:right="84"/>
              <w:spacing w:after="0"/>
              <w:rPr>
                <w:sz w:val="20"/>
                <w:szCs w:val="20"/>
                <w:color w:val="auto"/>
              </w:rPr>
            </w:pPr>
            <w:r>
              <w:rPr>
                <w:rFonts w:ascii="Arial" w:cs="Arial" w:eastAsia="Arial" w:hAnsi="Arial"/>
                <w:sz w:val="7"/>
                <w:szCs w:val="7"/>
                <w:color w:val="auto"/>
              </w:rPr>
              <w:t>99.5</w:t>
            </w:r>
          </w:p>
        </w:tc>
        <w:tc>
          <w:tcPr>
            <w:tcW w:w="80" w:type="dxa"/>
            <w:vAlign w:val="bottom"/>
          </w:tcPr>
          <w:p>
            <w:pPr>
              <w:spacing w:after="0"/>
              <w:rPr>
                <w:sz w:val="8"/>
                <w:szCs w:val="8"/>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98.6</w:t>
            </w:r>
          </w:p>
        </w:tc>
        <w:tc>
          <w:tcPr>
            <w:tcW w:w="120" w:type="dxa"/>
            <w:vAlign w:val="bottom"/>
          </w:tcPr>
          <w:p>
            <w:pPr>
              <w:spacing w:after="0"/>
              <w:rPr>
                <w:sz w:val="8"/>
                <w:szCs w:val="8"/>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color w:val="auto"/>
              </w:rPr>
              <w:t>$12,669</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$12,669</w:t>
            </w:r>
          </w:p>
        </w:tc>
        <w:tc>
          <w:tcPr>
            <w:tcW w:w="18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7"/>
                <w:szCs w:val="7"/>
                <w:color w:val="auto"/>
              </w:rPr>
              <w:t>$5,125</w:t>
            </w:r>
          </w:p>
        </w:tc>
        <w:tc>
          <w:tcPr>
            <w:tcW w:w="0" w:type="dxa"/>
            <w:vAlign w:val="bottom"/>
          </w:tcPr>
          <w:p>
            <w:pPr>
              <w:spacing w:after="0"/>
              <w:rPr>
                <w:sz w:val="1"/>
                <w:szCs w:val="1"/>
                <w:color w:val="auto"/>
              </w:rPr>
            </w:pPr>
          </w:p>
        </w:tc>
      </w:tr>
      <w:tr>
        <w:trPr>
          <w:trHeight w:val="112"/>
        </w:trPr>
        <w:tc>
          <w:tcPr>
            <w:tcW w:w="1420" w:type="dxa"/>
            <w:vAlign w:val="bottom"/>
            <w:gridSpan w:val="2"/>
          </w:tcPr>
          <w:p>
            <w:pPr>
              <w:spacing w:after="0"/>
              <w:rPr>
                <w:sz w:val="20"/>
                <w:szCs w:val="20"/>
                <w:color w:val="auto"/>
              </w:rPr>
            </w:pPr>
            <w:r>
              <w:rPr>
                <w:rFonts w:ascii="Arial" w:cs="Arial" w:eastAsia="Arial" w:hAnsi="Arial"/>
                <w:sz w:val="7"/>
                <w:szCs w:val="7"/>
                <w:color w:val="auto"/>
              </w:rPr>
              <w:t>15 Beekman Street</w:t>
            </w:r>
          </w:p>
        </w:tc>
        <w:tc>
          <w:tcPr>
            <w:tcW w:w="400" w:type="dxa"/>
            <w:vAlign w:val="bottom"/>
          </w:tcPr>
          <w:p>
            <w:pPr>
              <w:jc w:val="center"/>
              <w:spacing w:after="0"/>
              <w:rPr>
                <w:sz w:val="20"/>
                <w:szCs w:val="20"/>
                <w:color w:val="auto"/>
              </w:rPr>
            </w:pPr>
            <w:r>
              <w:rPr>
                <w:rFonts w:ascii="Arial" w:cs="Arial" w:eastAsia="Arial" w:hAnsi="Arial"/>
                <w:sz w:val="7"/>
                <w:szCs w:val="7"/>
                <w:color w:val="auto"/>
              </w:rPr>
              <w:t>20.0</w:t>
            </w:r>
          </w:p>
        </w:tc>
        <w:tc>
          <w:tcPr>
            <w:tcW w:w="20" w:type="dxa"/>
            <w:vAlign w:val="bottom"/>
          </w:tcPr>
          <w:p>
            <w:pPr>
              <w:spacing w:after="0"/>
              <w:rPr>
                <w:sz w:val="9"/>
                <w:szCs w:val="9"/>
                <w:color w:val="auto"/>
              </w:rPr>
            </w:pPr>
          </w:p>
        </w:tc>
        <w:tc>
          <w:tcPr>
            <w:tcW w:w="660" w:type="dxa"/>
            <w:vAlign w:val="bottom"/>
            <w:gridSpan w:val="3"/>
          </w:tcPr>
          <w:p>
            <w:pPr>
              <w:ind w:left="20"/>
              <w:spacing w:after="0"/>
              <w:rPr>
                <w:sz w:val="20"/>
                <w:szCs w:val="20"/>
                <w:color w:val="auto"/>
              </w:rPr>
            </w:pPr>
            <w:r>
              <w:rPr>
                <w:rFonts w:ascii="Arial" w:cs="Arial" w:eastAsia="Arial" w:hAnsi="Arial"/>
                <w:sz w:val="7"/>
                <w:szCs w:val="7"/>
                <w:color w:val="auto"/>
              </w:rPr>
              <w:t>Downtown</w:t>
            </w: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Leasehold Interest</w:t>
            </w:r>
          </w:p>
        </w:tc>
        <w:tc>
          <w:tcPr>
            <w:tcW w:w="5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7"/>
                <w:szCs w:val="7"/>
                <w:color w:val="auto"/>
              </w:rPr>
              <w:t>221,884</w:t>
            </w:r>
          </w:p>
        </w:tc>
        <w:tc>
          <w:tcPr>
            <w:tcW w:w="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7"/>
                <w:szCs w:val="7"/>
                <w:color w:val="auto"/>
              </w:rPr>
              <w:t>484</w:t>
            </w:r>
          </w:p>
        </w:tc>
        <w:tc>
          <w:tcPr>
            <w:tcW w:w="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9"/>
                <w:szCs w:val="9"/>
                <w:color w:val="auto"/>
              </w:rPr>
            </w:pPr>
          </w:p>
        </w:tc>
        <w:tc>
          <w:tcPr>
            <w:tcW w:w="480" w:type="dxa"/>
            <w:vAlign w:val="bottom"/>
            <w:tcBorders>
              <w:bottom w:val="single" w:sz="8" w:color="auto"/>
            </w:tcBorders>
          </w:tcPr>
          <w:p>
            <w:pPr>
              <w:jc w:val="center"/>
              <w:ind w:left="24"/>
              <w:spacing w:after="0"/>
              <w:rPr>
                <w:sz w:val="20"/>
                <w:szCs w:val="20"/>
                <w:color w:val="auto"/>
              </w:rPr>
            </w:pPr>
            <w:r>
              <w:rPr>
                <w:rFonts w:ascii="Arial" w:cs="Arial" w:eastAsia="Arial" w:hAnsi="Arial"/>
                <w:sz w:val="7"/>
                <w:szCs w:val="7"/>
                <w:color w:val="auto"/>
              </w:rPr>
              <w:t>14,155</w:t>
            </w:r>
          </w:p>
        </w:tc>
        <w:tc>
          <w:tcPr>
            <w:tcW w:w="640" w:type="dxa"/>
            <w:vAlign w:val="bottom"/>
            <w:tcBorders>
              <w:bottom w:val="single" w:sz="8" w:color="auto"/>
            </w:tcBorders>
          </w:tcPr>
          <w:p>
            <w:pPr>
              <w:jc w:val="center"/>
              <w:ind w:left="24"/>
              <w:spacing w:after="0"/>
              <w:rPr>
                <w:sz w:val="20"/>
                <w:szCs w:val="20"/>
                <w:color w:val="auto"/>
              </w:rPr>
            </w:pPr>
            <w:r>
              <w:rPr>
                <w:rFonts w:ascii="Arial" w:cs="Arial" w:eastAsia="Arial" w:hAnsi="Arial"/>
                <w:sz w:val="7"/>
                <w:szCs w:val="7"/>
                <w:color w:val="auto"/>
              </w:rPr>
              <w:t>2,831</w:t>
            </w:r>
          </w:p>
        </w:tc>
        <w:tc>
          <w:tcPr>
            <w:tcW w:w="18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7"/>
                <w:szCs w:val="7"/>
                <w:color w:val="auto"/>
              </w:rPr>
              <w:t>N/A</w:t>
            </w: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1480" w:type="dxa"/>
            <w:vAlign w:val="bottom"/>
            <w:gridSpan w:val="3"/>
          </w:tcPr>
          <w:p>
            <w:pPr>
              <w:ind w:left="260"/>
              <w:spacing w:after="0"/>
              <w:rPr>
                <w:sz w:val="20"/>
                <w:szCs w:val="20"/>
                <w:color w:val="auto"/>
              </w:rPr>
            </w:pPr>
            <w:r>
              <w:rPr>
                <w:rFonts w:ascii="Arial" w:cs="Arial" w:eastAsia="Arial" w:hAnsi="Arial"/>
                <w:sz w:val="7"/>
                <w:szCs w:val="7"/>
                <w:b w:val="1"/>
                <w:bCs w:val="1"/>
                <w:color w:val="auto"/>
              </w:rPr>
              <w:t>Subtotal/Weighted Average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362,266</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b w:val="1"/>
                <w:bCs w:val="1"/>
                <w:color w:val="auto"/>
              </w:rPr>
              <w:t>693</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99.7 %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99.6 %</w:t>
            </w: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99.8 %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99.6 %</w:t>
            </w:r>
          </w:p>
        </w:tc>
        <w:tc>
          <w:tcPr>
            <w:tcW w:w="120" w:type="dxa"/>
            <w:vAlign w:val="bottom"/>
          </w:tcPr>
          <w:p>
            <w:pPr>
              <w:spacing w:after="0"/>
              <w:rPr>
                <w:sz w:val="8"/>
                <w:szCs w:val="8"/>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b w:val="1"/>
                <w:bCs w:val="1"/>
                <w:color w:val="auto"/>
              </w:rPr>
              <w:t>$26,824</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$15,500</w:t>
            </w:r>
          </w:p>
        </w:tc>
        <w:tc>
          <w:tcPr>
            <w:tcW w:w="18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7"/>
                <w:szCs w:val="7"/>
                <w:b w:val="1"/>
                <w:bCs w:val="1"/>
                <w:color w:val="auto"/>
              </w:rPr>
              <w:t>$5,125</w:t>
            </w:r>
          </w:p>
        </w:tc>
        <w:tc>
          <w:tcPr>
            <w:tcW w:w="0" w:type="dxa"/>
            <w:vAlign w:val="bottom"/>
          </w:tcPr>
          <w:p>
            <w:pPr>
              <w:spacing w:after="0"/>
              <w:rPr>
                <w:sz w:val="1"/>
                <w:szCs w:val="1"/>
                <w:color w:val="auto"/>
              </w:rPr>
            </w:pPr>
          </w:p>
        </w:tc>
      </w:tr>
      <w:tr>
        <w:trPr>
          <w:trHeight w:val="149"/>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"Non Same Store" Residential</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20" w:type="dxa"/>
            <w:vAlign w:val="bottom"/>
            <w:gridSpan w:val="2"/>
          </w:tcPr>
          <w:p>
            <w:pPr>
              <w:spacing w:after="0"/>
              <w:rPr>
                <w:sz w:val="20"/>
                <w:szCs w:val="20"/>
                <w:color w:val="auto"/>
              </w:rPr>
            </w:pPr>
            <w:r>
              <w:rPr>
                <w:rFonts w:ascii="Arial" w:cs="Arial" w:eastAsia="Arial" w:hAnsi="Arial"/>
                <w:sz w:val="7"/>
                <w:szCs w:val="7"/>
                <w:color w:val="auto"/>
              </w:rPr>
              <w:t>315 West 33rd Street - The Olivia</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8"/>
                <w:szCs w:val="8"/>
                <w:color w:val="auto"/>
              </w:rPr>
            </w:pPr>
          </w:p>
        </w:tc>
        <w:tc>
          <w:tcPr>
            <w:tcW w:w="660" w:type="dxa"/>
            <w:vAlign w:val="bottom"/>
            <w:gridSpan w:val="3"/>
          </w:tcPr>
          <w:p>
            <w:pPr>
              <w:ind w:left="20"/>
              <w:spacing w:after="0"/>
              <w:rPr>
                <w:sz w:val="20"/>
                <w:szCs w:val="20"/>
                <w:color w:val="auto"/>
              </w:rPr>
            </w:pPr>
            <w:r>
              <w:rPr>
                <w:rFonts w:ascii="Arial" w:cs="Arial" w:eastAsia="Arial" w:hAnsi="Arial"/>
                <w:sz w:val="7"/>
                <w:szCs w:val="7"/>
                <w:color w:val="auto"/>
              </w:rPr>
              <w:t>Penn Station</w:t>
            </w: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7"/>
                <w:szCs w:val="7"/>
                <w:color w:val="auto"/>
              </w:rPr>
              <w:t>222,855</w:t>
            </w: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7"/>
                <w:szCs w:val="7"/>
                <w:color w:val="auto"/>
              </w:rPr>
              <w:t>333</w:t>
            </w: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98.2</w:t>
            </w:r>
          </w:p>
        </w:tc>
        <w:tc>
          <w:tcPr>
            <w:tcW w:w="80" w:type="dxa"/>
            <w:vAlign w:val="bottom"/>
          </w:tcPr>
          <w:p>
            <w:pPr>
              <w:spacing w:after="0"/>
              <w:rPr>
                <w:sz w:val="8"/>
                <w:szCs w:val="8"/>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98.2</w:t>
            </w:r>
          </w:p>
        </w:tc>
        <w:tc>
          <w:tcPr>
            <w:tcW w:w="100" w:type="dxa"/>
            <w:vAlign w:val="bottom"/>
          </w:tcPr>
          <w:p>
            <w:pPr>
              <w:spacing w:after="0"/>
              <w:rPr>
                <w:sz w:val="8"/>
                <w:szCs w:val="8"/>
                <w:color w:val="auto"/>
              </w:rPr>
            </w:pPr>
          </w:p>
        </w:tc>
        <w:tc>
          <w:tcPr>
            <w:tcW w:w="56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8"/>
                <w:szCs w:val="8"/>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92.2</w:t>
            </w:r>
          </w:p>
        </w:tc>
        <w:tc>
          <w:tcPr>
            <w:tcW w:w="120" w:type="dxa"/>
            <w:vAlign w:val="bottom"/>
          </w:tcPr>
          <w:p>
            <w:pPr>
              <w:spacing w:after="0"/>
              <w:rPr>
                <w:sz w:val="8"/>
                <w:szCs w:val="8"/>
                <w:color w:val="auto"/>
              </w:rPr>
            </w:pPr>
          </w:p>
        </w:tc>
        <w:tc>
          <w:tcPr>
            <w:tcW w:w="480" w:type="dxa"/>
            <w:vAlign w:val="bottom"/>
            <w:tcBorders>
              <w:bottom w:val="single" w:sz="8" w:color="auto"/>
            </w:tcBorders>
          </w:tcPr>
          <w:p>
            <w:pPr>
              <w:jc w:val="center"/>
              <w:ind w:left="24"/>
              <w:spacing w:after="0"/>
              <w:rPr>
                <w:sz w:val="20"/>
                <w:szCs w:val="20"/>
                <w:color w:val="auto"/>
              </w:rPr>
            </w:pPr>
            <w:r>
              <w:rPr>
                <w:rFonts w:ascii="Arial" w:cs="Arial" w:eastAsia="Arial" w:hAnsi="Arial"/>
                <w:sz w:val="7"/>
                <w:szCs w:val="7"/>
                <w:color w:val="auto"/>
              </w:rPr>
              <w:t>$19,944</w:t>
            </w:r>
          </w:p>
        </w:tc>
        <w:tc>
          <w:tcPr>
            <w:tcW w:w="640" w:type="dxa"/>
            <w:vAlign w:val="bottom"/>
            <w:tcBorders>
              <w:bottom w:val="single" w:sz="8" w:color="auto"/>
            </w:tcBorders>
          </w:tcPr>
          <w:p>
            <w:pPr>
              <w:jc w:val="center"/>
              <w:ind w:left="24"/>
              <w:spacing w:after="0"/>
              <w:rPr>
                <w:sz w:val="20"/>
                <w:szCs w:val="20"/>
                <w:color w:val="auto"/>
              </w:rPr>
            </w:pPr>
            <w:r>
              <w:rPr>
                <w:rFonts w:ascii="Arial" w:cs="Arial" w:eastAsia="Arial" w:hAnsi="Arial"/>
                <w:sz w:val="7"/>
                <w:szCs w:val="7"/>
                <w:color w:val="auto"/>
              </w:rPr>
              <w:t>$19,944</w:t>
            </w:r>
          </w:p>
        </w:tc>
        <w:tc>
          <w:tcPr>
            <w:tcW w:w="180" w:type="dxa"/>
            <w:vAlign w:val="bottom"/>
          </w:tcPr>
          <w:p>
            <w:pPr>
              <w:spacing w:after="0"/>
              <w:rPr>
                <w:sz w:val="8"/>
                <w:szCs w:val="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7"/>
                <w:szCs w:val="7"/>
                <w:color w:val="auto"/>
              </w:rPr>
              <w:t>$5,083</w:t>
            </w: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1480" w:type="dxa"/>
            <w:vAlign w:val="bottom"/>
            <w:gridSpan w:val="3"/>
          </w:tcPr>
          <w:p>
            <w:pPr>
              <w:ind w:left="260"/>
              <w:spacing w:after="0"/>
              <w:rPr>
                <w:sz w:val="20"/>
                <w:szCs w:val="20"/>
                <w:color w:val="auto"/>
              </w:rPr>
            </w:pPr>
            <w:r>
              <w:rPr>
                <w:rFonts w:ascii="Arial" w:cs="Arial" w:eastAsia="Arial" w:hAnsi="Arial"/>
                <w:sz w:val="7"/>
                <w:szCs w:val="7"/>
                <w:b w:val="1"/>
                <w:bCs w:val="1"/>
                <w:color w:val="auto"/>
              </w:rPr>
              <w:t>Subtotal/Weighted Average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222,855</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b w:val="1"/>
                <w:bCs w:val="1"/>
                <w:color w:val="auto"/>
              </w:rPr>
              <w:t>333</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98.2 %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98.2 %</w:t>
            </w: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96.4 %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92.2 %</w:t>
            </w:r>
          </w:p>
        </w:tc>
        <w:tc>
          <w:tcPr>
            <w:tcW w:w="120" w:type="dxa"/>
            <w:vAlign w:val="bottom"/>
          </w:tcPr>
          <w:p>
            <w:pPr>
              <w:spacing w:after="0"/>
              <w:rPr>
                <w:sz w:val="8"/>
                <w:szCs w:val="8"/>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b w:val="1"/>
                <w:bCs w:val="1"/>
                <w:color w:val="auto"/>
              </w:rPr>
              <w:t>$19,944</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$19,944</w:t>
            </w:r>
          </w:p>
        </w:tc>
        <w:tc>
          <w:tcPr>
            <w:tcW w:w="18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7"/>
                <w:szCs w:val="7"/>
                <w:b w:val="1"/>
                <w:bCs w:val="1"/>
                <w:color w:val="auto"/>
              </w:rPr>
              <w:t>$5,083</w:t>
            </w:r>
          </w:p>
        </w:tc>
        <w:tc>
          <w:tcPr>
            <w:tcW w:w="0" w:type="dxa"/>
            <w:vAlign w:val="bottom"/>
          </w:tcPr>
          <w:p>
            <w:pPr>
              <w:spacing w:after="0"/>
              <w:rPr>
                <w:sz w:val="1"/>
                <w:szCs w:val="1"/>
                <w:color w:val="auto"/>
              </w:rPr>
            </w:pPr>
          </w:p>
        </w:tc>
      </w:tr>
      <w:tr>
        <w:trPr>
          <w:trHeight w:val="148"/>
        </w:trPr>
        <w:tc>
          <w:tcPr>
            <w:tcW w:w="1840" w:type="dxa"/>
            <w:vAlign w:val="bottom"/>
            <w:gridSpan w:val="4"/>
          </w:tcPr>
          <w:p>
            <w:pPr>
              <w:spacing w:after="0"/>
              <w:rPr>
                <w:sz w:val="20"/>
                <w:szCs w:val="20"/>
                <w:color w:val="auto"/>
              </w:rPr>
            </w:pPr>
            <w:r>
              <w:rPr>
                <w:rFonts w:ascii="Arial" w:cs="Arial" w:eastAsia="Arial" w:hAnsi="Arial"/>
                <w:sz w:val="7"/>
                <w:szCs w:val="7"/>
                <w:b w:val="1"/>
                <w:bCs w:val="1"/>
                <w:color w:val="auto"/>
              </w:rPr>
              <w:t>Total / Weighted Average Residential Properties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585,121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b w:val="1"/>
                <w:bCs w:val="1"/>
                <w:color w:val="auto"/>
              </w:rPr>
              <w:t>1,026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99.2 %</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99.1 %</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98.7 %</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97.2 %</w:t>
            </w:r>
          </w:p>
        </w:tc>
        <w:tc>
          <w:tcPr>
            <w:tcW w:w="120" w:type="dxa"/>
            <w:vAlign w:val="bottom"/>
          </w:tcPr>
          <w:p>
            <w:pPr>
              <w:spacing w:after="0"/>
              <w:rPr>
                <w:sz w:val="12"/>
                <w:szCs w:val="12"/>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b w:val="1"/>
                <w:bCs w:val="1"/>
                <w:color w:val="auto"/>
              </w:rPr>
              <w:t>$46,768</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$35,444</w:t>
            </w:r>
          </w:p>
        </w:tc>
        <w:tc>
          <w:tcPr>
            <w:tcW w:w="1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7"/>
                <w:szCs w:val="7"/>
                <w:b w:val="1"/>
                <w:bCs w:val="1"/>
                <w:color w:val="auto"/>
              </w:rPr>
              <w:t>$5,099</w:t>
            </w:r>
          </w:p>
        </w:tc>
        <w:tc>
          <w:tcPr>
            <w:tcW w:w="0" w:type="dxa"/>
            <w:vAlign w:val="bottom"/>
          </w:tcPr>
          <w:p>
            <w:pPr>
              <w:spacing w:after="0"/>
              <w:rPr>
                <w:sz w:val="1"/>
                <w:szCs w:val="1"/>
                <w:color w:val="auto"/>
              </w:rPr>
            </w:pPr>
          </w:p>
        </w:tc>
      </w:tr>
      <w:tr>
        <w:trPr>
          <w:trHeight w:val="92"/>
        </w:trPr>
        <w:tc>
          <w:tcPr>
            <w:tcW w:w="360" w:type="dxa"/>
            <w:vAlign w:val="bottom"/>
            <w:tcBorders>
              <w:bottom w:val="single" w:sz="8" w:color="00497F"/>
            </w:tcBorders>
          </w:tcPr>
          <w:p>
            <w:pPr>
              <w:spacing w:after="0"/>
              <w:rPr>
                <w:sz w:val="7"/>
                <w:szCs w:val="7"/>
                <w:color w:val="auto"/>
              </w:rPr>
            </w:pPr>
          </w:p>
        </w:tc>
        <w:tc>
          <w:tcPr>
            <w:tcW w:w="1060" w:type="dxa"/>
            <w:vAlign w:val="bottom"/>
            <w:tcBorders>
              <w:bottom w:val="single" w:sz="8" w:color="00497F"/>
            </w:tcBorders>
          </w:tcPr>
          <w:p>
            <w:pPr>
              <w:spacing w:after="0"/>
              <w:rPr>
                <w:sz w:val="7"/>
                <w:szCs w:val="7"/>
                <w:color w:val="auto"/>
              </w:rPr>
            </w:pPr>
          </w:p>
        </w:tc>
        <w:tc>
          <w:tcPr>
            <w:tcW w:w="400" w:type="dxa"/>
            <w:vAlign w:val="bottom"/>
            <w:tcBorders>
              <w:bottom w:val="single" w:sz="8" w:color="00497F"/>
            </w:tcBorders>
          </w:tcPr>
          <w:p>
            <w:pPr>
              <w:spacing w:after="0"/>
              <w:rPr>
                <w:sz w:val="7"/>
                <w:szCs w:val="7"/>
                <w:color w:val="auto"/>
              </w:rPr>
            </w:pPr>
          </w:p>
        </w:tc>
        <w:tc>
          <w:tcPr>
            <w:tcW w:w="20" w:type="dxa"/>
            <w:vAlign w:val="bottom"/>
            <w:tcBorders>
              <w:bottom w:val="single" w:sz="8" w:color="00497F"/>
            </w:tcBorders>
          </w:tcPr>
          <w:p>
            <w:pPr>
              <w:spacing w:after="0"/>
              <w:rPr>
                <w:sz w:val="7"/>
                <w:szCs w:val="7"/>
                <w:color w:val="auto"/>
              </w:rPr>
            </w:pPr>
          </w:p>
        </w:tc>
        <w:tc>
          <w:tcPr>
            <w:tcW w:w="20" w:type="dxa"/>
            <w:vAlign w:val="bottom"/>
            <w:tcBorders>
              <w:bottom w:val="single" w:sz="8" w:color="00497F"/>
            </w:tcBorders>
          </w:tcPr>
          <w:p>
            <w:pPr>
              <w:spacing w:after="0"/>
              <w:rPr>
                <w:sz w:val="7"/>
                <w:szCs w:val="7"/>
                <w:color w:val="auto"/>
              </w:rPr>
            </w:pPr>
          </w:p>
        </w:tc>
        <w:tc>
          <w:tcPr>
            <w:tcW w:w="380" w:type="dxa"/>
            <w:vAlign w:val="bottom"/>
            <w:tcBorders>
              <w:bottom w:val="single" w:sz="8" w:color="00497F"/>
            </w:tcBorders>
          </w:tcPr>
          <w:p>
            <w:pPr>
              <w:spacing w:after="0"/>
              <w:rPr>
                <w:sz w:val="7"/>
                <w:szCs w:val="7"/>
                <w:color w:val="auto"/>
              </w:rPr>
            </w:pPr>
          </w:p>
        </w:tc>
        <w:tc>
          <w:tcPr>
            <w:tcW w:w="260" w:type="dxa"/>
            <w:vAlign w:val="bottom"/>
            <w:tcBorders>
              <w:bottom w:val="single" w:sz="8" w:color="00497F"/>
            </w:tcBorders>
          </w:tcPr>
          <w:p>
            <w:pPr>
              <w:spacing w:after="0"/>
              <w:rPr>
                <w:sz w:val="7"/>
                <w:szCs w:val="7"/>
                <w:color w:val="auto"/>
              </w:rPr>
            </w:pPr>
          </w:p>
        </w:tc>
        <w:tc>
          <w:tcPr>
            <w:tcW w:w="100" w:type="dxa"/>
            <w:vAlign w:val="bottom"/>
            <w:tcBorders>
              <w:bottom w:val="single" w:sz="8" w:color="00497F"/>
            </w:tcBorders>
          </w:tcPr>
          <w:p>
            <w:pPr>
              <w:spacing w:after="0"/>
              <w:rPr>
                <w:sz w:val="7"/>
                <w:szCs w:val="7"/>
                <w:color w:val="auto"/>
              </w:rPr>
            </w:pPr>
          </w:p>
        </w:tc>
        <w:tc>
          <w:tcPr>
            <w:tcW w:w="360" w:type="dxa"/>
            <w:vAlign w:val="bottom"/>
            <w:tcBorders>
              <w:bottom w:val="single" w:sz="8" w:color="00497F"/>
            </w:tcBorders>
          </w:tcPr>
          <w:p>
            <w:pPr>
              <w:spacing w:after="0"/>
              <w:rPr>
                <w:sz w:val="7"/>
                <w:szCs w:val="7"/>
                <w:color w:val="auto"/>
              </w:rPr>
            </w:pPr>
          </w:p>
        </w:tc>
        <w:tc>
          <w:tcPr>
            <w:tcW w:w="260" w:type="dxa"/>
            <w:vAlign w:val="bottom"/>
            <w:tcBorders>
              <w:bottom w:val="single" w:sz="8" w:color="00497F"/>
            </w:tcBorders>
          </w:tcPr>
          <w:p>
            <w:pPr>
              <w:spacing w:after="0"/>
              <w:rPr>
                <w:sz w:val="7"/>
                <w:szCs w:val="7"/>
                <w:color w:val="auto"/>
              </w:rPr>
            </w:pPr>
          </w:p>
        </w:tc>
        <w:tc>
          <w:tcPr>
            <w:tcW w:w="20" w:type="dxa"/>
            <w:vAlign w:val="bottom"/>
            <w:tcBorders>
              <w:bottom w:val="single" w:sz="8" w:color="00497F"/>
            </w:tcBorders>
          </w:tcPr>
          <w:p>
            <w:pPr>
              <w:spacing w:after="0"/>
              <w:rPr>
                <w:sz w:val="7"/>
                <w:szCs w:val="7"/>
                <w:color w:val="auto"/>
              </w:rPr>
            </w:pPr>
          </w:p>
        </w:tc>
        <w:tc>
          <w:tcPr>
            <w:tcW w:w="520" w:type="dxa"/>
            <w:vAlign w:val="bottom"/>
            <w:tcBorders>
              <w:bottom w:val="single" w:sz="8" w:color="00497F"/>
            </w:tcBorders>
          </w:tcPr>
          <w:p>
            <w:pPr>
              <w:spacing w:after="0"/>
              <w:rPr>
                <w:sz w:val="7"/>
                <w:szCs w:val="7"/>
                <w:color w:val="auto"/>
              </w:rPr>
            </w:pPr>
          </w:p>
        </w:tc>
        <w:tc>
          <w:tcPr>
            <w:tcW w:w="20" w:type="dxa"/>
            <w:vAlign w:val="bottom"/>
            <w:tcBorders>
              <w:bottom w:val="single" w:sz="8" w:color="00497F"/>
            </w:tcBorders>
          </w:tcPr>
          <w:p>
            <w:pPr>
              <w:spacing w:after="0"/>
              <w:rPr>
                <w:sz w:val="7"/>
                <w:szCs w:val="7"/>
                <w:color w:val="auto"/>
              </w:rPr>
            </w:pPr>
          </w:p>
        </w:tc>
        <w:tc>
          <w:tcPr>
            <w:tcW w:w="140" w:type="dxa"/>
            <w:vAlign w:val="bottom"/>
            <w:tcBorders>
              <w:bottom w:val="single" w:sz="8" w:color="00497F"/>
            </w:tcBorders>
          </w:tcPr>
          <w:p>
            <w:pPr>
              <w:spacing w:after="0"/>
              <w:rPr>
                <w:sz w:val="7"/>
                <w:szCs w:val="7"/>
                <w:color w:val="auto"/>
              </w:rPr>
            </w:pPr>
          </w:p>
        </w:tc>
        <w:tc>
          <w:tcPr>
            <w:tcW w:w="160" w:type="dxa"/>
            <w:vAlign w:val="bottom"/>
            <w:tcBorders>
              <w:bottom w:val="single" w:sz="8" w:color="00497F"/>
            </w:tcBorders>
          </w:tcPr>
          <w:p>
            <w:pPr>
              <w:spacing w:after="0"/>
              <w:rPr>
                <w:sz w:val="7"/>
                <w:szCs w:val="7"/>
                <w:color w:val="auto"/>
              </w:rPr>
            </w:pPr>
          </w:p>
        </w:tc>
        <w:tc>
          <w:tcPr>
            <w:tcW w:w="100" w:type="dxa"/>
            <w:vAlign w:val="bottom"/>
            <w:tcBorders>
              <w:bottom w:val="single" w:sz="8" w:color="00497F"/>
            </w:tcBorders>
          </w:tcPr>
          <w:p>
            <w:pPr>
              <w:spacing w:after="0"/>
              <w:rPr>
                <w:sz w:val="7"/>
                <w:szCs w:val="7"/>
                <w:color w:val="auto"/>
              </w:rPr>
            </w:pPr>
          </w:p>
        </w:tc>
        <w:tc>
          <w:tcPr>
            <w:tcW w:w="180" w:type="dxa"/>
            <w:vAlign w:val="bottom"/>
            <w:tcBorders>
              <w:bottom w:val="single" w:sz="8" w:color="00497F"/>
            </w:tcBorders>
          </w:tcPr>
          <w:p>
            <w:pPr>
              <w:spacing w:after="0"/>
              <w:rPr>
                <w:sz w:val="7"/>
                <w:szCs w:val="7"/>
                <w:color w:val="auto"/>
              </w:rPr>
            </w:pPr>
          </w:p>
        </w:tc>
        <w:tc>
          <w:tcPr>
            <w:tcW w:w="20" w:type="dxa"/>
            <w:vAlign w:val="bottom"/>
            <w:tcBorders>
              <w:bottom w:val="single" w:sz="8" w:color="00497F"/>
            </w:tcBorders>
          </w:tcPr>
          <w:p>
            <w:pPr>
              <w:spacing w:after="0"/>
              <w:rPr>
                <w:sz w:val="7"/>
                <w:szCs w:val="7"/>
                <w:color w:val="auto"/>
              </w:rPr>
            </w:pPr>
          </w:p>
        </w:tc>
        <w:tc>
          <w:tcPr>
            <w:tcW w:w="160" w:type="dxa"/>
            <w:vAlign w:val="bottom"/>
            <w:tcBorders>
              <w:bottom w:val="single" w:sz="8" w:color="00497F"/>
            </w:tcBorders>
          </w:tcPr>
          <w:p>
            <w:pPr>
              <w:spacing w:after="0"/>
              <w:rPr>
                <w:sz w:val="7"/>
                <w:szCs w:val="7"/>
                <w:color w:val="auto"/>
              </w:rPr>
            </w:pPr>
          </w:p>
        </w:tc>
        <w:tc>
          <w:tcPr>
            <w:tcW w:w="560" w:type="dxa"/>
            <w:vAlign w:val="bottom"/>
            <w:tcBorders>
              <w:bottom w:val="single" w:sz="8" w:color="00497F"/>
            </w:tcBorders>
          </w:tcPr>
          <w:p>
            <w:pPr>
              <w:spacing w:after="0"/>
              <w:rPr>
                <w:sz w:val="7"/>
                <w:szCs w:val="7"/>
                <w:color w:val="auto"/>
              </w:rPr>
            </w:pPr>
          </w:p>
        </w:tc>
        <w:tc>
          <w:tcPr>
            <w:tcW w:w="80" w:type="dxa"/>
            <w:vAlign w:val="bottom"/>
            <w:tcBorders>
              <w:bottom w:val="single" w:sz="8" w:color="00497F"/>
            </w:tcBorders>
          </w:tcPr>
          <w:p>
            <w:pPr>
              <w:spacing w:after="0"/>
              <w:rPr>
                <w:sz w:val="7"/>
                <w:szCs w:val="7"/>
                <w:color w:val="auto"/>
              </w:rPr>
            </w:pPr>
          </w:p>
        </w:tc>
        <w:tc>
          <w:tcPr>
            <w:tcW w:w="580" w:type="dxa"/>
            <w:vAlign w:val="bottom"/>
            <w:tcBorders>
              <w:bottom w:val="single" w:sz="8" w:color="00497F"/>
            </w:tcBorders>
          </w:tcPr>
          <w:p>
            <w:pPr>
              <w:spacing w:after="0"/>
              <w:rPr>
                <w:sz w:val="7"/>
                <w:szCs w:val="7"/>
                <w:color w:val="auto"/>
              </w:rPr>
            </w:pPr>
          </w:p>
        </w:tc>
        <w:tc>
          <w:tcPr>
            <w:tcW w:w="100" w:type="dxa"/>
            <w:vAlign w:val="bottom"/>
            <w:tcBorders>
              <w:bottom w:val="single" w:sz="8" w:color="00497F"/>
            </w:tcBorders>
          </w:tcPr>
          <w:p>
            <w:pPr>
              <w:spacing w:after="0"/>
              <w:rPr>
                <w:sz w:val="7"/>
                <w:szCs w:val="7"/>
                <w:color w:val="auto"/>
              </w:rPr>
            </w:pPr>
          </w:p>
        </w:tc>
        <w:tc>
          <w:tcPr>
            <w:tcW w:w="560" w:type="dxa"/>
            <w:vAlign w:val="bottom"/>
            <w:tcBorders>
              <w:bottom w:val="single" w:sz="8" w:color="00497F"/>
            </w:tcBorders>
          </w:tcPr>
          <w:p>
            <w:pPr>
              <w:spacing w:after="0"/>
              <w:rPr>
                <w:sz w:val="7"/>
                <w:szCs w:val="7"/>
                <w:color w:val="auto"/>
              </w:rPr>
            </w:pPr>
          </w:p>
        </w:tc>
        <w:tc>
          <w:tcPr>
            <w:tcW w:w="80" w:type="dxa"/>
            <w:vAlign w:val="bottom"/>
            <w:tcBorders>
              <w:bottom w:val="single" w:sz="8" w:color="00497F"/>
            </w:tcBorders>
          </w:tcPr>
          <w:p>
            <w:pPr>
              <w:spacing w:after="0"/>
              <w:rPr>
                <w:sz w:val="7"/>
                <w:szCs w:val="7"/>
                <w:color w:val="auto"/>
              </w:rPr>
            </w:pPr>
          </w:p>
        </w:tc>
        <w:tc>
          <w:tcPr>
            <w:tcW w:w="580" w:type="dxa"/>
            <w:vAlign w:val="bottom"/>
            <w:tcBorders>
              <w:bottom w:val="single" w:sz="8" w:color="00497F"/>
            </w:tcBorders>
          </w:tcPr>
          <w:p>
            <w:pPr>
              <w:spacing w:after="0"/>
              <w:rPr>
                <w:sz w:val="7"/>
                <w:szCs w:val="7"/>
                <w:color w:val="auto"/>
              </w:rPr>
            </w:pPr>
          </w:p>
        </w:tc>
        <w:tc>
          <w:tcPr>
            <w:tcW w:w="120" w:type="dxa"/>
            <w:vAlign w:val="bottom"/>
            <w:tcBorders>
              <w:bottom w:val="single" w:sz="8" w:color="00497F"/>
            </w:tcBorders>
          </w:tcPr>
          <w:p>
            <w:pPr>
              <w:spacing w:after="0"/>
              <w:rPr>
                <w:sz w:val="7"/>
                <w:szCs w:val="7"/>
                <w:color w:val="auto"/>
              </w:rPr>
            </w:pPr>
          </w:p>
        </w:tc>
        <w:tc>
          <w:tcPr>
            <w:tcW w:w="1120" w:type="dxa"/>
            <w:vAlign w:val="bottom"/>
            <w:tcBorders>
              <w:bottom w:val="single" w:sz="8" w:color="00497F"/>
            </w:tcBorders>
            <w:gridSpan w:val="2"/>
          </w:tcPr>
          <w:p>
            <w:pPr>
              <w:spacing w:after="0"/>
              <w:rPr>
                <w:sz w:val="7"/>
                <w:szCs w:val="7"/>
                <w:color w:val="auto"/>
              </w:rPr>
            </w:pPr>
          </w:p>
        </w:tc>
        <w:tc>
          <w:tcPr>
            <w:tcW w:w="180" w:type="dxa"/>
            <w:vAlign w:val="bottom"/>
            <w:tcBorders>
              <w:bottom w:val="single" w:sz="8" w:color="00497F"/>
            </w:tcBorders>
          </w:tcPr>
          <w:p>
            <w:pPr>
              <w:spacing w:after="0"/>
              <w:rPr>
                <w:sz w:val="7"/>
                <w:szCs w:val="7"/>
                <w:color w:val="auto"/>
              </w:rPr>
            </w:pPr>
          </w:p>
        </w:tc>
        <w:tc>
          <w:tcPr>
            <w:tcW w:w="560" w:type="dxa"/>
            <w:vAlign w:val="bottom"/>
            <w:tcBorders>
              <w:bottom w:val="single" w:sz="8" w:color="00497F"/>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7"/>
                <w:szCs w:val="7"/>
                <w:b w:val="1"/>
                <w:bCs w:val="1"/>
                <w:color w:val="auto"/>
              </w:rPr>
              <w:t>Annualized Contractual</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March 31, 2026</w:t>
            </w:r>
          </w:p>
        </w:tc>
        <w:tc>
          <w:tcPr>
            <w:tcW w:w="100" w:type="dxa"/>
            <w:vAlign w:val="bottom"/>
          </w:tcPr>
          <w:p>
            <w:pPr>
              <w:spacing w:after="0"/>
              <w:rPr>
                <w:sz w:val="9"/>
                <w:szCs w:val="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December 31, 2025</w:t>
            </w:r>
          </w:p>
        </w:tc>
        <w:tc>
          <w:tcPr>
            <w:tcW w:w="120" w:type="dxa"/>
            <w:vAlign w:val="bottom"/>
          </w:tcPr>
          <w:p>
            <w:pPr>
              <w:spacing w:after="0"/>
              <w:rPr>
                <w:sz w:val="9"/>
                <w:szCs w:val="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b w:val="1"/>
                <w:bCs w:val="1"/>
                <w:color w:val="auto"/>
              </w:rPr>
              <w:t>Cash Rent</w:t>
            </w:r>
          </w:p>
        </w:tc>
        <w:tc>
          <w:tcPr>
            <w:tcW w:w="18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Total Tenants</w:t>
            </w: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gridSpan w:val="2"/>
          </w:tcPr>
          <w:p>
            <w:pPr>
              <w:ind w:left="20"/>
              <w:spacing w:after="0"/>
              <w:rPr>
                <w:sz w:val="20"/>
                <w:szCs w:val="20"/>
                <w:color w:val="auto"/>
              </w:rPr>
            </w:pPr>
            <w:r>
              <w:rPr>
                <w:rFonts w:ascii="Arial" w:cs="Arial" w:eastAsia="Arial" w:hAnsi="Arial"/>
                <w:sz w:val="7"/>
                <w:szCs w:val="7"/>
                <w:b w:val="1"/>
                <w:bCs w:val="1"/>
                <w:color w:val="auto"/>
              </w:rPr>
              <w:t>Ownership</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5"/>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1320" w:type="dxa"/>
            <w:vAlign w:val="bottom"/>
            <w:gridSpan w:val="4"/>
          </w:tcPr>
          <w:p>
            <w:pPr>
              <w:jc w:val="center"/>
              <w:ind w:right="100"/>
              <w:spacing w:after="0"/>
              <w:rPr>
                <w:sz w:val="20"/>
                <w:szCs w:val="20"/>
                <w:color w:val="auto"/>
              </w:rPr>
            </w:pPr>
            <w:r>
              <w:rPr>
                <w:rFonts w:ascii="Arial" w:cs="Arial" w:eastAsia="Arial" w:hAnsi="Arial"/>
                <w:sz w:val="7"/>
                <w:szCs w:val="7"/>
                <w:b w:val="1"/>
                <w:bCs w:val="1"/>
                <w:color w:val="auto"/>
              </w:rPr>
              <w:t>Occupancy %</w:t>
            </w:r>
          </w:p>
        </w:tc>
        <w:tc>
          <w:tcPr>
            <w:tcW w:w="1340" w:type="dxa"/>
            <w:vAlign w:val="bottom"/>
            <w:gridSpan w:val="4"/>
          </w:tcPr>
          <w:p>
            <w:pPr>
              <w:jc w:val="center"/>
              <w:ind w:right="140"/>
              <w:spacing w:after="0"/>
              <w:rPr>
                <w:sz w:val="20"/>
                <w:szCs w:val="20"/>
                <w:color w:val="auto"/>
              </w:rPr>
            </w:pPr>
            <w:r>
              <w:rPr>
                <w:rFonts w:ascii="Arial" w:cs="Arial" w:eastAsia="Arial" w:hAnsi="Arial"/>
                <w:sz w:val="7"/>
                <w:szCs w:val="7"/>
                <w:b w:val="1"/>
                <w:bCs w:val="1"/>
                <w:color w:val="auto"/>
              </w:rPr>
              <w:t>Occupancy %</w:t>
            </w: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rPr>
                <w:sz w:val="20"/>
                <w:szCs w:val="20"/>
                <w:color w:val="auto"/>
              </w:rPr>
            </w:pPr>
            <w:r>
              <w:rPr>
                <w:rFonts w:ascii="Arial" w:cs="Arial" w:eastAsia="Arial" w:hAnsi="Arial"/>
                <w:sz w:val="7"/>
                <w:szCs w:val="7"/>
                <w:b w:val="1"/>
                <w:bCs w:val="1"/>
                <w:color w:val="auto"/>
                <w:w w:val="98"/>
              </w:rPr>
              <w:t>Properties</w:t>
            </w:r>
          </w:p>
        </w:tc>
        <w:tc>
          <w:tcPr>
            <w:tcW w:w="1060" w:type="dxa"/>
            <w:vAlign w:val="bottom"/>
          </w:tcPr>
          <w:p>
            <w:pPr>
              <w:spacing w:after="0"/>
              <w:rPr>
                <w:sz w:val="8"/>
                <w:szCs w:val="8"/>
                <w:color w:val="auto"/>
              </w:rPr>
            </w:pPr>
          </w:p>
        </w:tc>
        <w:tc>
          <w:tcPr>
            <w:tcW w:w="400" w:type="dxa"/>
            <w:vAlign w:val="bottom"/>
          </w:tcPr>
          <w:p>
            <w:pPr>
              <w:spacing w:after="0"/>
              <w:rPr>
                <w:sz w:val="20"/>
                <w:szCs w:val="20"/>
                <w:color w:val="auto"/>
              </w:rPr>
            </w:pPr>
            <w:r>
              <w:rPr>
                <w:rFonts w:ascii="Arial" w:cs="Arial" w:eastAsia="Arial" w:hAnsi="Arial"/>
                <w:sz w:val="7"/>
                <w:szCs w:val="7"/>
                <w:b w:val="1"/>
                <w:bCs w:val="1"/>
                <w:color w:val="auto"/>
                <w:w w:val="99"/>
              </w:rPr>
              <w:t>Interest (%)</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20"/>
                <w:szCs w:val="20"/>
                <w:color w:val="auto"/>
              </w:rPr>
            </w:pPr>
            <w:r>
              <w:rPr>
                <w:rFonts w:ascii="Arial" w:cs="Arial" w:eastAsia="Arial" w:hAnsi="Arial"/>
                <w:sz w:val="7"/>
                <w:szCs w:val="7"/>
                <w:b w:val="1"/>
                <w:bCs w:val="1"/>
                <w:color w:val="auto"/>
              </w:rPr>
              <w:t>SubMarket</w:t>
            </w:r>
          </w:p>
        </w:tc>
        <w:tc>
          <w:tcPr>
            <w:tcW w:w="260" w:type="dxa"/>
            <w:vAlign w:val="bottom"/>
          </w:tcPr>
          <w:p>
            <w:pPr>
              <w:spacing w:after="0"/>
              <w:rPr>
                <w:sz w:val="8"/>
                <w:szCs w:val="8"/>
                <w:color w:val="auto"/>
              </w:rPr>
            </w:pPr>
          </w:p>
        </w:tc>
        <w:tc>
          <w:tcPr>
            <w:tcW w:w="720" w:type="dxa"/>
            <w:vAlign w:val="bottom"/>
            <w:gridSpan w:val="3"/>
          </w:tcPr>
          <w:p>
            <w:pPr>
              <w:ind w:left="100"/>
              <w:spacing w:after="0"/>
              <w:rPr>
                <w:sz w:val="20"/>
                <w:szCs w:val="20"/>
                <w:color w:val="auto"/>
              </w:rPr>
            </w:pPr>
            <w:r>
              <w:rPr>
                <w:rFonts w:ascii="Arial" w:cs="Arial" w:eastAsia="Arial" w:hAnsi="Arial"/>
                <w:sz w:val="7"/>
                <w:szCs w:val="7"/>
                <w:b w:val="1"/>
                <w:bCs w:val="1"/>
                <w:color w:val="auto"/>
              </w:rPr>
              <w:t>Ownership</w:t>
            </w:r>
          </w:p>
        </w:tc>
        <w:tc>
          <w:tcPr>
            <w:tcW w:w="20" w:type="dxa"/>
            <w:vAlign w:val="bottom"/>
          </w:tcPr>
          <w:p>
            <w:pPr>
              <w:spacing w:after="0"/>
              <w:rPr>
                <w:sz w:val="8"/>
                <w:szCs w:val="8"/>
                <w:color w:val="auto"/>
              </w:rPr>
            </w:pPr>
          </w:p>
        </w:tc>
        <w:tc>
          <w:tcPr>
            <w:tcW w:w="680" w:type="dxa"/>
            <w:vAlign w:val="bottom"/>
            <w:gridSpan w:val="3"/>
          </w:tcPr>
          <w:p>
            <w:pPr>
              <w:spacing w:after="0"/>
              <w:rPr>
                <w:sz w:val="20"/>
                <w:szCs w:val="20"/>
                <w:color w:val="auto"/>
              </w:rPr>
            </w:pPr>
            <w:r>
              <w:rPr>
                <w:rFonts w:ascii="Arial" w:cs="Arial" w:eastAsia="Arial" w:hAnsi="Arial"/>
                <w:sz w:val="7"/>
                <w:szCs w:val="7"/>
                <w:b w:val="1"/>
                <w:bCs w:val="1"/>
                <w:color w:val="auto"/>
              </w:rPr>
              <w:t>Square Feet (1)</w:t>
            </w:r>
          </w:p>
        </w:tc>
        <w:tc>
          <w:tcPr>
            <w:tcW w:w="620" w:type="dxa"/>
            <w:vAlign w:val="bottom"/>
            <w:gridSpan w:val="5"/>
          </w:tcPr>
          <w:p>
            <w:pPr>
              <w:jc w:val="right"/>
              <w:ind w:right="180"/>
              <w:spacing w:after="0"/>
              <w:rPr>
                <w:sz w:val="20"/>
                <w:szCs w:val="20"/>
                <w:color w:val="auto"/>
              </w:rPr>
            </w:pPr>
            <w:r>
              <w:rPr>
                <w:rFonts w:ascii="Arial" w:cs="Arial" w:eastAsia="Arial" w:hAnsi="Arial"/>
                <w:sz w:val="7"/>
                <w:szCs w:val="7"/>
                <w:b w:val="1"/>
                <w:bCs w:val="1"/>
                <w:color w:val="auto"/>
              </w:rPr>
              <w:t>Sq. Feet</w:t>
            </w:r>
          </w:p>
        </w:tc>
        <w:tc>
          <w:tcPr>
            <w:tcW w:w="640" w:type="dxa"/>
            <w:vAlign w:val="bottom"/>
            <w:gridSpan w:val="2"/>
          </w:tcPr>
          <w:p>
            <w:pPr>
              <w:ind w:left="100"/>
              <w:spacing w:after="0"/>
              <w:rPr>
                <w:sz w:val="20"/>
                <w:szCs w:val="20"/>
                <w:color w:val="auto"/>
              </w:rPr>
            </w:pPr>
            <w:r>
              <w:rPr>
                <w:rFonts w:ascii="Arial" w:cs="Arial" w:eastAsia="Arial" w:hAnsi="Arial"/>
                <w:sz w:val="7"/>
                <w:szCs w:val="7"/>
                <w:b w:val="1"/>
                <w:bCs w:val="1"/>
                <w:color w:val="auto"/>
              </w:rPr>
              <w:t>Leased (2)</w:t>
            </w:r>
          </w:p>
        </w:tc>
        <w:tc>
          <w:tcPr>
            <w:tcW w:w="680" w:type="dxa"/>
            <w:vAlign w:val="bottom"/>
            <w:gridSpan w:val="2"/>
          </w:tcPr>
          <w:p>
            <w:pPr>
              <w:ind w:left="80"/>
              <w:spacing w:after="0"/>
              <w:rPr>
                <w:sz w:val="20"/>
                <w:szCs w:val="20"/>
                <w:color w:val="auto"/>
              </w:rPr>
            </w:pPr>
            <w:r>
              <w:rPr>
                <w:rFonts w:ascii="Arial" w:cs="Arial" w:eastAsia="Arial" w:hAnsi="Arial"/>
                <w:sz w:val="7"/>
                <w:szCs w:val="7"/>
                <w:b w:val="1"/>
                <w:bCs w:val="1"/>
                <w:color w:val="auto"/>
              </w:rPr>
              <w:t>Occupied (3)</w:t>
            </w:r>
          </w:p>
        </w:tc>
        <w:tc>
          <w:tcPr>
            <w:tcW w:w="640" w:type="dxa"/>
            <w:vAlign w:val="bottom"/>
            <w:gridSpan w:val="2"/>
          </w:tcPr>
          <w:p>
            <w:pPr>
              <w:ind w:left="80"/>
              <w:spacing w:after="0"/>
              <w:rPr>
                <w:sz w:val="20"/>
                <w:szCs w:val="20"/>
                <w:color w:val="auto"/>
              </w:rPr>
            </w:pPr>
            <w:r>
              <w:rPr>
                <w:rFonts w:ascii="Arial" w:cs="Arial" w:eastAsia="Arial" w:hAnsi="Arial"/>
                <w:sz w:val="7"/>
                <w:szCs w:val="7"/>
                <w:b w:val="1"/>
                <w:bCs w:val="1"/>
                <w:color w:val="auto"/>
              </w:rPr>
              <w:t>Leased (2)</w:t>
            </w:r>
          </w:p>
        </w:tc>
        <w:tc>
          <w:tcPr>
            <w:tcW w:w="700" w:type="dxa"/>
            <w:vAlign w:val="bottom"/>
            <w:gridSpan w:val="2"/>
          </w:tcPr>
          <w:p>
            <w:pPr>
              <w:ind w:left="60"/>
              <w:spacing w:after="0"/>
              <w:rPr>
                <w:sz w:val="20"/>
                <w:szCs w:val="20"/>
                <w:color w:val="auto"/>
              </w:rPr>
            </w:pPr>
            <w:r>
              <w:rPr>
                <w:rFonts w:ascii="Arial" w:cs="Arial" w:eastAsia="Arial" w:hAnsi="Arial"/>
                <w:sz w:val="7"/>
                <w:szCs w:val="7"/>
                <w:b w:val="1"/>
                <w:bCs w:val="1"/>
                <w:color w:val="auto"/>
              </w:rPr>
              <w:t>Occupied (3)</w:t>
            </w:r>
          </w:p>
        </w:tc>
        <w:tc>
          <w:tcPr>
            <w:tcW w:w="480" w:type="dxa"/>
            <w:vAlign w:val="bottom"/>
          </w:tcPr>
          <w:p>
            <w:pPr>
              <w:ind w:left="200"/>
              <w:spacing w:after="0"/>
              <w:rPr>
                <w:sz w:val="20"/>
                <w:szCs w:val="20"/>
                <w:color w:val="auto"/>
              </w:rPr>
            </w:pPr>
            <w:r>
              <w:rPr>
                <w:rFonts w:ascii="Arial" w:cs="Arial" w:eastAsia="Arial" w:hAnsi="Arial"/>
                <w:sz w:val="7"/>
                <w:szCs w:val="7"/>
                <w:b w:val="1"/>
                <w:bCs w:val="1"/>
                <w:color w:val="auto"/>
              </w:rPr>
              <w:t>($'s)</w:t>
            </w:r>
          </w:p>
        </w:tc>
        <w:tc>
          <w:tcPr>
            <w:tcW w:w="640" w:type="dxa"/>
            <w:vAlign w:val="bottom"/>
          </w:tcPr>
          <w:p>
            <w:pPr>
              <w:ind w:left="80"/>
              <w:spacing w:after="0"/>
              <w:rPr>
                <w:sz w:val="20"/>
                <w:szCs w:val="20"/>
                <w:color w:val="auto"/>
              </w:rPr>
            </w:pPr>
            <w:r>
              <w:rPr>
                <w:rFonts w:ascii="Arial" w:cs="Arial" w:eastAsia="Arial" w:hAnsi="Arial"/>
                <w:sz w:val="7"/>
                <w:szCs w:val="7"/>
                <w:b w:val="1"/>
                <w:bCs w:val="1"/>
                <w:color w:val="auto"/>
              </w:rPr>
              <w:t>SLG Share ($'s)</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"Non Same Store" Suburban</w:t>
            </w: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gridSpan w:val="3"/>
          </w:tcPr>
          <w:p>
            <w:pPr>
              <w:ind w:left="20"/>
              <w:spacing w:after="0" w:line="71" w:lineRule="exact"/>
              <w:rPr>
                <w:sz w:val="20"/>
                <w:szCs w:val="20"/>
                <w:color w:val="auto"/>
              </w:rPr>
            </w:pPr>
            <w:r>
              <w:rPr>
                <w:rFonts w:ascii="Arial" w:cs="Arial" w:eastAsia="Arial" w:hAnsi="Arial"/>
                <w:sz w:val="7"/>
                <w:szCs w:val="7"/>
                <w:color w:val="auto"/>
              </w:rPr>
              <w:t>Stamford,</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420" w:type="dxa"/>
            <w:vAlign w:val="bottom"/>
            <w:gridSpan w:val="2"/>
          </w:tcPr>
          <w:p>
            <w:pPr>
              <w:spacing w:after="0"/>
              <w:rPr>
                <w:sz w:val="20"/>
                <w:szCs w:val="20"/>
                <w:color w:val="auto"/>
              </w:rPr>
            </w:pPr>
            <w:r>
              <w:rPr>
                <w:rFonts w:ascii="Arial" w:cs="Arial" w:eastAsia="Arial" w:hAnsi="Arial"/>
                <w:sz w:val="7"/>
                <w:szCs w:val="7"/>
                <w:color w:val="auto"/>
              </w:rPr>
              <w:t>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8"/>
                <w:szCs w:val="8"/>
                <w:color w:val="auto"/>
              </w:rPr>
            </w:pPr>
          </w:p>
        </w:tc>
        <w:tc>
          <w:tcPr>
            <w:tcW w:w="660" w:type="dxa"/>
            <w:vAlign w:val="bottom"/>
            <w:gridSpan w:val="3"/>
          </w:tcPr>
          <w:p>
            <w:pPr>
              <w:ind w:left="20"/>
              <w:spacing w:after="0"/>
              <w:rPr>
                <w:sz w:val="20"/>
                <w:szCs w:val="20"/>
                <w:color w:val="auto"/>
              </w:rPr>
            </w:pPr>
            <w:r>
              <w:rPr>
                <w:rFonts w:ascii="Arial" w:cs="Arial" w:eastAsia="Arial" w:hAnsi="Arial"/>
                <w:sz w:val="7"/>
                <w:szCs w:val="7"/>
                <w:color w:val="auto"/>
              </w:rPr>
              <w:t>Connecticut</w:t>
            </w:r>
          </w:p>
        </w:tc>
        <w:tc>
          <w:tcPr>
            <w:tcW w:w="72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4"/>
              <w:spacing w:after="0"/>
              <w:rPr>
                <w:sz w:val="20"/>
                <w:szCs w:val="20"/>
                <w:color w:val="auto"/>
              </w:rPr>
            </w:pPr>
            <w:r>
              <w:rPr>
                <w:rFonts w:ascii="Arial" w:cs="Arial" w:eastAsia="Arial" w:hAnsi="Arial"/>
                <w:sz w:val="7"/>
                <w:szCs w:val="7"/>
                <w:color w:val="auto"/>
              </w:rPr>
              <w:t>732,800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3"/>
          </w:tcPr>
          <w:p>
            <w:pPr>
              <w:jc w:val="right"/>
              <w:ind w:right="44"/>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79.6</w:t>
            </w:r>
          </w:p>
        </w:tc>
        <w:tc>
          <w:tcPr>
            <w:tcW w:w="80" w:type="dxa"/>
            <w:vAlign w:val="bottom"/>
          </w:tcPr>
          <w:p>
            <w:pPr>
              <w:spacing w:after="0"/>
              <w:rPr>
                <w:sz w:val="8"/>
                <w:szCs w:val="8"/>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79.6</w:t>
            </w:r>
          </w:p>
        </w:tc>
        <w:tc>
          <w:tcPr>
            <w:tcW w:w="100" w:type="dxa"/>
            <w:vAlign w:val="bottom"/>
          </w:tcPr>
          <w:p>
            <w:pPr>
              <w:spacing w:after="0"/>
              <w:rPr>
                <w:sz w:val="8"/>
                <w:szCs w:val="8"/>
                <w:color w:val="auto"/>
              </w:rPr>
            </w:pPr>
          </w:p>
        </w:tc>
        <w:tc>
          <w:tcPr>
            <w:tcW w:w="560" w:type="dxa"/>
            <w:vAlign w:val="bottom"/>
          </w:tcPr>
          <w:p>
            <w:pPr>
              <w:jc w:val="right"/>
              <w:ind w:right="84"/>
              <w:spacing w:after="0"/>
              <w:rPr>
                <w:sz w:val="20"/>
                <w:szCs w:val="20"/>
                <w:color w:val="auto"/>
              </w:rPr>
            </w:pPr>
            <w:r>
              <w:rPr>
                <w:rFonts w:ascii="Arial" w:cs="Arial" w:eastAsia="Arial" w:hAnsi="Arial"/>
                <w:sz w:val="7"/>
                <w:szCs w:val="7"/>
                <w:color w:val="auto"/>
              </w:rPr>
              <w:t>79.4</w:t>
            </w:r>
          </w:p>
        </w:tc>
        <w:tc>
          <w:tcPr>
            <w:tcW w:w="80" w:type="dxa"/>
            <w:vAlign w:val="bottom"/>
          </w:tcPr>
          <w:p>
            <w:pPr>
              <w:spacing w:after="0"/>
              <w:rPr>
                <w:sz w:val="8"/>
                <w:szCs w:val="8"/>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79.0</w:t>
            </w:r>
          </w:p>
        </w:tc>
        <w:tc>
          <w:tcPr>
            <w:tcW w:w="120" w:type="dxa"/>
            <w:vAlign w:val="bottom"/>
          </w:tcPr>
          <w:p>
            <w:pPr>
              <w:spacing w:after="0"/>
              <w:rPr>
                <w:sz w:val="8"/>
                <w:szCs w:val="8"/>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color w:val="auto"/>
              </w:rPr>
              <w:t>$16,000</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$16,000</w:t>
            </w:r>
          </w:p>
        </w:tc>
        <w:tc>
          <w:tcPr>
            <w:tcW w:w="180" w:type="dxa"/>
            <w:vAlign w:val="bottom"/>
          </w:tcPr>
          <w:p>
            <w:pPr>
              <w:spacing w:after="0"/>
              <w:rPr>
                <w:sz w:val="8"/>
                <w:szCs w:val="8"/>
                <w:color w:val="auto"/>
              </w:rPr>
            </w:pPr>
          </w:p>
        </w:tc>
        <w:tc>
          <w:tcPr>
            <w:tcW w:w="560" w:type="dxa"/>
            <w:vAlign w:val="bottom"/>
          </w:tcPr>
          <w:p>
            <w:pPr>
              <w:jc w:val="right"/>
              <w:ind w:right="4"/>
              <w:spacing w:after="0"/>
              <w:rPr>
                <w:sz w:val="20"/>
                <w:szCs w:val="20"/>
                <w:color w:val="auto"/>
              </w:rPr>
            </w:pPr>
            <w:r>
              <w:rPr>
                <w:rFonts w:ascii="Arial" w:cs="Arial" w:eastAsia="Arial" w:hAnsi="Arial"/>
                <w:sz w:val="7"/>
                <w:szCs w:val="7"/>
                <w:color w:val="auto"/>
              </w:rPr>
              <w:t>86</w:t>
            </w:r>
          </w:p>
        </w:tc>
        <w:tc>
          <w:tcPr>
            <w:tcW w:w="0" w:type="dxa"/>
            <w:vAlign w:val="bottom"/>
          </w:tcPr>
          <w:p>
            <w:pPr>
              <w:spacing w:after="0"/>
              <w:rPr>
                <w:sz w:val="1"/>
                <w:szCs w:val="1"/>
                <w:color w:val="auto"/>
              </w:rPr>
            </w:pPr>
          </w:p>
        </w:tc>
      </w:tr>
      <w:tr>
        <w:trPr>
          <w:trHeight w:val="47"/>
        </w:trPr>
        <w:tc>
          <w:tcPr>
            <w:tcW w:w="360" w:type="dxa"/>
            <w:vAlign w:val="bottom"/>
          </w:tcPr>
          <w:p>
            <w:pPr>
              <w:spacing w:after="0"/>
              <w:rPr>
                <w:sz w:val="4"/>
                <w:szCs w:val="4"/>
                <w:color w:val="auto"/>
              </w:rPr>
            </w:pPr>
          </w:p>
        </w:tc>
        <w:tc>
          <w:tcPr>
            <w:tcW w:w="14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1480" w:type="dxa"/>
            <w:vAlign w:val="bottom"/>
            <w:gridSpan w:val="3"/>
          </w:tcPr>
          <w:p>
            <w:pPr>
              <w:ind w:left="260"/>
              <w:spacing w:after="0"/>
              <w:rPr>
                <w:sz w:val="20"/>
                <w:szCs w:val="20"/>
                <w:color w:val="auto"/>
              </w:rPr>
            </w:pPr>
            <w:r>
              <w:rPr>
                <w:rFonts w:ascii="Arial" w:cs="Arial" w:eastAsia="Arial" w:hAnsi="Arial"/>
                <w:sz w:val="7"/>
                <w:szCs w:val="7"/>
                <w:b w:val="1"/>
                <w:bCs w:val="1"/>
                <w:color w:val="auto"/>
              </w:rPr>
              <w:t>Subtotal/Weighted Average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732,800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100.0 %</w:t>
            </w:r>
          </w:p>
        </w:tc>
        <w:tc>
          <w:tcPr>
            <w:tcW w:w="1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79.6 %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79.6 %</w:t>
            </w: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79.4 %</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79.0 %</w:t>
            </w:r>
          </w:p>
        </w:tc>
        <w:tc>
          <w:tcPr>
            <w:tcW w:w="120" w:type="dxa"/>
            <w:vAlign w:val="bottom"/>
          </w:tcPr>
          <w:p>
            <w:pPr>
              <w:spacing w:after="0"/>
              <w:rPr>
                <w:sz w:val="8"/>
                <w:szCs w:val="8"/>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b w:val="1"/>
                <w:bCs w:val="1"/>
                <w:color w:val="auto"/>
              </w:rPr>
              <w:t>$16,000</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$16,000</w:t>
            </w:r>
          </w:p>
        </w:tc>
        <w:tc>
          <w:tcPr>
            <w:tcW w:w="180" w:type="dxa"/>
            <w:vAlign w:val="bottom"/>
          </w:tcPr>
          <w:p>
            <w:pPr>
              <w:spacing w:after="0"/>
              <w:rPr>
                <w:sz w:val="8"/>
                <w:szCs w:val="8"/>
                <w:color w:val="auto"/>
              </w:rPr>
            </w:pPr>
          </w:p>
        </w:tc>
        <w:tc>
          <w:tcPr>
            <w:tcW w:w="560" w:type="dxa"/>
            <w:vAlign w:val="bottom"/>
          </w:tcPr>
          <w:p>
            <w:pPr>
              <w:jc w:val="right"/>
              <w:ind w:right="4"/>
              <w:spacing w:after="0"/>
              <w:rPr>
                <w:sz w:val="20"/>
                <w:szCs w:val="20"/>
                <w:color w:val="auto"/>
              </w:rPr>
            </w:pPr>
            <w:r>
              <w:rPr>
                <w:rFonts w:ascii="Arial" w:cs="Arial" w:eastAsia="Arial" w:hAnsi="Arial"/>
                <w:sz w:val="7"/>
                <w:szCs w:val="7"/>
                <w:b w:val="1"/>
                <w:bCs w:val="1"/>
                <w:color w:val="auto"/>
              </w:rPr>
              <w:t>86</w:t>
            </w:r>
          </w:p>
        </w:tc>
        <w:tc>
          <w:tcPr>
            <w:tcW w:w="0" w:type="dxa"/>
            <w:vAlign w:val="bottom"/>
          </w:tcPr>
          <w:p>
            <w:pPr>
              <w:spacing w:after="0"/>
              <w:rPr>
                <w:sz w:val="1"/>
                <w:szCs w:val="1"/>
                <w:color w:val="auto"/>
              </w:rPr>
            </w:pPr>
          </w:p>
        </w:tc>
      </w:tr>
      <w:tr>
        <w:trPr>
          <w:trHeight w:val="226"/>
        </w:trPr>
        <w:tc>
          <w:tcPr>
            <w:tcW w:w="1840" w:type="dxa"/>
            <w:vAlign w:val="bottom"/>
            <w:gridSpan w:val="4"/>
          </w:tcPr>
          <w:p>
            <w:pPr>
              <w:spacing w:after="0"/>
              <w:rPr>
                <w:sz w:val="20"/>
                <w:szCs w:val="20"/>
                <w:color w:val="auto"/>
              </w:rPr>
            </w:pPr>
            <w:r>
              <w:rPr>
                <w:rFonts w:ascii="Arial" w:cs="Arial" w:eastAsia="Arial" w:hAnsi="Arial"/>
                <w:sz w:val="7"/>
                <w:szCs w:val="7"/>
                <w:b w:val="1"/>
                <w:bCs w:val="1"/>
                <w:color w:val="auto"/>
              </w:rPr>
              <w:t>Total / Weighted Average Suburban Properties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732,800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100.0 %</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79.6 %</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79.6 %</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79.4 %</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79.0 %</w:t>
            </w:r>
          </w:p>
        </w:tc>
        <w:tc>
          <w:tcPr>
            <w:tcW w:w="120" w:type="dxa"/>
            <w:vAlign w:val="bottom"/>
          </w:tcPr>
          <w:p>
            <w:pPr>
              <w:spacing w:after="0"/>
              <w:rPr>
                <w:sz w:val="19"/>
                <w:szCs w:val="19"/>
                <w:color w:val="auto"/>
              </w:rPr>
            </w:pPr>
          </w:p>
        </w:tc>
        <w:tc>
          <w:tcPr>
            <w:tcW w:w="480" w:type="dxa"/>
            <w:vAlign w:val="bottom"/>
          </w:tcPr>
          <w:p>
            <w:pPr>
              <w:jc w:val="center"/>
              <w:ind w:left="24"/>
              <w:spacing w:after="0"/>
              <w:rPr>
                <w:sz w:val="20"/>
                <w:szCs w:val="20"/>
                <w:color w:val="auto"/>
              </w:rPr>
            </w:pPr>
            <w:r>
              <w:rPr>
                <w:rFonts w:ascii="Arial" w:cs="Arial" w:eastAsia="Arial" w:hAnsi="Arial"/>
                <w:sz w:val="7"/>
                <w:szCs w:val="7"/>
                <w:b w:val="1"/>
                <w:bCs w:val="1"/>
                <w:color w:val="auto"/>
              </w:rPr>
              <w:t>$16,000</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$16,000</w:t>
            </w:r>
          </w:p>
        </w:tc>
        <w:tc>
          <w:tcPr>
            <w:tcW w:w="180" w:type="dxa"/>
            <w:vAlign w:val="bottom"/>
          </w:tcPr>
          <w:p>
            <w:pPr>
              <w:spacing w:after="0"/>
              <w:rPr>
                <w:sz w:val="19"/>
                <w:szCs w:val="19"/>
                <w:color w:val="auto"/>
              </w:rPr>
            </w:pPr>
          </w:p>
        </w:tc>
        <w:tc>
          <w:tcPr>
            <w:tcW w:w="560" w:type="dxa"/>
            <w:vAlign w:val="bottom"/>
          </w:tcPr>
          <w:p>
            <w:pPr>
              <w:jc w:val="right"/>
              <w:ind w:right="4"/>
              <w:spacing w:after="0"/>
              <w:rPr>
                <w:sz w:val="20"/>
                <w:szCs w:val="20"/>
                <w:color w:val="auto"/>
              </w:rPr>
            </w:pPr>
            <w:r>
              <w:rPr>
                <w:rFonts w:ascii="Arial" w:cs="Arial" w:eastAsia="Arial" w:hAnsi="Arial"/>
                <w:sz w:val="7"/>
                <w:szCs w:val="7"/>
                <w:b w:val="1"/>
                <w:bCs w:val="1"/>
                <w:color w:val="auto"/>
              </w:rPr>
              <w:t>86</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hanging="102"/>
        <w:spacing w:after="0"/>
        <w:tabs>
          <w:tab w:leader="none" w:pos="120" w:val="left"/>
        </w:tabs>
        <w:numPr>
          <w:ilvl w:val="0"/>
          <w:numId w:val="20"/>
        </w:numPr>
        <w:rPr>
          <w:rFonts w:ascii="Arial" w:cs="Arial" w:eastAsia="Arial" w:hAnsi="Arial"/>
          <w:sz w:val="7"/>
          <w:szCs w:val="7"/>
          <w:color w:val="auto"/>
        </w:rPr>
      </w:pPr>
      <w:r>
        <w:rPr>
          <w:rFonts w:ascii="Arial" w:cs="Arial" w:eastAsia="Arial" w:hAnsi="Arial"/>
          <w:sz w:val="7"/>
          <w:szCs w:val="7"/>
          <w:color w:val="auto"/>
        </w:rPr>
        <w:t>Represents the rentable square footage at the time the property was acquired.</w:t>
      </w:r>
    </w:p>
    <w:p>
      <w:pPr>
        <w:spacing w:after="0" w:line="27" w:lineRule="exact"/>
        <w:rPr>
          <w:rFonts w:ascii="Arial" w:cs="Arial" w:eastAsia="Arial" w:hAnsi="Arial"/>
          <w:sz w:val="7"/>
          <w:szCs w:val="7"/>
          <w:color w:val="auto"/>
        </w:rPr>
      </w:pPr>
    </w:p>
    <w:p>
      <w:pPr>
        <w:ind w:left="120" w:hanging="102"/>
        <w:spacing w:after="0"/>
        <w:tabs>
          <w:tab w:leader="none" w:pos="120" w:val="left"/>
        </w:tabs>
        <w:numPr>
          <w:ilvl w:val="0"/>
          <w:numId w:val="20"/>
        </w:numPr>
        <w:rPr>
          <w:rFonts w:ascii="Arial" w:cs="Arial" w:eastAsia="Arial" w:hAnsi="Arial"/>
          <w:sz w:val="7"/>
          <w:szCs w:val="7"/>
          <w:color w:val="auto"/>
        </w:rPr>
      </w:pPr>
      <w:r>
        <w:rPr>
          <w:rFonts w:ascii="Arial" w:cs="Arial" w:eastAsia="Arial" w:hAnsi="Arial"/>
          <w:sz w:val="7"/>
          <w:szCs w:val="7"/>
          <w:color w:val="auto"/>
        </w:rPr>
        <w:t>Calculated based on the square footage leased under executed leases as of the reporting date, regardless of whether the leases have commenced or the tenants have taken possession.</w:t>
      </w:r>
    </w:p>
    <w:p>
      <w:pPr>
        <w:spacing w:after="0" w:line="27" w:lineRule="exact"/>
        <w:rPr>
          <w:rFonts w:ascii="Arial" w:cs="Arial" w:eastAsia="Arial" w:hAnsi="Arial"/>
          <w:sz w:val="7"/>
          <w:szCs w:val="7"/>
          <w:color w:val="auto"/>
        </w:rPr>
      </w:pPr>
    </w:p>
    <w:p>
      <w:pPr>
        <w:ind w:left="120" w:hanging="102"/>
        <w:spacing w:after="0"/>
        <w:tabs>
          <w:tab w:leader="none" w:pos="120" w:val="left"/>
        </w:tabs>
        <w:numPr>
          <w:ilvl w:val="0"/>
          <w:numId w:val="20"/>
        </w:numPr>
        <w:rPr>
          <w:rFonts w:ascii="Arial" w:cs="Arial" w:eastAsia="Arial" w:hAnsi="Arial"/>
          <w:sz w:val="7"/>
          <w:szCs w:val="7"/>
          <w:color w:val="auto"/>
        </w:rPr>
      </w:pPr>
      <w:r>
        <w:rPr>
          <w:rFonts w:ascii="Arial" w:cs="Arial" w:eastAsia="Arial" w:hAnsi="Arial"/>
          <w:sz w:val="7"/>
          <w:szCs w:val="7"/>
          <w:color w:val="auto"/>
        </w:rPr>
        <w:t>Calculated based on the square footage for which lease terms have commenced per the underlying lease. For GAAP purposes revenue may not yet be recognized for certain commenced leases as of the reporting date.</w:t>
      </w:r>
    </w:p>
    <w:p>
      <w:pPr>
        <w:spacing w:after="0" w:line="27" w:lineRule="exact"/>
        <w:rPr>
          <w:rFonts w:ascii="Arial" w:cs="Arial" w:eastAsia="Arial" w:hAnsi="Arial"/>
          <w:sz w:val="7"/>
          <w:szCs w:val="7"/>
          <w:color w:val="auto"/>
        </w:rPr>
      </w:pPr>
    </w:p>
    <w:p>
      <w:pPr>
        <w:ind w:left="120" w:hanging="102"/>
        <w:spacing w:after="0"/>
        <w:tabs>
          <w:tab w:leader="none" w:pos="120" w:val="left"/>
        </w:tabs>
        <w:numPr>
          <w:ilvl w:val="0"/>
          <w:numId w:val="20"/>
        </w:numPr>
        <w:rPr>
          <w:rFonts w:ascii="Arial" w:cs="Arial" w:eastAsia="Arial" w:hAnsi="Arial"/>
          <w:sz w:val="7"/>
          <w:szCs w:val="7"/>
          <w:color w:val="auto"/>
        </w:rPr>
      </w:pPr>
      <w:r>
        <w:rPr>
          <w:rFonts w:ascii="Arial" w:cs="Arial" w:eastAsia="Arial" w:hAnsi="Arial"/>
          <w:sz w:val="7"/>
          <w:szCs w:val="7"/>
          <w:color w:val="auto"/>
        </w:rPr>
        <w:t>Reflects the contractual rent for 1552 Broadway.</w:t>
      </w:r>
    </w:p>
    <w:p>
      <w:pPr>
        <w:spacing w:after="0" w:line="27" w:lineRule="exact"/>
        <w:rPr>
          <w:rFonts w:ascii="Arial" w:cs="Arial" w:eastAsia="Arial" w:hAnsi="Arial"/>
          <w:sz w:val="7"/>
          <w:szCs w:val="7"/>
          <w:color w:val="auto"/>
        </w:rPr>
      </w:pPr>
    </w:p>
    <w:p>
      <w:pPr>
        <w:ind w:left="120" w:hanging="102"/>
        <w:spacing w:after="0"/>
        <w:tabs>
          <w:tab w:leader="none" w:pos="120" w:val="left"/>
        </w:tabs>
        <w:numPr>
          <w:ilvl w:val="0"/>
          <w:numId w:val="20"/>
        </w:numPr>
        <w:rPr>
          <w:rFonts w:ascii="Arial" w:cs="Arial" w:eastAsia="Arial" w:hAnsi="Arial"/>
          <w:sz w:val="7"/>
          <w:szCs w:val="7"/>
          <w:color w:val="auto"/>
        </w:rPr>
      </w:pPr>
      <w:r>
        <w:rPr>
          <w:rFonts w:ascii="Arial" w:cs="Arial" w:eastAsia="Arial" w:hAnsi="Arial"/>
          <w:sz w:val="7"/>
          <w:szCs w:val="7"/>
          <w:color w:val="auto"/>
        </w:rPr>
        <w:t>Property occupied by Pace University and used as an academic center and dormitory space. 484 represents number of beds.</w:t>
      </w:r>
    </w:p>
    <w:p>
      <w:pPr>
        <w:spacing w:after="0" w:line="366"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30</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7" w:right="1419" w:bottom="1440" w:gutter="0" w:footer="0" w:header="0"/>
        </w:sectPr>
      </w:pPr>
    </w:p>
    <w:bookmarkStart w:id="45" w:name="page46"/>
    <w:bookmarkEnd w:id="45"/>
    <w:p>
      <w:pPr>
        <w:ind w:left="2"/>
        <w:spacing w:after="0"/>
        <w:rPr>
          <w:sz w:val="20"/>
          <w:szCs w:val="20"/>
          <w:color w:val="auto"/>
        </w:rPr>
      </w:pPr>
      <w:r>
        <w:rPr>
          <w:rFonts w:ascii="Arial" w:cs="Arial" w:eastAsia="Arial" w:hAnsi="Arial"/>
          <w:sz w:val="17"/>
          <w:szCs w:val="17"/>
          <w:b w:val="1"/>
          <w:bCs w:val="1"/>
          <w:color w:val="auto"/>
        </w:rPr>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576453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-17780</wp:posOffset>
            </wp:positionV>
            <wp:extent cx="1136650" cy="3244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ind w:left="2" w:right="4480"/>
        <w:spacing w:after="0" w:line="216" w:lineRule="auto"/>
        <w:rPr>
          <w:sz w:val="20"/>
          <w:szCs w:val="20"/>
          <w:color w:val="auto"/>
        </w:rPr>
      </w:pPr>
      <w:r>
        <w:rPr>
          <w:rFonts w:ascii="Arial" w:cs="Arial" w:eastAsia="Arial" w:hAnsi="Arial"/>
          <w:sz w:val="13"/>
          <w:szCs w:val="13"/>
          <w:b w:val="1"/>
          <w:bCs w:val="1"/>
          <w:color w:val="auto"/>
        </w:rPr>
        <w:t>Development / Redevelopment &amp; Alternative Strategy Portfolio Properties Unaudited</w:t>
      </w:r>
    </w:p>
    <w:p>
      <w:pPr>
        <w:spacing w:after="0" w:line="1" w:lineRule="exact"/>
        <w:rPr>
          <w:sz w:val="20"/>
          <w:szCs w:val="20"/>
          <w:color w:val="auto"/>
        </w:rPr>
      </w:pPr>
    </w:p>
    <w:p>
      <w:pPr>
        <w:ind w:left="2"/>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76453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106045</wp:posOffset>
            </wp:positionV>
            <wp:extent cx="576453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64530" cy="63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2" w:type="dxa"/>
        <w:tblCellMar>
          <w:top w:w="0" w:type="dxa"/>
          <w:left w:w="0" w:type="dxa"/>
          <w:bottom w:w="0" w:type="dxa"/>
          <w:right w:w="0" w:type="dxa"/>
        </w:tblCellMar>
      </w:tblPr>
      <w:tr>
        <w:trPr>
          <w:trHeight w:val="80"/>
        </w:trPr>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7"/>
                <w:szCs w:val="7"/>
                <w:b w:val="1"/>
                <w:bCs w:val="1"/>
                <w:color w:val="auto"/>
              </w:rPr>
              <w:t>Annualized Contractual</w:t>
            </w:r>
          </w:p>
        </w:tc>
        <w:tc>
          <w:tcPr>
            <w:tcW w:w="62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rPr>
              <w:t>Real Estate</w:t>
            </w:r>
          </w:p>
        </w:tc>
        <w:tc>
          <w:tcPr>
            <w:tcW w:w="380" w:type="dxa"/>
            <w:vAlign w:val="bottom"/>
            <w:vMerge w:val="restart"/>
          </w:tcPr>
          <w:p>
            <w:pPr>
              <w:jc w:val="center"/>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69"/>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620" w:type="dxa"/>
            <w:vAlign w:val="bottom"/>
            <w:gridSpan w:val="2"/>
          </w:tcPr>
          <w:p>
            <w:pPr>
              <w:jc w:val="center"/>
              <w:ind w:right="120"/>
              <w:spacing w:after="0" w:line="69" w:lineRule="exact"/>
              <w:rPr>
                <w:sz w:val="20"/>
                <w:szCs w:val="20"/>
                <w:color w:val="auto"/>
              </w:rPr>
            </w:pPr>
            <w:r>
              <w:rPr>
                <w:rFonts w:ascii="Arial" w:cs="Arial" w:eastAsia="Arial" w:hAnsi="Arial"/>
                <w:sz w:val="7"/>
                <w:szCs w:val="7"/>
                <w:b w:val="1"/>
                <w:bCs w:val="1"/>
                <w:color w:val="auto"/>
              </w:rPr>
              <w:t>Book Value,</w:t>
            </w: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March 31, 2026</w:t>
            </w:r>
          </w:p>
        </w:tc>
        <w:tc>
          <w:tcPr>
            <w:tcW w:w="80" w:type="dxa"/>
            <w:vAlign w:val="bottom"/>
          </w:tcPr>
          <w:p>
            <w:pPr>
              <w:spacing w:after="0"/>
              <w:rPr>
                <w:sz w:val="9"/>
                <w:szCs w:val="9"/>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December 31, 2025</w:t>
            </w:r>
          </w:p>
        </w:tc>
        <w:tc>
          <w:tcPr>
            <w:tcW w:w="120" w:type="dxa"/>
            <w:vAlign w:val="bottom"/>
          </w:tcPr>
          <w:p>
            <w:pPr>
              <w:spacing w:after="0"/>
              <w:rPr>
                <w:sz w:val="9"/>
                <w:szCs w:val="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b w:val="1"/>
                <w:bCs w:val="1"/>
                <w:color w:val="auto"/>
                <w:w w:val="98"/>
              </w:rPr>
              <w:t>Cash Rent</w:t>
            </w:r>
          </w:p>
        </w:tc>
        <w:tc>
          <w:tcPr>
            <w:tcW w:w="14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88"/>
              </w:rPr>
              <w:t>Net</w:t>
            </w:r>
          </w:p>
        </w:tc>
        <w:tc>
          <w:tcPr>
            <w:tcW w:w="120" w:type="dxa"/>
            <w:vAlign w:val="bottom"/>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96"/>
              </w:rPr>
              <w:t>Tenants</w:t>
            </w: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7"/>
                <w:szCs w:val="7"/>
                <w:b w:val="1"/>
                <w:bCs w:val="1"/>
                <w:color w:val="auto"/>
              </w:rPr>
              <w:t>% of Total</w:t>
            </w:r>
          </w:p>
        </w:tc>
        <w:tc>
          <w:tcPr>
            <w:tcW w:w="1240" w:type="dxa"/>
            <w:vAlign w:val="bottom"/>
            <w:gridSpan w:val="4"/>
          </w:tcPr>
          <w:p>
            <w:pPr>
              <w:jc w:val="center"/>
              <w:ind w:right="80"/>
              <w:spacing w:after="0"/>
              <w:rPr>
                <w:sz w:val="20"/>
                <w:szCs w:val="20"/>
                <w:color w:val="auto"/>
              </w:rPr>
            </w:pPr>
            <w:r>
              <w:rPr>
                <w:rFonts w:ascii="Arial" w:cs="Arial" w:eastAsia="Arial" w:hAnsi="Arial"/>
                <w:sz w:val="7"/>
                <w:szCs w:val="7"/>
                <w:b w:val="1"/>
                <w:bCs w:val="1"/>
                <w:color w:val="auto"/>
              </w:rPr>
              <w:t>Occupancy %</w:t>
            </w:r>
          </w:p>
        </w:tc>
        <w:tc>
          <w:tcPr>
            <w:tcW w:w="1300" w:type="dxa"/>
            <w:vAlign w:val="bottom"/>
            <w:gridSpan w:val="4"/>
          </w:tcPr>
          <w:p>
            <w:pPr>
              <w:jc w:val="center"/>
              <w:ind w:right="140"/>
              <w:spacing w:after="0"/>
              <w:rPr>
                <w:sz w:val="20"/>
                <w:szCs w:val="20"/>
                <w:color w:val="auto"/>
              </w:rPr>
            </w:pPr>
            <w:r>
              <w:rPr>
                <w:rFonts w:ascii="Arial" w:cs="Arial" w:eastAsia="Arial" w:hAnsi="Arial"/>
                <w:sz w:val="7"/>
                <w:szCs w:val="7"/>
                <w:b w:val="1"/>
                <w:bCs w:val="1"/>
                <w:color w:val="auto"/>
              </w:rPr>
              <w:t>Occupancy %</w:t>
            </w: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360" w:type="dxa"/>
            <w:vAlign w:val="bottom"/>
          </w:tcPr>
          <w:p>
            <w:pPr>
              <w:spacing w:after="0"/>
              <w:rPr>
                <w:sz w:val="20"/>
                <w:szCs w:val="20"/>
                <w:color w:val="auto"/>
              </w:rPr>
            </w:pPr>
            <w:r>
              <w:rPr>
                <w:rFonts w:ascii="Arial" w:cs="Arial" w:eastAsia="Arial" w:hAnsi="Arial"/>
                <w:sz w:val="7"/>
                <w:szCs w:val="7"/>
                <w:b w:val="1"/>
                <w:bCs w:val="1"/>
                <w:color w:val="auto"/>
                <w:w w:val="98"/>
              </w:rPr>
              <w:t>Properties</w:t>
            </w:r>
          </w:p>
        </w:tc>
        <w:tc>
          <w:tcPr>
            <w:tcW w:w="860" w:type="dxa"/>
            <w:vAlign w:val="bottom"/>
          </w:tcPr>
          <w:p>
            <w:pPr>
              <w:spacing w:after="0"/>
              <w:rPr>
                <w:sz w:val="7"/>
                <w:szCs w:val="7"/>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Interest (%)</w:t>
            </w:r>
          </w:p>
        </w:tc>
        <w:tc>
          <w:tcPr>
            <w:tcW w:w="860" w:type="dxa"/>
            <w:vAlign w:val="bottom"/>
            <w:gridSpan w:val="2"/>
          </w:tcPr>
          <w:p>
            <w:pPr>
              <w:spacing w:after="0"/>
              <w:rPr>
                <w:sz w:val="20"/>
                <w:szCs w:val="20"/>
                <w:color w:val="auto"/>
              </w:rPr>
            </w:pPr>
            <w:r>
              <w:rPr>
                <w:rFonts w:ascii="Arial" w:cs="Arial" w:eastAsia="Arial" w:hAnsi="Arial"/>
                <w:sz w:val="7"/>
                <w:szCs w:val="7"/>
                <w:b w:val="1"/>
                <w:bCs w:val="1"/>
                <w:color w:val="auto"/>
              </w:rPr>
              <w:t>SubMarket</w:t>
            </w:r>
          </w:p>
        </w:tc>
        <w:tc>
          <w:tcPr>
            <w:tcW w:w="66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700" w:type="dxa"/>
            <w:vAlign w:val="bottom"/>
            <w:gridSpan w:val="4"/>
          </w:tcPr>
          <w:p>
            <w:pPr>
              <w:ind w:left="20"/>
              <w:spacing w:after="0"/>
              <w:rPr>
                <w:sz w:val="20"/>
                <w:szCs w:val="20"/>
                <w:color w:val="auto"/>
              </w:rPr>
            </w:pPr>
            <w:r>
              <w:rPr>
                <w:rFonts w:ascii="Arial" w:cs="Arial" w:eastAsia="Arial" w:hAnsi="Arial"/>
                <w:sz w:val="7"/>
                <w:szCs w:val="7"/>
                <w:b w:val="1"/>
                <w:bCs w:val="1"/>
                <w:color w:val="auto"/>
              </w:rPr>
              <w:t>Square Feet (1)</w:t>
            </w:r>
          </w:p>
        </w:tc>
        <w:tc>
          <w:tcPr>
            <w:tcW w:w="600" w:type="dxa"/>
            <w:vAlign w:val="bottom"/>
            <w:gridSpan w:val="4"/>
          </w:tcPr>
          <w:p>
            <w:pPr>
              <w:jc w:val="right"/>
              <w:ind w:right="160"/>
              <w:spacing w:after="0"/>
              <w:rPr>
                <w:sz w:val="20"/>
                <w:szCs w:val="20"/>
                <w:color w:val="auto"/>
              </w:rPr>
            </w:pPr>
            <w:r>
              <w:rPr>
                <w:rFonts w:ascii="Arial" w:cs="Arial" w:eastAsia="Arial" w:hAnsi="Arial"/>
                <w:sz w:val="7"/>
                <w:szCs w:val="7"/>
                <w:b w:val="1"/>
                <w:bCs w:val="1"/>
                <w:color w:val="auto"/>
              </w:rPr>
              <w:t>Sq. Feet</w:t>
            </w:r>
          </w:p>
        </w:tc>
        <w:tc>
          <w:tcPr>
            <w:tcW w:w="620" w:type="dxa"/>
            <w:vAlign w:val="bottom"/>
            <w:gridSpan w:val="2"/>
          </w:tcPr>
          <w:p>
            <w:pPr>
              <w:ind w:left="80"/>
              <w:spacing w:after="0"/>
              <w:rPr>
                <w:sz w:val="20"/>
                <w:szCs w:val="20"/>
                <w:color w:val="auto"/>
              </w:rPr>
            </w:pPr>
            <w:r>
              <w:rPr>
                <w:rFonts w:ascii="Arial" w:cs="Arial" w:eastAsia="Arial" w:hAnsi="Arial"/>
                <w:sz w:val="7"/>
                <w:szCs w:val="7"/>
                <w:b w:val="1"/>
                <w:bCs w:val="1"/>
                <w:color w:val="auto"/>
              </w:rPr>
              <w:t>Leased (2)</w:t>
            </w:r>
          </w:p>
        </w:tc>
        <w:tc>
          <w:tcPr>
            <w:tcW w:w="620" w:type="dxa"/>
            <w:vAlign w:val="bottom"/>
            <w:gridSpan w:val="2"/>
          </w:tcPr>
          <w:p>
            <w:pPr>
              <w:ind w:left="40"/>
              <w:spacing w:after="0"/>
              <w:rPr>
                <w:sz w:val="20"/>
                <w:szCs w:val="20"/>
                <w:color w:val="auto"/>
              </w:rPr>
            </w:pPr>
            <w:r>
              <w:rPr>
                <w:rFonts w:ascii="Arial" w:cs="Arial" w:eastAsia="Arial" w:hAnsi="Arial"/>
                <w:sz w:val="7"/>
                <w:szCs w:val="7"/>
                <w:b w:val="1"/>
                <w:bCs w:val="1"/>
                <w:color w:val="auto"/>
              </w:rPr>
              <w:t>Occupied (3)</w:t>
            </w:r>
          </w:p>
        </w:tc>
        <w:tc>
          <w:tcPr>
            <w:tcW w:w="620" w:type="dxa"/>
            <w:vAlign w:val="bottom"/>
            <w:gridSpan w:val="2"/>
          </w:tcPr>
          <w:p>
            <w:pPr>
              <w:ind w:left="80"/>
              <w:spacing w:after="0"/>
              <w:rPr>
                <w:sz w:val="20"/>
                <w:szCs w:val="20"/>
                <w:color w:val="auto"/>
              </w:rPr>
            </w:pPr>
            <w:r>
              <w:rPr>
                <w:rFonts w:ascii="Arial" w:cs="Arial" w:eastAsia="Arial" w:hAnsi="Arial"/>
                <w:sz w:val="7"/>
                <w:szCs w:val="7"/>
                <w:b w:val="1"/>
                <w:bCs w:val="1"/>
                <w:color w:val="auto"/>
              </w:rPr>
              <w:t>Leased (2)</w:t>
            </w:r>
          </w:p>
        </w:tc>
        <w:tc>
          <w:tcPr>
            <w:tcW w:w="680" w:type="dxa"/>
            <w:vAlign w:val="bottom"/>
            <w:gridSpan w:val="2"/>
          </w:tcPr>
          <w:p>
            <w:pPr>
              <w:ind w:left="60"/>
              <w:spacing w:after="0"/>
              <w:rPr>
                <w:sz w:val="20"/>
                <w:szCs w:val="20"/>
                <w:color w:val="auto"/>
              </w:rPr>
            </w:pPr>
            <w:r>
              <w:rPr>
                <w:rFonts w:ascii="Arial" w:cs="Arial" w:eastAsia="Arial" w:hAnsi="Arial"/>
                <w:sz w:val="7"/>
                <w:szCs w:val="7"/>
                <w:b w:val="1"/>
                <w:bCs w:val="1"/>
                <w:color w:val="auto"/>
              </w:rPr>
              <w:t>Occupied (3)</w:t>
            </w:r>
          </w:p>
        </w:tc>
        <w:tc>
          <w:tcPr>
            <w:tcW w:w="440" w:type="dxa"/>
            <w:vAlign w:val="bottom"/>
          </w:tcPr>
          <w:p>
            <w:pPr>
              <w:ind w:left="160"/>
              <w:spacing w:after="0"/>
              <w:rPr>
                <w:sz w:val="20"/>
                <w:szCs w:val="20"/>
                <w:color w:val="auto"/>
              </w:rPr>
            </w:pPr>
            <w:r>
              <w:rPr>
                <w:rFonts w:ascii="Arial" w:cs="Arial" w:eastAsia="Arial" w:hAnsi="Arial"/>
                <w:sz w:val="7"/>
                <w:szCs w:val="7"/>
                <w:b w:val="1"/>
                <w:bCs w:val="1"/>
                <w:color w:val="auto"/>
              </w:rPr>
              <w:t>($'s)</w:t>
            </w:r>
          </w:p>
        </w:tc>
        <w:tc>
          <w:tcPr>
            <w:tcW w:w="60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rPr>
              <w:t>SLG Share</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7"/>
                <w:szCs w:val="7"/>
                <w:b w:val="1"/>
                <w:bCs w:val="1"/>
                <w:color w:val="auto"/>
                <w:w w:val="98"/>
              </w:rPr>
              <w:t>($'s)</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122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Development / Redevelopment</w:t>
            </w: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22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220" w:type="dxa"/>
            <w:vAlign w:val="bottom"/>
            <w:gridSpan w:val="2"/>
          </w:tcPr>
          <w:p>
            <w:pPr>
              <w:spacing w:after="0"/>
              <w:rPr>
                <w:sz w:val="20"/>
                <w:szCs w:val="20"/>
                <w:color w:val="auto"/>
              </w:rPr>
            </w:pPr>
            <w:r>
              <w:rPr>
                <w:rFonts w:ascii="Arial" w:cs="Arial" w:eastAsia="Arial" w:hAnsi="Arial"/>
                <w:sz w:val="7"/>
                <w:szCs w:val="7"/>
                <w:color w:val="auto"/>
              </w:rPr>
              <w:t>3 Landmark Square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8"/>
                <w:szCs w:val="8"/>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Stamford, Connecticut</w:t>
            </w:r>
          </w:p>
        </w:tc>
        <w:tc>
          <w:tcPr>
            <w:tcW w:w="6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130,000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10.4</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3.0</w:t>
            </w:r>
          </w:p>
        </w:tc>
        <w:tc>
          <w:tcPr>
            <w:tcW w:w="10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3.0</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7.4</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7.4</w:t>
            </w:r>
          </w:p>
        </w:tc>
        <w:tc>
          <w:tcPr>
            <w:tcW w:w="12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Arial" w:cs="Arial" w:eastAsia="Arial" w:hAnsi="Arial"/>
                <w:sz w:val="7"/>
                <w:szCs w:val="7"/>
                <w:color w:val="auto"/>
              </w:rPr>
              <w:t>$145</w:t>
            </w:r>
          </w:p>
        </w:tc>
        <w:tc>
          <w:tcPr>
            <w:tcW w:w="460" w:type="dxa"/>
            <w:vAlign w:val="bottom"/>
          </w:tcPr>
          <w:p>
            <w:pPr>
              <w:jc w:val="center"/>
              <w:spacing w:after="0"/>
              <w:rPr>
                <w:sz w:val="20"/>
                <w:szCs w:val="20"/>
                <w:color w:val="auto"/>
              </w:rPr>
            </w:pPr>
            <w:r>
              <w:rPr>
                <w:rFonts w:ascii="Arial" w:cs="Arial" w:eastAsia="Arial" w:hAnsi="Arial"/>
                <w:sz w:val="7"/>
                <w:szCs w:val="7"/>
                <w:color w:val="auto"/>
              </w:rPr>
              <w:t>$145</w:t>
            </w:r>
          </w:p>
        </w:tc>
        <w:tc>
          <w:tcPr>
            <w:tcW w:w="14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$19,474</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108"/>
        </w:trPr>
        <w:tc>
          <w:tcPr>
            <w:tcW w:w="1220" w:type="dxa"/>
            <w:vAlign w:val="bottom"/>
            <w:gridSpan w:val="2"/>
          </w:tcPr>
          <w:p>
            <w:pPr>
              <w:spacing w:after="0"/>
              <w:rPr>
                <w:sz w:val="20"/>
                <w:szCs w:val="20"/>
                <w:color w:val="auto"/>
              </w:rPr>
            </w:pPr>
            <w:r>
              <w:rPr>
                <w:rFonts w:ascii="Arial" w:cs="Arial" w:eastAsia="Arial" w:hAnsi="Arial"/>
                <w:sz w:val="7"/>
                <w:szCs w:val="7"/>
                <w:color w:val="auto"/>
              </w:rPr>
              <w:t>19 East 65th Street</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6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14,639</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1.2</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7"/>
                <w:szCs w:val="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440" w:type="dxa"/>
            <w:vAlign w:val="bottom"/>
          </w:tcPr>
          <w:p>
            <w:pPr>
              <w:jc w:val="center"/>
              <w:spacing w:after="0"/>
              <w:rPr>
                <w:sz w:val="20"/>
                <w:szCs w:val="20"/>
                <w:color w:val="auto"/>
              </w:rPr>
            </w:pPr>
            <w:r>
              <w:rPr>
                <w:rFonts w:ascii="Arial" w:cs="Arial" w:eastAsia="Arial" w:hAnsi="Arial"/>
                <w:sz w:val="7"/>
                <w:szCs w:val="7"/>
                <w:color w:val="auto"/>
              </w:rPr>
              <w:t>—</w:t>
            </w:r>
          </w:p>
        </w:tc>
        <w:tc>
          <w:tcPr>
            <w:tcW w:w="600" w:type="dxa"/>
            <w:vAlign w:val="bottom"/>
            <w:gridSpan w:val="2"/>
          </w:tcPr>
          <w:p>
            <w:pPr>
              <w:jc w:val="center"/>
              <w:ind w:right="120"/>
              <w:spacing w:after="0"/>
              <w:rPr>
                <w:sz w:val="20"/>
                <w:szCs w:val="20"/>
                <w:color w:val="auto"/>
              </w:rPr>
            </w:pPr>
            <w:r>
              <w:rPr>
                <w:rFonts w:ascii="Arial" w:cs="Arial" w:eastAsia="Arial" w:hAnsi="Arial"/>
                <w:sz w:val="7"/>
                <w:szCs w:val="7"/>
                <w:color w:val="auto"/>
              </w:rPr>
              <w:t>—</w:t>
            </w:r>
          </w:p>
        </w:tc>
        <w:tc>
          <w:tcPr>
            <w:tcW w:w="500" w:type="dxa"/>
            <w:vAlign w:val="bottom"/>
          </w:tcPr>
          <w:p>
            <w:pPr>
              <w:jc w:val="right"/>
              <w:ind w:right="4"/>
              <w:spacing w:after="0"/>
              <w:rPr>
                <w:sz w:val="20"/>
                <w:szCs w:val="20"/>
                <w:color w:val="auto"/>
              </w:rPr>
            </w:pPr>
            <w:r>
              <w:rPr>
                <w:rFonts w:ascii="Arial" w:cs="Arial" w:eastAsia="Arial" w:hAnsi="Arial"/>
                <w:sz w:val="7"/>
                <w:szCs w:val="7"/>
                <w:color w:val="auto"/>
              </w:rPr>
              <w:t>22,210</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220" w:type="dxa"/>
            <w:vAlign w:val="bottom"/>
            <w:gridSpan w:val="2"/>
          </w:tcPr>
          <w:p>
            <w:pPr>
              <w:spacing w:after="0"/>
              <w:rPr>
                <w:sz w:val="20"/>
                <w:szCs w:val="20"/>
                <w:color w:val="auto"/>
              </w:rPr>
            </w:pPr>
            <w:r>
              <w:rPr>
                <w:rFonts w:ascii="Arial" w:cs="Arial" w:eastAsia="Arial" w:hAnsi="Arial"/>
                <w:sz w:val="7"/>
                <w:szCs w:val="7"/>
                <w:color w:val="auto"/>
              </w:rPr>
              <w:t>185 Broadway</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6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50,206</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4.0</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34.5</w:t>
            </w:r>
          </w:p>
        </w:tc>
        <w:tc>
          <w:tcPr>
            <w:tcW w:w="10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34.5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34.5</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34.5</w:t>
            </w:r>
          </w:p>
        </w:tc>
        <w:tc>
          <w:tcPr>
            <w:tcW w:w="12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7"/>
                <w:szCs w:val="7"/>
                <w:color w:val="auto"/>
              </w:rPr>
              <w:t>3,529</w:t>
            </w:r>
          </w:p>
        </w:tc>
        <w:tc>
          <w:tcPr>
            <w:tcW w:w="460" w:type="dxa"/>
            <w:vAlign w:val="bottom"/>
          </w:tcPr>
          <w:p>
            <w:pPr>
              <w:jc w:val="center"/>
              <w:spacing w:after="0"/>
              <w:rPr>
                <w:sz w:val="20"/>
                <w:szCs w:val="20"/>
                <w:color w:val="auto"/>
              </w:rPr>
            </w:pPr>
            <w:r>
              <w:rPr>
                <w:rFonts w:ascii="Arial" w:cs="Arial" w:eastAsia="Arial" w:hAnsi="Arial"/>
                <w:sz w:val="7"/>
                <w:szCs w:val="7"/>
                <w:color w:val="auto"/>
              </w:rPr>
              <w:t>3,529</w:t>
            </w:r>
          </w:p>
        </w:tc>
        <w:tc>
          <w:tcPr>
            <w:tcW w:w="140" w:type="dxa"/>
            <w:vAlign w:val="bottom"/>
          </w:tcPr>
          <w:p>
            <w:pPr>
              <w:spacing w:after="0"/>
              <w:rPr>
                <w:sz w:val="9"/>
                <w:szCs w:val="9"/>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color w:val="auto"/>
              </w:rPr>
              <w:t>32,560</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08"/>
        </w:trPr>
        <w:tc>
          <w:tcPr>
            <w:tcW w:w="1220" w:type="dxa"/>
            <w:vAlign w:val="bottom"/>
            <w:gridSpan w:val="2"/>
          </w:tcPr>
          <w:p>
            <w:pPr>
              <w:spacing w:after="0"/>
              <w:rPr>
                <w:sz w:val="20"/>
                <w:szCs w:val="20"/>
                <w:color w:val="auto"/>
              </w:rPr>
            </w:pPr>
            <w:r>
              <w:rPr>
                <w:rFonts w:ascii="Arial" w:cs="Arial" w:eastAsia="Arial" w:hAnsi="Arial"/>
                <w:sz w:val="7"/>
                <w:szCs w:val="7"/>
                <w:color w:val="auto"/>
              </w:rPr>
              <w:t>346 Madison Avenue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6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275,138</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22.0</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41.1</w:t>
            </w:r>
          </w:p>
        </w:tc>
        <w:tc>
          <w:tcPr>
            <w:tcW w:w="10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41.1</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40.4</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40.4</w:t>
            </w:r>
          </w:p>
        </w:tc>
        <w:tc>
          <w:tcPr>
            <w:tcW w:w="12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7"/>
                <w:szCs w:val="7"/>
                <w:color w:val="auto"/>
              </w:rPr>
              <w:t>3,956</w:t>
            </w:r>
          </w:p>
        </w:tc>
        <w:tc>
          <w:tcPr>
            <w:tcW w:w="460" w:type="dxa"/>
            <w:vAlign w:val="bottom"/>
          </w:tcPr>
          <w:p>
            <w:pPr>
              <w:jc w:val="center"/>
              <w:spacing w:after="0"/>
              <w:rPr>
                <w:sz w:val="20"/>
                <w:szCs w:val="20"/>
                <w:color w:val="auto"/>
              </w:rPr>
            </w:pPr>
            <w:r>
              <w:rPr>
                <w:rFonts w:ascii="Arial" w:cs="Arial" w:eastAsia="Arial" w:hAnsi="Arial"/>
                <w:sz w:val="7"/>
                <w:szCs w:val="7"/>
                <w:color w:val="auto"/>
              </w:rPr>
              <w:t>3,956</w:t>
            </w:r>
          </w:p>
        </w:tc>
        <w:tc>
          <w:tcPr>
            <w:tcW w:w="140" w:type="dxa"/>
            <w:vAlign w:val="bottom"/>
          </w:tcPr>
          <w:p>
            <w:pPr>
              <w:spacing w:after="0"/>
              <w:rPr>
                <w:sz w:val="9"/>
                <w:szCs w:val="9"/>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color w:val="auto"/>
              </w:rPr>
              <w:t>168,362</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25</w:t>
            </w:r>
          </w:p>
        </w:tc>
        <w:tc>
          <w:tcPr>
            <w:tcW w:w="0" w:type="dxa"/>
            <w:vAlign w:val="bottom"/>
          </w:tcPr>
          <w:p>
            <w:pPr>
              <w:spacing w:after="0"/>
              <w:rPr>
                <w:sz w:val="1"/>
                <w:szCs w:val="1"/>
                <w:color w:val="auto"/>
              </w:rPr>
            </w:pPr>
          </w:p>
        </w:tc>
      </w:tr>
      <w:tr>
        <w:trPr>
          <w:trHeight w:val="108"/>
        </w:trPr>
        <w:tc>
          <w:tcPr>
            <w:tcW w:w="1220" w:type="dxa"/>
            <w:vAlign w:val="bottom"/>
            <w:gridSpan w:val="2"/>
          </w:tcPr>
          <w:p>
            <w:pPr>
              <w:spacing w:after="0"/>
              <w:rPr>
                <w:sz w:val="20"/>
                <w:szCs w:val="20"/>
                <w:color w:val="auto"/>
              </w:rPr>
            </w:pPr>
            <w:r>
              <w:rPr>
                <w:rFonts w:ascii="Arial" w:cs="Arial" w:eastAsia="Arial" w:hAnsi="Arial"/>
                <w:sz w:val="7"/>
                <w:szCs w:val="7"/>
                <w:color w:val="auto"/>
              </w:rPr>
              <w:t>750 Third Avenue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6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780,000</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62.4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3.5</w:t>
            </w:r>
          </w:p>
        </w:tc>
        <w:tc>
          <w:tcPr>
            <w:tcW w:w="10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3.5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4.8</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4.8</w:t>
            </w:r>
          </w:p>
        </w:tc>
        <w:tc>
          <w:tcPr>
            <w:tcW w:w="12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7"/>
                <w:szCs w:val="7"/>
                <w:color w:val="auto"/>
              </w:rPr>
              <w:t>2,851</w:t>
            </w:r>
          </w:p>
        </w:tc>
        <w:tc>
          <w:tcPr>
            <w:tcW w:w="460" w:type="dxa"/>
            <w:vAlign w:val="bottom"/>
          </w:tcPr>
          <w:p>
            <w:pPr>
              <w:jc w:val="center"/>
              <w:spacing w:after="0"/>
              <w:rPr>
                <w:sz w:val="20"/>
                <w:szCs w:val="20"/>
                <w:color w:val="auto"/>
              </w:rPr>
            </w:pPr>
            <w:r>
              <w:rPr>
                <w:rFonts w:ascii="Arial" w:cs="Arial" w:eastAsia="Arial" w:hAnsi="Arial"/>
                <w:sz w:val="7"/>
                <w:szCs w:val="7"/>
                <w:color w:val="auto"/>
              </w:rPr>
              <w:t>2,851</w:t>
            </w:r>
          </w:p>
        </w:tc>
        <w:tc>
          <w:tcPr>
            <w:tcW w:w="140" w:type="dxa"/>
            <w:vAlign w:val="bottom"/>
          </w:tcPr>
          <w:p>
            <w:pPr>
              <w:spacing w:after="0"/>
              <w:rPr>
                <w:sz w:val="9"/>
                <w:szCs w:val="9"/>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color w:val="auto"/>
              </w:rPr>
              <w:t>365,675</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47"/>
        </w:trPr>
        <w:tc>
          <w:tcPr>
            <w:tcW w:w="36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42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520" w:type="dxa"/>
            <w:vAlign w:val="bottom"/>
            <w:gridSpan w:val="6"/>
          </w:tcPr>
          <w:p>
            <w:pPr>
              <w:spacing w:after="0"/>
              <w:rPr>
                <w:sz w:val="20"/>
                <w:szCs w:val="20"/>
                <w:color w:val="auto"/>
              </w:rPr>
            </w:pPr>
            <w:r>
              <w:rPr>
                <w:rFonts w:ascii="Arial" w:cs="Arial" w:eastAsia="Arial" w:hAnsi="Arial"/>
                <w:sz w:val="7"/>
                <w:szCs w:val="7"/>
                <w:b w:val="1"/>
                <w:bCs w:val="1"/>
                <w:color w:val="auto"/>
              </w:rPr>
              <w:t>Total / Weighted Average Development / Redevelopment Properties</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1,249,983</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100.0 %</w:t>
            </w:r>
          </w:p>
        </w:tc>
        <w:tc>
          <w:tcPr>
            <w:tcW w:w="1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12.9 %</w:t>
            </w:r>
          </w:p>
        </w:tc>
        <w:tc>
          <w:tcPr>
            <w:tcW w:w="1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12.9 %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14.1 %</w:t>
            </w:r>
          </w:p>
        </w:tc>
        <w:tc>
          <w:tcPr>
            <w:tcW w:w="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14.1 %</w:t>
            </w:r>
          </w:p>
        </w:tc>
        <w:tc>
          <w:tcPr>
            <w:tcW w:w="12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Arial" w:cs="Arial" w:eastAsia="Arial" w:hAnsi="Arial"/>
                <w:sz w:val="7"/>
                <w:szCs w:val="7"/>
                <w:b w:val="1"/>
                <w:bCs w:val="1"/>
                <w:color w:val="auto"/>
              </w:rPr>
              <w:t>$10,481</w:t>
            </w: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rPr>
              <w:t>$10,481</w:t>
            </w:r>
          </w:p>
        </w:tc>
        <w:tc>
          <w:tcPr>
            <w:tcW w:w="140" w:type="dxa"/>
            <w:vAlign w:val="bottom"/>
          </w:tcPr>
          <w:p>
            <w:pPr>
              <w:spacing w:after="0"/>
              <w:rPr>
                <w:sz w:val="8"/>
                <w:szCs w:val="8"/>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$608,281</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b w:val="1"/>
                <w:bCs w:val="1"/>
                <w:color w:val="auto"/>
              </w:rPr>
              <w:t>36</w:t>
            </w:r>
          </w:p>
        </w:tc>
        <w:tc>
          <w:tcPr>
            <w:tcW w:w="0" w:type="dxa"/>
            <w:vAlign w:val="bottom"/>
          </w:tcPr>
          <w:p>
            <w:pPr>
              <w:spacing w:after="0"/>
              <w:rPr>
                <w:sz w:val="1"/>
                <w:szCs w:val="1"/>
                <w:color w:val="auto"/>
              </w:rPr>
            </w:pPr>
          </w:p>
        </w:tc>
      </w:tr>
      <w:tr>
        <w:trPr>
          <w:trHeight w:val="131"/>
        </w:trPr>
        <w:tc>
          <w:tcPr>
            <w:tcW w:w="360" w:type="dxa"/>
            <w:vAlign w:val="bottom"/>
            <w:tcBorders>
              <w:bottom w:val="single" w:sz="8" w:color="00497F"/>
            </w:tcBorders>
          </w:tcPr>
          <w:p>
            <w:pPr>
              <w:spacing w:after="0"/>
              <w:rPr>
                <w:sz w:val="11"/>
                <w:szCs w:val="11"/>
                <w:color w:val="auto"/>
              </w:rPr>
            </w:pPr>
          </w:p>
        </w:tc>
        <w:tc>
          <w:tcPr>
            <w:tcW w:w="860" w:type="dxa"/>
            <w:vAlign w:val="bottom"/>
            <w:tcBorders>
              <w:bottom w:val="single" w:sz="8" w:color="00497F"/>
            </w:tcBorders>
          </w:tcPr>
          <w:p>
            <w:pPr>
              <w:spacing w:after="0"/>
              <w:rPr>
                <w:sz w:val="11"/>
                <w:szCs w:val="11"/>
                <w:color w:val="auto"/>
              </w:rPr>
            </w:pPr>
          </w:p>
        </w:tc>
        <w:tc>
          <w:tcPr>
            <w:tcW w:w="380" w:type="dxa"/>
            <w:vAlign w:val="bottom"/>
            <w:tcBorders>
              <w:bottom w:val="single" w:sz="8" w:color="00497F"/>
            </w:tcBorders>
          </w:tcPr>
          <w:p>
            <w:pPr>
              <w:spacing w:after="0"/>
              <w:rPr>
                <w:sz w:val="11"/>
                <w:szCs w:val="11"/>
                <w:color w:val="auto"/>
              </w:rPr>
            </w:pPr>
          </w:p>
        </w:tc>
        <w:tc>
          <w:tcPr>
            <w:tcW w:w="60" w:type="dxa"/>
            <w:vAlign w:val="bottom"/>
            <w:tcBorders>
              <w:bottom w:val="single" w:sz="8" w:color="00497F"/>
            </w:tcBorders>
          </w:tcPr>
          <w:p>
            <w:pPr>
              <w:spacing w:after="0"/>
              <w:rPr>
                <w:sz w:val="11"/>
                <w:szCs w:val="11"/>
                <w:color w:val="auto"/>
              </w:rPr>
            </w:pPr>
          </w:p>
        </w:tc>
        <w:tc>
          <w:tcPr>
            <w:tcW w:w="360" w:type="dxa"/>
            <w:vAlign w:val="bottom"/>
            <w:tcBorders>
              <w:bottom w:val="single" w:sz="8" w:color="00497F"/>
            </w:tcBorders>
          </w:tcPr>
          <w:p>
            <w:pPr>
              <w:spacing w:after="0"/>
              <w:rPr>
                <w:sz w:val="11"/>
                <w:szCs w:val="11"/>
                <w:color w:val="auto"/>
              </w:rPr>
            </w:pPr>
          </w:p>
        </w:tc>
        <w:tc>
          <w:tcPr>
            <w:tcW w:w="500" w:type="dxa"/>
            <w:vAlign w:val="bottom"/>
            <w:tcBorders>
              <w:bottom w:val="single" w:sz="8" w:color="00497F"/>
            </w:tcBorders>
          </w:tcPr>
          <w:p>
            <w:pPr>
              <w:spacing w:after="0"/>
              <w:rPr>
                <w:sz w:val="11"/>
                <w:szCs w:val="11"/>
                <w:color w:val="auto"/>
              </w:rPr>
            </w:pPr>
          </w:p>
        </w:tc>
        <w:tc>
          <w:tcPr>
            <w:tcW w:w="380" w:type="dxa"/>
            <w:vAlign w:val="bottom"/>
            <w:tcBorders>
              <w:bottom w:val="single" w:sz="8" w:color="00497F"/>
            </w:tcBorders>
          </w:tcPr>
          <w:p>
            <w:pPr>
              <w:spacing w:after="0"/>
              <w:rPr>
                <w:sz w:val="11"/>
                <w:szCs w:val="11"/>
                <w:color w:val="auto"/>
              </w:rPr>
            </w:pPr>
          </w:p>
        </w:tc>
        <w:tc>
          <w:tcPr>
            <w:tcW w:w="280" w:type="dxa"/>
            <w:vAlign w:val="bottom"/>
            <w:tcBorders>
              <w:bottom w:val="single" w:sz="8" w:color="00497F"/>
            </w:tcBorders>
          </w:tcPr>
          <w:p>
            <w:pPr>
              <w:spacing w:after="0"/>
              <w:rPr>
                <w:sz w:val="11"/>
                <w:szCs w:val="11"/>
                <w:color w:val="auto"/>
              </w:rPr>
            </w:pPr>
          </w:p>
        </w:tc>
        <w:tc>
          <w:tcPr>
            <w:tcW w:w="20" w:type="dxa"/>
            <w:vAlign w:val="bottom"/>
            <w:tcBorders>
              <w:bottom w:val="single" w:sz="8" w:color="00497F"/>
            </w:tcBorders>
          </w:tcPr>
          <w:p>
            <w:pPr>
              <w:spacing w:after="0"/>
              <w:rPr>
                <w:sz w:val="11"/>
                <w:szCs w:val="11"/>
                <w:color w:val="auto"/>
              </w:rPr>
            </w:pPr>
          </w:p>
        </w:tc>
        <w:tc>
          <w:tcPr>
            <w:tcW w:w="520" w:type="dxa"/>
            <w:vAlign w:val="bottom"/>
            <w:tcBorders>
              <w:bottom w:val="single" w:sz="8" w:color="00497F"/>
            </w:tcBorders>
          </w:tcPr>
          <w:p>
            <w:pPr>
              <w:spacing w:after="0"/>
              <w:rPr>
                <w:sz w:val="11"/>
                <w:szCs w:val="11"/>
                <w:color w:val="auto"/>
              </w:rPr>
            </w:pPr>
          </w:p>
        </w:tc>
        <w:tc>
          <w:tcPr>
            <w:tcW w:w="20" w:type="dxa"/>
            <w:vAlign w:val="bottom"/>
            <w:tcBorders>
              <w:bottom w:val="single" w:sz="8" w:color="00497F"/>
            </w:tcBorders>
          </w:tcPr>
          <w:p>
            <w:pPr>
              <w:spacing w:after="0"/>
              <w:rPr>
                <w:sz w:val="11"/>
                <w:szCs w:val="11"/>
                <w:color w:val="auto"/>
              </w:rPr>
            </w:pPr>
          </w:p>
        </w:tc>
        <w:tc>
          <w:tcPr>
            <w:tcW w:w="140" w:type="dxa"/>
            <w:vAlign w:val="bottom"/>
            <w:tcBorders>
              <w:bottom w:val="single" w:sz="8" w:color="00497F"/>
            </w:tcBorders>
          </w:tcPr>
          <w:p>
            <w:pPr>
              <w:spacing w:after="0"/>
              <w:rPr>
                <w:sz w:val="11"/>
                <w:szCs w:val="11"/>
                <w:color w:val="auto"/>
              </w:rPr>
            </w:pPr>
          </w:p>
        </w:tc>
        <w:tc>
          <w:tcPr>
            <w:tcW w:w="160" w:type="dxa"/>
            <w:vAlign w:val="bottom"/>
            <w:tcBorders>
              <w:bottom w:val="single" w:sz="8" w:color="00497F"/>
            </w:tcBorders>
          </w:tcPr>
          <w:p>
            <w:pPr>
              <w:spacing w:after="0"/>
              <w:rPr>
                <w:sz w:val="11"/>
                <w:szCs w:val="11"/>
                <w:color w:val="auto"/>
              </w:rPr>
            </w:pPr>
          </w:p>
        </w:tc>
        <w:tc>
          <w:tcPr>
            <w:tcW w:w="280" w:type="dxa"/>
            <w:vAlign w:val="bottom"/>
            <w:tcBorders>
              <w:bottom w:val="single" w:sz="8" w:color="00497F"/>
            </w:tcBorders>
          </w:tcPr>
          <w:p>
            <w:pPr>
              <w:spacing w:after="0"/>
              <w:rPr>
                <w:sz w:val="11"/>
                <w:szCs w:val="11"/>
                <w:color w:val="auto"/>
              </w:rPr>
            </w:pPr>
          </w:p>
        </w:tc>
        <w:tc>
          <w:tcPr>
            <w:tcW w:w="20" w:type="dxa"/>
            <w:vAlign w:val="bottom"/>
            <w:tcBorders>
              <w:bottom w:val="single" w:sz="8" w:color="00497F"/>
            </w:tcBorders>
          </w:tcPr>
          <w:p>
            <w:pPr>
              <w:spacing w:after="0"/>
              <w:rPr>
                <w:sz w:val="11"/>
                <w:szCs w:val="11"/>
                <w:color w:val="auto"/>
              </w:rPr>
            </w:pPr>
          </w:p>
        </w:tc>
        <w:tc>
          <w:tcPr>
            <w:tcW w:w="140" w:type="dxa"/>
            <w:vAlign w:val="bottom"/>
            <w:tcBorders>
              <w:bottom w:val="single" w:sz="8" w:color="00497F"/>
            </w:tcBorders>
          </w:tcPr>
          <w:p>
            <w:pPr>
              <w:spacing w:after="0"/>
              <w:rPr>
                <w:sz w:val="11"/>
                <w:szCs w:val="11"/>
                <w:color w:val="auto"/>
              </w:rPr>
            </w:pPr>
          </w:p>
        </w:tc>
        <w:tc>
          <w:tcPr>
            <w:tcW w:w="520" w:type="dxa"/>
            <w:vAlign w:val="bottom"/>
            <w:tcBorders>
              <w:bottom w:val="single" w:sz="8" w:color="00497F"/>
            </w:tcBorders>
          </w:tcPr>
          <w:p>
            <w:pPr>
              <w:spacing w:after="0"/>
              <w:rPr>
                <w:sz w:val="11"/>
                <w:szCs w:val="11"/>
                <w:color w:val="auto"/>
              </w:rPr>
            </w:pPr>
          </w:p>
        </w:tc>
        <w:tc>
          <w:tcPr>
            <w:tcW w:w="100" w:type="dxa"/>
            <w:vAlign w:val="bottom"/>
            <w:tcBorders>
              <w:bottom w:val="single" w:sz="8" w:color="00497F"/>
            </w:tcBorders>
          </w:tcPr>
          <w:p>
            <w:pPr>
              <w:spacing w:after="0"/>
              <w:rPr>
                <w:sz w:val="11"/>
                <w:szCs w:val="11"/>
                <w:color w:val="auto"/>
              </w:rPr>
            </w:pPr>
          </w:p>
        </w:tc>
        <w:tc>
          <w:tcPr>
            <w:tcW w:w="540" w:type="dxa"/>
            <w:vAlign w:val="bottom"/>
            <w:tcBorders>
              <w:bottom w:val="single" w:sz="8" w:color="00497F"/>
            </w:tcBorders>
          </w:tcPr>
          <w:p>
            <w:pPr>
              <w:spacing w:after="0"/>
              <w:rPr>
                <w:sz w:val="11"/>
                <w:szCs w:val="11"/>
                <w:color w:val="auto"/>
              </w:rPr>
            </w:pPr>
          </w:p>
        </w:tc>
        <w:tc>
          <w:tcPr>
            <w:tcW w:w="80" w:type="dxa"/>
            <w:vAlign w:val="bottom"/>
            <w:tcBorders>
              <w:bottom w:val="single" w:sz="8" w:color="00497F"/>
            </w:tcBorders>
          </w:tcPr>
          <w:p>
            <w:pPr>
              <w:spacing w:after="0"/>
              <w:rPr>
                <w:sz w:val="11"/>
                <w:szCs w:val="11"/>
                <w:color w:val="auto"/>
              </w:rPr>
            </w:pPr>
          </w:p>
        </w:tc>
        <w:tc>
          <w:tcPr>
            <w:tcW w:w="540" w:type="dxa"/>
            <w:vAlign w:val="bottom"/>
            <w:tcBorders>
              <w:bottom w:val="single" w:sz="8" w:color="00497F"/>
            </w:tcBorders>
          </w:tcPr>
          <w:p>
            <w:pPr>
              <w:spacing w:after="0"/>
              <w:rPr>
                <w:sz w:val="11"/>
                <w:szCs w:val="11"/>
                <w:color w:val="auto"/>
              </w:rPr>
            </w:pPr>
          </w:p>
        </w:tc>
        <w:tc>
          <w:tcPr>
            <w:tcW w:w="80" w:type="dxa"/>
            <w:vAlign w:val="bottom"/>
            <w:tcBorders>
              <w:bottom w:val="single" w:sz="8" w:color="00497F"/>
            </w:tcBorders>
          </w:tcPr>
          <w:p>
            <w:pPr>
              <w:spacing w:after="0"/>
              <w:rPr>
                <w:sz w:val="11"/>
                <w:szCs w:val="11"/>
                <w:color w:val="auto"/>
              </w:rPr>
            </w:pPr>
          </w:p>
        </w:tc>
        <w:tc>
          <w:tcPr>
            <w:tcW w:w="560" w:type="dxa"/>
            <w:vAlign w:val="bottom"/>
            <w:tcBorders>
              <w:bottom w:val="single" w:sz="8" w:color="00497F"/>
            </w:tcBorders>
          </w:tcPr>
          <w:p>
            <w:pPr>
              <w:spacing w:after="0"/>
              <w:rPr>
                <w:sz w:val="11"/>
                <w:szCs w:val="11"/>
                <w:color w:val="auto"/>
              </w:rPr>
            </w:pPr>
          </w:p>
        </w:tc>
        <w:tc>
          <w:tcPr>
            <w:tcW w:w="120" w:type="dxa"/>
            <w:vAlign w:val="bottom"/>
            <w:tcBorders>
              <w:bottom w:val="single" w:sz="8" w:color="00497F"/>
            </w:tcBorders>
          </w:tcPr>
          <w:p>
            <w:pPr>
              <w:spacing w:after="0"/>
              <w:rPr>
                <w:sz w:val="11"/>
                <w:szCs w:val="11"/>
                <w:color w:val="auto"/>
              </w:rPr>
            </w:pPr>
          </w:p>
        </w:tc>
        <w:tc>
          <w:tcPr>
            <w:tcW w:w="440" w:type="dxa"/>
            <w:vAlign w:val="bottom"/>
            <w:tcBorders>
              <w:bottom w:val="single" w:sz="8" w:color="00497F"/>
            </w:tcBorders>
          </w:tcPr>
          <w:p>
            <w:pPr>
              <w:spacing w:after="0"/>
              <w:rPr>
                <w:sz w:val="11"/>
                <w:szCs w:val="11"/>
                <w:color w:val="auto"/>
              </w:rPr>
            </w:pPr>
          </w:p>
        </w:tc>
        <w:tc>
          <w:tcPr>
            <w:tcW w:w="460" w:type="dxa"/>
            <w:vAlign w:val="bottom"/>
            <w:tcBorders>
              <w:bottom w:val="single" w:sz="8" w:color="00497F"/>
            </w:tcBorders>
          </w:tcPr>
          <w:p>
            <w:pPr>
              <w:spacing w:after="0"/>
              <w:rPr>
                <w:sz w:val="11"/>
                <w:szCs w:val="11"/>
                <w:color w:val="auto"/>
              </w:rPr>
            </w:pPr>
          </w:p>
        </w:tc>
        <w:tc>
          <w:tcPr>
            <w:tcW w:w="140" w:type="dxa"/>
            <w:vAlign w:val="bottom"/>
            <w:tcBorders>
              <w:bottom w:val="single" w:sz="8" w:color="00497F"/>
            </w:tcBorders>
          </w:tcPr>
          <w:p>
            <w:pPr>
              <w:spacing w:after="0"/>
              <w:rPr>
                <w:sz w:val="11"/>
                <w:szCs w:val="11"/>
                <w:color w:val="auto"/>
              </w:rPr>
            </w:pPr>
          </w:p>
        </w:tc>
        <w:tc>
          <w:tcPr>
            <w:tcW w:w="500" w:type="dxa"/>
            <w:vAlign w:val="bottom"/>
            <w:tcBorders>
              <w:bottom w:val="single" w:sz="8" w:color="00497F"/>
            </w:tcBorders>
          </w:tcPr>
          <w:p>
            <w:pPr>
              <w:spacing w:after="0"/>
              <w:rPr>
                <w:sz w:val="11"/>
                <w:szCs w:val="11"/>
                <w:color w:val="auto"/>
              </w:rPr>
            </w:pPr>
          </w:p>
        </w:tc>
        <w:tc>
          <w:tcPr>
            <w:tcW w:w="120" w:type="dxa"/>
            <w:vAlign w:val="bottom"/>
            <w:tcBorders>
              <w:bottom w:val="single" w:sz="8" w:color="00497F"/>
            </w:tcBorders>
          </w:tcPr>
          <w:p>
            <w:pPr>
              <w:spacing w:after="0"/>
              <w:rPr>
                <w:sz w:val="11"/>
                <w:szCs w:val="11"/>
                <w:color w:val="auto"/>
              </w:rPr>
            </w:pPr>
          </w:p>
        </w:tc>
        <w:tc>
          <w:tcPr>
            <w:tcW w:w="380" w:type="dxa"/>
            <w:vAlign w:val="bottom"/>
            <w:tcBorders>
              <w:bottom w:val="single" w:sz="8" w:color="00497F"/>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7"/>
                <w:szCs w:val="7"/>
                <w:b w:val="1"/>
                <w:bCs w:val="1"/>
                <w:color w:val="auto"/>
              </w:rPr>
              <w:t>Annualized Contractual</w:t>
            </w:r>
          </w:p>
        </w:tc>
        <w:tc>
          <w:tcPr>
            <w:tcW w:w="62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rPr>
              <w:t>Investment</w:t>
            </w:r>
          </w:p>
        </w:tc>
        <w:tc>
          <w:tcPr>
            <w:tcW w:w="380" w:type="dxa"/>
            <w:vAlign w:val="bottom"/>
            <w:vMerge w:val="restart"/>
          </w:tcPr>
          <w:p>
            <w:pPr>
              <w:jc w:val="center"/>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69"/>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620" w:type="dxa"/>
            <w:vAlign w:val="bottom"/>
            <w:gridSpan w:val="2"/>
          </w:tcPr>
          <w:p>
            <w:pPr>
              <w:jc w:val="center"/>
              <w:ind w:right="120"/>
              <w:spacing w:after="0" w:line="69" w:lineRule="exact"/>
              <w:rPr>
                <w:sz w:val="20"/>
                <w:szCs w:val="20"/>
                <w:color w:val="auto"/>
              </w:rPr>
            </w:pPr>
            <w:r>
              <w:rPr>
                <w:rFonts w:ascii="Arial" w:cs="Arial" w:eastAsia="Arial" w:hAnsi="Arial"/>
                <w:sz w:val="7"/>
                <w:szCs w:val="7"/>
                <w:b w:val="1"/>
                <w:bCs w:val="1"/>
                <w:color w:val="auto"/>
              </w:rPr>
              <w:t>Carrying</w:t>
            </w: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March 31, 2026</w:t>
            </w:r>
          </w:p>
        </w:tc>
        <w:tc>
          <w:tcPr>
            <w:tcW w:w="80" w:type="dxa"/>
            <w:vAlign w:val="bottom"/>
          </w:tcPr>
          <w:p>
            <w:pPr>
              <w:spacing w:after="0"/>
              <w:rPr>
                <w:sz w:val="9"/>
                <w:szCs w:val="9"/>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December 31, 2025</w:t>
            </w:r>
          </w:p>
        </w:tc>
        <w:tc>
          <w:tcPr>
            <w:tcW w:w="120" w:type="dxa"/>
            <w:vAlign w:val="bottom"/>
          </w:tcPr>
          <w:p>
            <w:pPr>
              <w:spacing w:after="0"/>
              <w:rPr>
                <w:sz w:val="9"/>
                <w:szCs w:val="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b w:val="1"/>
                <w:bCs w:val="1"/>
                <w:color w:val="auto"/>
                <w:w w:val="98"/>
              </w:rPr>
              <w:t>Cash Rent</w:t>
            </w:r>
          </w:p>
        </w:tc>
        <w:tc>
          <w:tcPr>
            <w:tcW w:w="14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Value, Net</w:t>
            </w:r>
          </w:p>
        </w:tc>
        <w:tc>
          <w:tcPr>
            <w:tcW w:w="120" w:type="dxa"/>
            <w:vAlign w:val="bottom"/>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96"/>
              </w:rPr>
              <w:t>Tenants</w:t>
            </w: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7"/>
                <w:szCs w:val="7"/>
                <w:b w:val="1"/>
                <w:bCs w:val="1"/>
                <w:color w:val="auto"/>
              </w:rPr>
              <w:t>% of Total</w:t>
            </w:r>
          </w:p>
        </w:tc>
        <w:tc>
          <w:tcPr>
            <w:tcW w:w="1240" w:type="dxa"/>
            <w:vAlign w:val="bottom"/>
            <w:gridSpan w:val="4"/>
          </w:tcPr>
          <w:p>
            <w:pPr>
              <w:jc w:val="center"/>
              <w:ind w:right="80"/>
              <w:spacing w:after="0"/>
              <w:rPr>
                <w:sz w:val="20"/>
                <w:szCs w:val="20"/>
                <w:color w:val="auto"/>
              </w:rPr>
            </w:pPr>
            <w:r>
              <w:rPr>
                <w:rFonts w:ascii="Arial" w:cs="Arial" w:eastAsia="Arial" w:hAnsi="Arial"/>
                <w:sz w:val="7"/>
                <w:szCs w:val="7"/>
                <w:b w:val="1"/>
                <w:bCs w:val="1"/>
                <w:color w:val="auto"/>
              </w:rPr>
              <w:t>Occupancy %</w:t>
            </w:r>
          </w:p>
        </w:tc>
        <w:tc>
          <w:tcPr>
            <w:tcW w:w="1300" w:type="dxa"/>
            <w:vAlign w:val="bottom"/>
            <w:gridSpan w:val="4"/>
          </w:tcPr>
          <w:p>
            <w:pPr>
              <w:jc w:val="center"/>
              <w:ind w:right="140"/>
              <w:spacing w:after="0"/>
              <w:rPr>
                <w:sz w:val="20"/>
                <w:szCs w:val="20"/>
                <w:color w:val="auto"/>
              </w:rPr>
            </w:pPr>
            <w:r>
              <w:rPr>
                <w:rFonts w:ascii="Arial" w:cs="Arial" w:eastAsia="Arial" w:hAnsi="Arial"/>
                <w:sz w:val="7"/>
                <w:szCs w:val="7"/>
                <w:b w:val="1"/>
                <w:bCs w:val="1"/>
                <w:color w:val="auto"/>
              </w:rPr>
              <w:t>Occupancy %</w:t>
            </w: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360" w:type="dxa"/>
            <w:vAlign w:val="bottom"/>
          </w:tcPr>
          <w:p>
            <w:pPr>
              <w:spacing w:after="0"/>
              <w:rPr>
                <w:sz w:val="20"/>
                <w:szCs w:val="20"/>
                <w:color w:val="auto"/>
              </w:rPr>
            </w:pPr>
            <w:r>
              <w:rPr>
                <w:rFonts w:ascii="Arial" w:cs="Arial" w:eastAsia="Arial" w:hAnsi="Arial"/>
                <w:sz w:val="7"/>
                <w:szCs w:val="7"/>
                <w:b w:val="1"/>
                <w:bCs w:val="1"/>
                <w:color w:val="auto"/>
                <w:w w:val="98"/>
              </w:rPr>
              <w:t>Properties</w:t>
            </w:r>
          </w:p>
        </w:tc>
        <w:tc>
          <w:tcPr>
            <w:tcW w:w="860" w:type="dxa"/>
            <w:vAlign w:val="bottom"/>
          </w:tcPr>
          <w:p>
            <w:pPr>
              <w:spacing w:after="0"/>
              <w:rPr>
                <w:sz w:val="7"/>
                <w:szCs w:val="7"/>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Interest (%)</w:t>
            </w:r>
          </w:p>
        </w:tc>
        <w:tc>
          <w:tcPr>
            <w:tcW w:w="860" w:type="dxa"/>
            <w:vAlign w:val="bottom"/>
            <w:gridSpan w:val="2"/>
          </w:tcPr>
          <w:p>
            <w:pPr>
              <w:spacing w:after="0"/>
              <w:rPr>
                <w:sz w:val="20"/>
                <w:szCs w:val="20"/>
                <w:color w:val="auto"/>
              </w:rPr>
            </w:pPr>
            <w:r>
              <w:rPr>
                <w:rFonts w:ascii="Arial" w:cs="Arial" w:eastAsia="Arial" w:hAnsi="Arial"/>
                <w:sz w:val="7"/>
                <w:szCs w:val="7"/>
                <w:b w:val="1"/>
                <w:bCs w:val="1"/>
                <w:color w:val="auto"/>
              </w:rPr>
              <w:t>SubMarket</w:t>
            </w:r>
          </w:p>
        </w:tc>
        <w:tc>
          <w:tcPr>
            <w:tcW w:w="66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700" w:type="dxa"/>
            <w:vAlign w:val="bottom"/>
            <w:gridSpan w:val="4"/>
          </w:tcPr>
          <w:p>
            <w:pPr>
              <w:ind w:left="20"/>
              <w:spacing w:after="0"/>
              <w:rPr>
                <w:sz w:val="20"/>
                <w:szCs w:val="20"/>
                <w:color w:val="auto"/>
              </w:rPr>
            </w:pPr>
            <w:r>
              <w:rPr>
                <w:rFonts w:ascii="Arial" w:cs="Arial" w:eastAsia="Arial" w:hAnsi="Arial"/>
                <w:sz w:val="7"/>
                <w:szCs w:val="7"/>
                <w:b w:val="1"/>
                <w:bCs w:val="1"/>
                <w:color w:val="auto"/>
              </w:rPr>
              <w:t>Square Feet (1)</w:t>
            </w:r>
          </w:p>
        </w:tc>
        <w:tc>
          <w:tcPr>
            <w:tcW w:w="600" w:type="dxa"/>
            <w:vAlign w:val="bottom"/>
            <w:gridSpan w:val="4"/>
          </w:tcPr>
          <w:p>
            <w:pPr>
              <w:jc w:val="right"/>
              <w:ind w:right="160"/>
              <w:spacing w:after="0"/>
              <w:rPr>
                <w:sz w:val="20"/>
                <w:szCs w:val="20"/>
                <w:color w:val="auto"/>
              </w:rPr>
            </w:pPr>
            <w:r>
              <w:rPr>
                <w:rFonts w:ascii="Arial" w:cs="Arial" w:eastAsia="Arial" w:hAnsi="Arial"/>
                <w:sz w:val="7"/>
                <w:szCs w:val="7"/>
                <w:b w:val="1"/>
                <w:bCs w:val="1"/>
                <w:color w:val="auto"/>
              </w:rPr>
              <w:t>Sq. Feet</w:t>
            </w:r>
          </w:p>
        </w:tc>
        <w:tc>
          <w:tcPr>
            <w:tcW w:w="620" w:type="dxa"/>
            <w:vAlign w:val="bottom"/>
            <w:gridSpan w:val="2"/>
          </w:tcPr>
          <w:p>
            <w:pPr>
              <w:ind w:left="80"/>
              <w:spacing w:after="0"/>
              <w:rPr>
                <w:sz w:val="20"/>
                <w:szCs w:val="20"/>
                <w:color w:val="auto"/>
              </w:rPr>
            </w:pPr>
            <w:r>
              <w:rPr>
                <w:rFonts w:ascii="Arial" w:cs="Arial" w:eastAsia="Arial" w:hAnsi="Arial"/>
                <w:sz w:val="7"/>
                <w:szCs w:val="7"/>
                <w:b w:val="1"/>
                <w:bCs w:val="1"/>
                <w:color w:val="auto"/>
              </w:rPr>
              <w:t>Leased (2)</w:t>
            </w:r>
          </w:p>
        </w:tc>
        <w:tc>
          <w:tcPr>
            <w:tcW w:w="620" w:type="dxa"/>
            <w:vAlign w:val="bottom"/>
            <w:gridSpan w:val="2"/>
          </w:tcPr>
          <w:p>
            <w:pPr>
              <w:ind w:left="40"/>
              <w:spacing w:after="0"/>
              <w:rPr>
                <w:sz w:val="20"/>
                <w:szCs w:val="20"/>
                <w:color w:val="auto"/>
              </w:rPr>
            </w:pPr>
            <w:r>
              <w:rPr>
                <w:rFonts w:ascii="Arial" w:cs="Arial" w:eastAsia="Arial" w:hAnsi="Arial"/>
                <w:sz w:val="7"/>
                <w:szCs w:val="7"/>
                <w:b w:val="1"/>
                <w:bCs w:val="1"/>
                <w:color w:val="auto"/>
              </w:rPr>
              <w:t>Occupied (3)</w:t>
            </w:r>
          </w:p>
        </w:tc>
        <w:tc>
          <w:tcPr>
            <w:tcW w:w="620" w:type="dxa"/>
            <w:vAlign w:val="bottom"/>
            <w:gridSpan w:val="2"/>
          </w:tcPr>
          <w:p>
            <w:pPr>
              <w:ind w:left="80"/>
              <w:spacing w:after="0"/>
              <w:rPr>
                <w:sz w:val="20"/>
                <w:szCs w:val="20"/>
                <w:color w:val="auto"/>
              </w:rPr>
            </w:pPr>
            <w:r>
              <w:rPr>
                <w:rFonts w:ascii="Arial" w:cs="Arial" w:eastAsia="Arial" w:hAnsi="Arial"/>
                <w:sz w:val="7"/>
                <w:szCs w:val="7"/>
                <w:b w:val="1"/>
                <w:bCs w:val="1"/>
                <w:color w:val="auto"/>
              </w:rPr>
              <w:t>Leased (2)</w:t>
            </w:r>
          </w:p>
        </w:tc>
        <w:tc>
          <w:tcPr>
            <w:tcW w:w="680" w:type="dxa"/>
            <w:vAlign w:val="bottom"/>
            <w:gridSpan w:val="2"/>
          </w:tcPr>
          <w:p>
            <w:pPr>
              <w:ind w:left="60"/>
              <w:spacing w:after="0"/>
              <w:rPr>
                <w:sz w:val="20"/>
                <w:szCs w:val="20"/>
                <w:color w:val="auto"/>
              </w:rPr>
            </w:pPr>
            <w:r>
              <w:rPr>
                <w:rFonts w:ascii="Arial" w:cs="Arial" w:eastAsia="Arial" w:hAnsi="Arial"/>
                <w:sz w:val="7"/>
                <w:szCs w:val="7"/>
                <w:b w:val="1"/>
                <w:bCs w:val="1"/>
                <w:color w:val="auto"/>
              </w:rPr>
              <w:t>Occupied (3)</w:t>
            </w:r>
          </w:p>
        </w:tc>
        <w:tc>
          <w:tcPr>
            <w:tcW w:w="440" w:type="dxa"/>
            <w:vAlign w:val="bottom"/>
          </w:tcPr>
          <w:p>
            <w:pPr>
              <w:ind w:left="160"/>
              <w:spacing w:after="0"/>
              <w:rPr>
                <w:sz w:val="20"/>
                <w:szCs w:val="20"/>
                <w:color w:val="auto"/>
              </w:rPr>
            </w:pPr>
            <w:r>
              <w:rPr>
                <w:rFonts w:ascii="Arial" w:cs="Arial" w:eastAsia="Arial" w:hAnsi="Arial"/>
                <w:sz w:val="7"/>
                <w:szCs w:val="7"/>
                <w:b w:val="1"/>
                <w:bCs w:val="1"/>
                <w:color w:val="auto"/>
              </w:rPr>
              <w:t>($'s)</w:t>
            </w:r>
          </w:p>
        </w:tc>
        <w:tc>
          <w:tcPr>
            <w:tcW w:w="60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rPr>
              <w:t>SLG Share</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7"/>
                <w:szCs w:val="7"/>
                <w:b w:val="1"/>
                <w:bCs w:val="1"/>
                <w:color w:val="auto"/>
                <w:w w:val="98"/>
              </w:rPr>
              <w:t>($'s)</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122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Alternative Strategy Portfolio</w:t>
            </w: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22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220" w:type="dxa"/>
            <w:vAlign w:val="bottom"/>
            <w:gridSpan w:val="2"/>
          </w:tcPr>
          <w:p>
            <w:pPr>
              <w:spacing w:after="0"/>
              <w:rPr>
                <w:sz w:val="20"/>
                <w:szCs w:val="20"/>
                <w:color w:val="auto"/>
              </w:rPr>
            </w:pPr>
            <w:r>
              <w:rPr>
                <w:rFonts w:ascii="Arial" w:cs="Arial" w:eastAsia="Arial" w:hAnsi="Arial"/>
                <w:sz w:val="7"/>
                <w:szCs w:val="7"/>
                <w:color w:val="auto"/>
              </w:rPr>
              <w:t>2 Herald Square</w:t>
            </w:r>
          </w:p>
        </w:tc>
        <w:tc>
          <w:tcPr>
            <w:tcW w:w="380" w:type="dxa"/>
            <w:vAlign w:val="bottom"/>
          </w:tcPr>
          <w:p>
            <w:pPr>
              <w:jc w:val="center"/>
              <w:spacing w:after="0"/>
              <w:rPr>
                <w:sz w:val="20"/>
                <w:szCs w:val="20"/>
                <w:color w:val="auto"/>
              </w:rPr>
            </w:pPr>
            <w:r>
              <w:rPr>
                <w:rFonts w:ascii="Arial" w:cs="Arial" w:eastAsia="Arial" w:hAnsi="Arial"/>
                <w:sz w:val="7"/>
                <w:szCs w:val="7"/>
                <w:color w:val="auto"/>
              </w:rPr>
              <w:t>95.0</w:t>
            </w:r>
          </w:p>
        </w:tc>
        <w:tc>
          <w:tcPr>
            <w:tcW w:w="60" w:type="dxa"/>
            <w:vAlign w:val="bottom"/>
          </w:tcPr>
          <w:p>
            <w:pPr>
              <w:spacing w:after="0"/>
              <w:rPr>
                <w:sz w:val="8"/>
                <w:szCs w:val="8"/>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Herald Square</w:t>
            </w:r>
          </w:p>
        </w:tc>
        <w:tc>
          <w:tcPr>
            <w:tcW w:w="6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369,000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14.7</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34.3</w:t>
            </w:r>
          </w:p>
        </w:tc>
        <w:tc>
          <w:tcPr>
            <w:tcW w:w="10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34.3</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34.5</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34.5</w:t>
            </w:r>
          </w:p>
        </w:tc>
        <w:tc>
          <w:tcPr>
            <w:tcW w:w="12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Arial" w:cs="Arial" w:eastAsia="Arial" w:hAnsi="Arial"/>
                <w:sz w:val="7"/>
                <w:szCs w:val="7"/>
                <w:color w:val="auto"/>
              </w:rPr>
              <w:t>$25,699</w:t>
            </w:r>
          </w:p>
        </w:tc>
        <w:tc>
          <w:tcPr>
            <w:tcW w:w="460" w:type="dxa"/>
            <w:vAlign w:val="bottom"/>
          </w:tcPr>
          <w:p>
            <w:pPr>
              <w:jc w:val="center"/>
              <w:spacing w:after="0"/>
              <w:rPr>
                <w:sz w:val="20"/>
                <w:szCs w:val="20"/>
                <w:color w:val="auto"/>
              </w:rPr>
            </w:pPr>
            <w:r>
              <w:rPr>
                <w:rFonts w:ascii="Arial" w:cs="Arial" w:eastAsia="Arial" w:hAnsi="Arial"/>
                <w:sz w:val="7"/>
                <w:szCs w:val="7"/>
                <w:color w:val="auto"/>
              </w:rPr>
              <w:t>$24,414</w:t>
            </w:r>
          </w:p>
        </w:tc>
        <w:tc>
          <w:tcPr>
            <w:tcW w:w="14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$105,634</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Herald Square/Penn</w:t>
            </w: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20" w:type="dxa"/>
            <w:vAlign w:val="bottom"/>
            <w:gridSpan w:val="2"/>
          </w:tcPr>
          <w:p>
            <w:pPr>
              <w:spacing w:after="0"/>
              <w:rPr>
                <w:sz w:val="20"/>
                <w:szCs w:val="20"/>
                <w:color w:val="auto"/>
              </w:rPr>
            </w:pPr>
            <w:r>
              <w:rPr>
                <w:rFonts w:ascii="Arial" w:cs="Arial" w:eastAsia="Arial" w:hAnsi="Arial"/>
                <w:sz w:val="7"/>
                <w:szCs w:val="7"/>
                <w:color w:val="auto"/>
              </w:rPr>
              <w:t>11 West 34th Street</w:t>
            </w:r>
          </w:p>
        </w:tc>
        <w:tc>
          <w:tcPr>
            <w:tcW w:w="380" w:type="dxa"/>
            <w:vAlign w:val="bottom"/>
          </w:tcPr>
          <w:p>
            <w:pPr>
              <w:jc w:val="center"/>
              <w:spacing w:after="0"/>
              <w:rPr>
                <w:sz w:val="20"/>
                <w:szCs w:val="20"/>
                <w:color w:val="auto"/>
              </w:rPr>
            </w:pPr>
            <w:r>
              <w:rPr>
                <w:rFonts w:ascii="Arial" w:cs="Arial" w:eastAsia="Arial" w:hAnsi="Arial"/>
                <w:sz w:val="7"/>
                <w:szCs w:val="7"/>
                <w:color w:val="auto"/>
              </w:rPr>
              <w:t>30.0</w:t>
            </w:r>
          </w:p>
        </w:tc>
        <w:tc>
          <w:tcPr>
            <w:tcW w:w="60" w:type="dxa"/>
            <w:vAlign w:val="bottom"/>
          </w:tcPr>
          <w:p>
            <w:pPr>
              <w:spacing w:after="0"/>
              <w:rPr>
                <w:sz w:val="8"/>
                <w:szCs w:val="8"/>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Station</w:t>
            </w:r>
          </w:p>
        </w:tc>
        <w:tc>
          <w:tcPr>
            <w:tcW w:w="6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17,150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0.7</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Arial" w:cs="Arial" w:eastAsia="Arial" w:hAnsi="Arial"/>
                <w:sz w:val="7"/>
                <w:szCs w:val="7"/>
                <w:color w:val="auto"/>
              </w:rPr>
              <w:t>2,761</w:t>
            </w:r>
          </w:p>
        </w:tc>
        <w:tc>
          <w:tcPr>
            <w:tcW w:w="460" w:type="dxa"/>
            <w:vAlign w:val="bottom"/>
          </w:tcPr>
          <w:p>
            <w:pPr>
              <w:jc w:val="center"/>
              <w:spacing w:after="0"/>
              <w:rPr>
                <w:sz w:val="20"/>
                <w:szCs w:val="20"/>
                <w:color w:val="auto"/>
              </w:rPr>
            </w:pPr>
            <w:r>
              <w:rPr>
                <w:rFonts w:ascii="Arial" w:cs="Arial" w:eastAsia="Arial" w:hAnsi="Arial"/>
                <w:sz w:val="7"/>
                <w:szCs w:val="7"/>
                <w:color w:val="auto"/>
              </w:rPr>
              <w:t>828</w:t>
            </w:r>
          </w:p>
        </w:tc>
        <w:tc>
          <w:tcPr>
            <w:tcW w:w="140" w:type="dxa"/>
            <w:vAlign w:val="bottom"/>
          </w:tcPr>
          <w:p>
            <w:pPr>
              <w:spacing w:after="0"/>
              <w:rPr>
                <w:sz w:val="8"/>
                <w:szCs w:val="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08"/>
        </w:trPr>
        <w:tc>
          <w:tcPr>
            <w:tcW w:w="1220" w:type="dxa"/>
            <w:vAlign w:val="bottom"/>
            <w:gridSpan w:val="2"/>
          </w:tcPr>
          <w:p>
            <w:pPr>
              <w:spacing w:after="0"/>
              <w:rPr>
                <w:sz w:val="20"/>
                <w:szCs w:val="20"/>
                <w:color w:val="auto"/>
              </w:rPr>
            </w:pPr>
            <w:r>
              <w:rPr>
                <w:rFonts w:ascii="Arial" w:cs="Arial" w:eastAsia="Arial" w:hAnsi="Arial"/>
                <w:sz w:val="7"/>
                <w:szCs w:val="7"/>
                <w:color w:val="auto"/>
              </w:rPr>
              <w:t>115 Spring Street</w:t>
            </w:r>
          </w:p>
        </w:tc>
        <w:tc>
          <w:tcPr>
            <w:tcW w:w="380" w:type="dxa"/>
            <w:vAlign w:val="bottom"/>
          </w:tcPr>
          <w:p>
            <w:pPr>
              <w:jc w:val="center"/>
              <w:spacing w:after="0"/>
              <w:rPr>
                <w:sz w:val="20"/>
                <w:szCs w:val="20"/>
                <w:color w:val="auto"/>
              </w:rPr>
            </w:pPr>
            <w:r>
              <w:rPr>
                <w:rFonts w:ascii="Arial" w:cs="Arial" w:eastAsia="Arial" w:hAnsi="Arial"/>
                <w:sz w:val="7"/>
                <w:szCs w:val="7"/>
                <w:color w:val="auto"/>
              </w:rPr>
              <w:t>51.0</w:t>
            </w:r>
          </w:p>
        </w:tc>
        <w:tc>
          <w:tcPr>
            <w:tcW w:w="60" w:type="dxa"/>
            <w:vAlign w:val="bottom"/>
          </w:tcPr>
          <w:p>
            <w:pPr>
              <w:spacing w:after="0"/>
              <w:rPr>
                <w:sz w:val="9"/>
                <w:szCs w:val="9"/>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Soho</w:t>
            </w:r>
          </w:p>
        </w:tc>
        <w:tc>
          <w:tcPr>
            <w:tcW w:w="6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5,218</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0.2</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7"/>
                <w:szCs w:val="7"/>
                <w:color w:val="auto"/>
              </w:rPr>
              <w:t>4,195</w:t>
            </w:r>
          </w:p>
        </w:tc>
        <w:tc>
          <w:tcPr>
            <w:tcW w:w="460" w:type="dxa"/>
            <w:vAlign w:val="bottom"/>
          </w:tcPr>
          <w:p>
            <w:pPr>
              <w:jc w:val="center"/>
              <w:spacing w:after="0"/>
              <w:rPr>
                <w:sz w:val="20"/>
                <w:szCs w:val="20"/>
                <w:color w:val="auto"/>
              </w:rPr>
            </w:pPr>
            <w:r>
              <w:rPr>
                <w:rFonts w:ascii="Arial" w:cs="Arial" w:eastAsia="Arial" w:hAnsi="Arial"/>
                <w:sz w:val="7"/>
                <w:szCs w:val="7"/>
                <w:color w:val="auto"/>
              </w:rPr>
              <w:t>2,139</w:t>
            </w:r>
          </w:p>
        </w:tc>
        <w:tc>
          <w:tcPr>
            <w:tcW w:w="140" w:type="dxa"/>
            <w:vAlign w:val="bottom"/>
          </w:tcPr>
          <w:p>
            <w:pPr>
              <w:spacing w:after="0"/>
              <w:rPr>
                <w:sz w:val="9"/>
                <w:szCs w:val="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08"/>
        </w:trPr>
        <w:tc>
          <w:tcPr>
            <w:tcW w:w="1220" w:type="dxa"/>
            <w:vAlign w:val="bottom"/>
            <w:gridSpan w:val="2"/>
          </w:tcPr>
          <w:p>
            <w:pPr>
              <w:spacing w:after="0"/>
              <w:rPr>
                <w:sz w:val="20"/>
                <w:szCs w:val="20"/>
                <w:color w:val="auto"/>
              </w:rPr>
            </w:pPr>
            <w:r>
              <w:rPr>
                <w:rFonts w:ascii="Arial" w:cs="Arial" w:eastAsia="Arial" w:hAnsi="Arial"/>
                <w:sz w:val="7"/>
                <w:szCs w:val="7"/>
                <w:color w:val="auto"/>
              </w:rPr>
              <w:t>650 Fifth Avenue</w:t>
            </w:r>
          </w:p>
        </w:tc>
        <w:tc>
          <w:tcPr>
            <w:tcW w:w="380" w:type="dxa"/>
            <w:vAlign w:val="bottom"/>
          </w:tcPr>
          <w:p>
            <w:pPr>
              <w:jc w:val="center"/>
              <w:spacing w:after="0"/>
              <w:rPr>
                <w:sz w:val="20"/>
                <w:szCs w:val="20"/>
                <w:color w:val="auto"/>
              </w:rPr>
            </w:pPr>
            <w:r>
              <w:rPr>
                <w:rFonts w:ascii="Arial" w:cs="Arial" w:eastAsia="Arial" w:hAnsi="Arial"/>
                <w:sz w:val="7"/>
                <w:szCs w:val="7"/>
                <w:color w:val="auto"/>
              </w:rPr>
              <w:t>50.0</w:t>
            </w:r>
          </w:p>
        </w:tc>
        <w:tc>
          <w:tcPr>
            <w:tcW w:w="60" w:type="dxa"/>
            <w:vAlign w:val="bottom"/>
          </w:tcPr>
          <w:p>
            <w:pPr>
              <w:spacing w:after="0"/>
              <w:rPr>
                <w:sz w:val="9"/>
                <w:szCs w:val="9"/>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6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69,214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2.8</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7"/>
                <w:szCs w:val="7"/>
                <w:color w:val="auto"/>
              </w:rPr>
              <w:t>43,839</w:t>
            </w:r>
          </w:p>
        </w:tc>
        <w:tc>
          <w:tcPr>
            <w:tcW w:w="460" w:type="dxa"/>
            <w:vAlign w:val="bottom"/>
          </w:tcPr>
          <w:p>
            <w:pPr>
              <w:jc w:val="center"/>
              <w:spacing w:after="0"/>
              <w:rPr>
                <w:sz w:val="20"/>
                <w:szCs w:val="20"/>
                <w:color w:val="auto"/>
              </w:rPr>
            </w:pPr>
            <w:r>
              <w:rPr>
                <w:rFonts w:ascii="Arial" w:cs="Arial" w:eastAsia="Arial" w:hAnsi="Arial"/>
                <w:sz w:val="7"/>
                <w:szCs w:val="7"/>
                <w:color w:val="auto"/>
              </w:rPr>
              <w:t>21,920</w:t>
            </w: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(96,535)</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08"/>
        </w:trPr>
        <w:tc>
          <w:tcPr>
            <w:tcW w:w="1220" w:type="dxa"/>
            <w:vAlign w:val="bottom"/>
            <w:gridSpan w:val="2"/>
          </w:tcPr>
          <w:p>
            <w:pPr>
              <w:spacing w:after="0"/>
              <w:rPr>
                <w:sz w:val="20"/>
                <w:szCs w:val="20"/>
                <w:color w:val="auto"/>
              </w:rPr>
            </w:pPr>
            <w:r>
              <w:rPr>
                <w:rFonts w:ascii="Arial" w:cs="Arial" w:eastAsia="Arial" w:hAnsi="Arial"/>
                <w:sz w:val="7"/>
                <w:szCs w:val="7"/>
                <w:color w:val="auto"/>
              </w:rPr>
              <w:t>Worldwide Plaza</w:t>
            </w:r>
          </w:p>
        </w:tc>
        <w:tc>
          <w:tcPr>
            <w:tcW w:w="380" w:type="dxa"/>
            <w:vAlign w:val="bottom"/>
          </w:tcPr>
          <w:p>
            <w:pPr>
              <w:jc w:val="center"/>
              <w:spacing w:after="0"/>
              <w:rPr>
                <w:sz w:val="20"/>
                <w:szCs w:val="20"/>
                <w:color w:val="auto"/>
              </w:rPr>
            </w:pPr>
            <w:r>
              <w:rPr>
                <w:rFonts w:ascii="Arial" w:cs="Arial" w:eastAsia="Arial" w:hAnsi="Arial"/>
                <w:sz w:val="7"/>
                <w:szCs w:val="7"/>
                <w:color w:val="auto"/>
              </w:rPr>
              <w:t>25.1</w:t>
            </w:r>
          </w:p>
        </w:tc>
        <w:tc>
          <w:tcPr>
            <w:tcW w:w="60" w:type="dxa"/>
            <w:vAlign w:val="bottom"/>
          </w:tcPr>
          <w:p>
            <w:pPr>
              <w:spacing w:after="0"/>
              <w:rPr>
                <w:sz w:val="9"/>
                <w:szCs w:val="9"/>
                <w:color w:val="auto"/>
              </w:rPr>
            </w:pPr>
          </w:p>
        </w:tc>
        <w:tc>
          <w:tcPr>
            <w:tcW w:w="860" w:type="dxa"/>
            <w:vAlign w:val="bottom"/>
            <w:gridSpan w:val="2"/>
          </w:tcPr>
          <w:p>
            <w:pPr>
              <w:spacing w:after="0"/>
              <w:rPr>
                <w:sz w:val="20"/>
                <w:szCs w:val="20"/>
                <w:color w:val="auto"/>
              </w:rPr>
            </w:pPr>
            <w:r>
              <w:rPr>
                <w:rFonts w:ascii="Arial" w:cs="Arial" w:eastAsia="Arial" w:hAnsi="Arial"/>
                <w:sz w:val="7"/>
                <w:szCs w:val="7"/>
                <w:color w:val="auto"/>
              </w:rPr>
              <w:t>Westside</w:t>
            </w:r>
          </w:p>
        </w:tc>
        <w:tc>
          <w:tcPr>
            <w:tcW w:w="6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2"/>
          </w:tcPr>
          <w:p>
            <w:pPr>
              <w:jc w:val="right"/>
              <w:ind w:right="20"/>
              <w:spacing w:after="0"/>
              <w:rPr>
                <w:sz w:val="20"/>
                <w:szCs w:val="20"/>
                <w:color w:val="auto"/>
              </w:rPr>
            </w:pPr>
            <w:r>
              <w:rPr>
                <w:rFonts w:ascii="Arial" w:cs="Arial" w:eastAsia="Arial" w:hAnsi="Arial"/>
                <w:sz w:val="7"/>
                <w:szCs w:val="7"/>
                <w:color w:val="auto"/>
              </w:rPr>
              <w:t>2,048,725</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81.6</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61.9</w:t>
            </w:r>
          </w:p>
        </w:tc>
        <w:tc>
          <w:tcPr>
            <w:tcW w:w="10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61.9</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61.9</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61.9</w:t>
            </w:r>
          </w:p>
        </w:tc>
        <w:tc>
          <w:tcPr>
            <w:tcW w:w="12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7"/>
                <w:szCs w:val="7"/>
                <w:color w:val="auto"/>
              </w:rPr>
              <w:t>78,944</w:t>
            </w:r>
          </w:p>
        </w:tc>
        <w:tc>
          <w:tcPr>
            <w:tcW w:w="460" w:type="dxa"/>
            <w:vAlign w:val="bottom"/>
          </w:tcPr>
          <w:p>
            <w:pPr>
              <w:jc w:val="center"/>
              <w:spacing w:after="0"/>
              <w:rPr>
                <w:sz w:val="20"/>
                <w:szCs w:val="20"/>
                <w:color w:val="auto"/>
              </w:rPr>
            </w:pPr>
            <w:r>
              <w:rPr>
                <w:rFonts w:ascii="Arial" w:cs="Arial" w:eastAsia="Arial" w:hAnsi="Arial"/>
                <w:sz w:val="7"/>
                <w:szCs w:val="7"/>
                <w:color w:val="auto"/>
              </w:rPr>
              <w:t>19,776</w:t>
            </w: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16,382</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21</w:t>
            </w:r>
          </w:p>
        </w:tc>
        <w:tc>
          <w:tcPr>
            <w:tcW w:w="0" w:type="dxa"/>
            <w:vAlign w:val="bottom"/>
          </w:tcPr>
          <w:p>
            <w:pPr>
              <w:spacing w:after="0"/>
              <w:rPr>
                <w:sz w:val="1"/>
                <w:szCs w:val="1"/>
                <w:color w:val="auto"/>
              </w:rPr>
            </w:pPr>
          </w:p>
        </w:tc>
      </w:tr>
      <w:tr>
        <w:trPr>
          <w:trHeight w:val="47"/>
        </w:trPr>
        <w:tc>
          <w:tcPr>
            <w:tcW w:w="36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42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520" w:type="dxa"/>
            <w:vAlign w:val="bottom"/>
            <w:gridSpan w:val="6"/>
          </w:tcPr>
          <w:p>
            <w:pPr>
              <w:spacing w:after="0"/>
              <w:rPr>
                <w:sz w:val="20"/>
                <w:szCs w:val="20"/>
                <w:color w:val="auto"/>
              </w:rPr>
            </w:pPr>
            <w:r>
              <w:rPr>
                <w:rFonts w:ascii="Arial" w:cs="Arial" w:eastAsia="Arial" w:hAnsi="Arial"/>
                <w:sz w:val="7"/>
                <w:szCs w:val="7"/>
                <w:b w:val="1"/>
                <w:bCs w:val="1"/>
                <w:color w:val="auto"/>
              </w:rPr>
              <w:t>Total / Weighted Average Alternative Strategy Portfolio Properties</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2,509,307</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100.0 %</w:t>
            </w:r>
          </w:p>
        </w:tc>
        <w:tc>
          <w:tcPr>
            <w:tcW w:w="1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59.2 %</w:t>
            </w:r>
          </w:p>
        </w:tc>
        <w:tc>
          <w:tcPr>
            <w:tcW w:w="1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59.2 %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59.3 %</w:t>
            </w:r>
          </w:p>
        </w:tc>
        <w:tc>
          <w:tcPr>
            <w:tcW w:w="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59.3 %</w:t>
            </w:r>
          </w:p>
        </w:tc>
        <w:tc>
          <w:tcPr>
            <w:tcW w:w="12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Arial" w:cs="Arial" w:eastAsia="Arial" w:hAnsi="Arial"/>
                <w:sz w:val="7"/>
                <w:szCs w:val="7"/>
                <w:b w:val="1"/>
                <w:bCs w:val="1"/>
                <w:color w:val="auto"/>
              </w:rPr>
              <w:t>$155,438</w:t>
            </w: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rPr>
              <w:t>$69,077</w:t>
            </w:r>
          </w:p>
        </w:tc>
        <w:tc>
          <w:tcPr>
            <w:tcW w:w="140" w:type="dxa"/>
            <w:vAlign w:val="bottom"/>
          </w:tcPr>
          <w:p>
            <w:pPr>
              <w:spacing w:after="0"/>
              <w:rPr>
                <w:sz w:val="8"/>
                <w:szCs w:val="8"/>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$25,481</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b w:val="1"/>
                <w:bCs w:val="1"/>
                <w:color w:val="auto"/>
              </w:rPr>
              <w:t>27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2" w:hanging="102"/>
        <w:spacing w:after="0"/>
        <w:tabs>
          <w:tab w:leader="none" w:pos="102" w:val="left"/>
        </w:tabs>
        <w:numPr>
          <w:ilvl w:val="0"/>
          <w:numId w:val="21"/>
        </w:numPr>
        <w:rPr>
          <w:rFonts w:ascii="Arial" w:cs="Arial" w:eastAsia="Arial" w:hAnsi="Arial"/>
          <w:sz w:val="7"/>
          <w:szCs w:val="7"/>
          <w:color w:val="auto"/>
        </w:rPr>
      </w:pPr>
      <w:r>
        <w:rPr>
          <w:rFonts w:ascii="Arial" w:cs="Arial" w:eastAsia="Arial" w:hAnsi="Arial"/>
          <w:sz w:val="7"/>
          <w:szCs w:val="7"/>
          <w:color w:val="auto"/>
        </w:rPr>
        <w:t>Represents the rentable square footage at the time the property was acquired.</w:t>
      </w:r>
    </w:p>
    <w:p>
      <w:pPr>
        <w:spacing w:after="0" w:line="27" w:lineRule="exact"/>
        <w:rPr>
          <w:rFonts w:ascii="Arial" w:cs="Arial" w:eastAsia="Arial" w:hAnsi="Arial"/>
          <w:sz w:val="7"/>
          <w:szCs w:val="7"/>
          <w:color w:val="auto"/>
        </w:rPr>
      </w:pPr>
    </w:p>
    <w:p>
      <w:pPr>
        <w:ind w:left="102" w:hanging="102"/>
        <w:spacing w:after="0"/>
        <w:tabs>
          <w:tab w:leader="none" w:pos="102" w:val="left"/>
        </w:tabs>
        <w:numPr>
          <w:ilvl w:val="0"/>
          <w:numId w:val="21"/>
        </w:numPr>
        <w:rPr>
          <w:rFonts w:ascii="Arial" w:cs="Arial" w:eastAsia="Arial" w:hAnsi="Arial"/>
          <w:sz w:val="7"/>
          <w:szCs w:val="7"/>
          <w:color w:val="auto"/>
        </w:rPr>
      </w:pPr>
      <w:r>
        <w:rPr>
          <w:rFonts w:ascii="Arial" w:cs="Arial" w:eastAsia="Arial" w:hAnsi="Arial"/>
          <w:sz w:val="7"/>
          <w:szCs w:val="7"/>
          <w:color w:val="auto"/>
        </w:rPr>
        <w:t>Calculated based on the square footage leased under executed leases as of the reporting date, regardless of whether the leases have commenced or the tenants have taken possession.</w:t>
      </w:r>
    </w:p>
    <w:p>
      <w:pPr>
        <w:spacing w:after="0" w:line="27" w:lineRule="exact"/>
        <w:rPr>
          <w:rFonts w:ascii="Arial" w:cs="Arial" w:eastAsia="Arial" w:hAnsi="Arial"/>
          <w:sz w:val="7"/>
          <w:szCs w:val="7"/>
          <w:color w:val="auto"/>
        </w:rPr>
      </w:pPr>
    </w:p>
    <w:p>
      <w:pPr>
        <w:ind w:left="102" w:hanging="102"/>
        <w:spacing w:after="0"/>
        <w:tabs>
          <w:tab w:leader="none" w:pos="102" w:val="left"/>
        </w:tabs>
        <w:numPr>
          <w:ilvl w:val="0"/>
          <w:numId w:val="21"/>
        </w:numPr>
        <w:rPr>
          <w:rFonts w:ascii="Arial" w:cs="Arial" w:eastAsia="Arial" w:hAnsi="Arial"/>
          <w:sz w:val="7"/>
          <w:szCs w:val="7"/>
          <w:color w:val="auto"/>
        </w:rPr>
      </w:pPr>
      <w:r>
        <w:rPr>
          <w:rFonts w:ascii="Arial" w:cs="Arial" w:eastAsia="Arial" w:hAnsi="Arial"/>
          <w:sz w:val="7"/>
          <w:szCs w:val="7"/>
          <w:color w:val="auto"/>
        </w:rPr>
        <w:t>Calculated based on the square footage for which lease terms have commenced per the underlying lease. For GAAP purposes revenue may not yet be recognized for certain commenced leases as of the reporting 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
        <w:spacing w:after="0"/>
        <w:tabs>
          <w:tab w:leader="none" w:pos="4441" w:val="left"/>
          <w:tab w:leader="none" w:pos="8281"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31</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62"/>
          </w:cols>
          <w:pgMar w:left="1418" w:top="297" w:right="141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576453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-17780</wp:posOffset>
            </wp:positionV>
            <wp:extent cx="1136650" cy="324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ind w:right="2820"/>
        <w:spacing w:after="0" w:line="216" w:lineRule="auto"/>
        <w:rPr>
          <w:sz w:val="20"/>
          <w:szCs w:val="20"/>
          <w:color w:val="auto"/>
        </w:rPr>
      </w:pPr>
      <w:r>
        <w:rPr>
          <w:rFonts w:ascii="Arial" w:cs="Arial" w:eastAsia="Arial" w:hAnsi="Arial"/>
          <w:sz w:val="13"/>
          <w:szCs w:val="13"/>
          <w:b w:val="1"/>
          <w:bCs w:val="1"/>
          <w:color w:val="auto"/>
        </w:rPr>
        <w:t>Retail Within Operating, Development / Redevelopment and Alternative Strategy Portfolio Properties 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76453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106045</wp:posOffset>
            </wp:positionV>
            <wp:extent cx="576453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64530" cy="635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7"/>
                <w:szCs w:val="7"/>
                <w:b w:val="1"/>
                <w:bCs w:val="1"/>
                <w:color w:val="auto"/>
              </w:rPr>
              <w:t>Annualized Contractual</w:t>
            </w:r>
          </w:p>
        </w:tc>
        <w:tc>
          <w:tcPr>
            <w:tcW w:w="380" w:type="dxa"/>
            <w:vAlign w:val="bottom"/>
          </w:tcPr>
          <w:p>
            <w:pPr>
              <w:jc w:val="right"/>
              <w:ind w:right="64"/>
              <w:spacing w:after="0"/>
              <w:rPr>
                <w:sz w:val="20"/>
                <w:szCs w:val="20"/>
                <w:color w:val="auto"/>
              </w:rPr>
            </w:pPr>
            <w:r>
              <w:rPr>
                <w:rFonts w:ascii="Arial" w:cs="Arial" w:eastAsia="Arial" w:hAnsi="Arial"/>
                <w:sz w:val="7"/>
                <w:szCs w:val="7"/>
                <w:b w:val="1"/>
                <w:bCs w:val="1"/>
                <w:color w:val="auto"/>
              </w:rPr>
              <w:t>Total</w:t>
            </w:r>
          </w:p>
        </w:tc>
      </w:tr>
      <w:tr>
        <w:trPr>
          <w:trHeight w:val="99"/>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March 31, 2026</w:t>
            </w:r>
          </w:p>
        </w:tc>
        <w:tc>
          <w:tcPr>
            <w:tcW w:w="80" w:type="dxa"/>
            <w:vAlign w:val="bottom"/>
          </w:tcPr>
          <w:p>
            <w:pPr>
              <w:spacing w:after="0"/>
              <w:rPr>
                <w:sz w:val="8"/>
                <w:szCs w:val="8"/>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December 31, 2025</w:t>
            </w:r>
          </w:p>
        </w:tc>
        <w:tc>
          <w:tcPr>
            <w:tcW w:w="100" w:type="dxa"/>
            <w:vAlign w:val="bottom"/>
          </w:tcPr>
          <w:p>
            <w:pPr>
              <w:spacing w:after="0"/>
              <w:rPr>
                <w:sz w:val="8"/>
                <w:szCs w:val="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b w:val="1"/>
                <w:bCs w:val="1"/>
                <w:color w:val="auto"/>
              </w:rPr>
              <w:t>Cash Rent</w:t>
            </w:r>
          </w:p>
        </w:tc>
        <w:tc>
          <w:tcPr>
            <w:tcW w:w="120" w:type="dxa"/>
            <w:vAlign w:val="bottom"/>
          </w:tcPr>
          <w:p>
            <w:pPr>
              <w:spacing w:after="0"/>
              <w:rPr>
                <w:sz w:val="8"/>
                <w:szCs w:val="8"/>
                <w:color w:val="auto"/>
              </w:rPr>
            </w:pPr>
          </w:p>
        </w:tc>
        <w:tc>
          <w:tcPr>
            <w:tcW w:w="3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Tenants</w:t>
            </w:r>
          </w:p>
        </w:tc>
      </w:tr>
      <w:tr>
        <w:trPr>
          <w:trHeight w:val="96"/>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gridSpan w:val="2"/>
          </w:tcPr>
          <w:p>
            <w:pPr>
              <w:ind w:left="20"/>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1260" w:type="dxa"/>
            <w:vAlign w:val="bottom"/>
            <w:gridSpan w:val="4"/>
          </w:tcPr>
          <w:p>
            <w:pPr>
              <w:jc w:val="center"/>
              <w:ind w:right="80"/>
              <w:spacing w:after="0"/>
              <w:rPr>
                <w:sz w:val="20"/>
                <w:szCs w:val="20"/>
                <w:color w:val="auto"/>
              </w:rPr>
            </w:pPr>
            <w:r>
              <w:rPr>
                <w:rFonts w:ascii="Arial" w:cs="Arial" w:eastAsia="Arial" w:hAnsi="Arial"/>
                <w:sz w:val="7"/>
                <w:szCs w:val="7"/>
                <w:b w:val="1"/>
                <w:bCs w:val="1"/>
                <w:color w:val="auto"/>
              </w:rPr>
              <w:t>Occupancy %</w:t>
            </w:r>
          </w:p>
        </w:tc>
        <w:tc>
          <w:tcPr>
            <w:tcW w:w="1300" w:type="dxa"/>
            <w:vAlign w:val="bottom"/>
            <w:gridSpan w:val="4"/>
          </w:tcPr>
          <w:p>
            <w:pPr>
              <w:jc w:val="center"/>
              <w:ind w:right="100"/>
              <w:spacing w:after="0"/>
              <w:rPr>
                <w:sz w:val="20"/>
                <w:szCs w:val="20"/>
                <w:color w:val="auto"/>
              </w:rPr>
            </w:pPr>
            <w:r>
              <w:rPr>
                <w:rFonts w:ascii="Arial" w:cs="Arial" w:eastAsia="Arial" w:hAnsi="Arial"/>
                <w:sz w:val="7"/>
                <w:szCs w:val="7"/>
                <w:b w:val="1"/>
                <w:bCs w:val="1"/>
                <w:color w:val="auto"/>
              </w:rPr>
              <w:t>Occupancy %</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92"/>
        </w:trPr>
        <w:tc>
          <w:tcPr>
            <w:tcW w:w="20" w:type="dxa"/>
            <w:vAlign w:val="bottom"/>
          </w:tcPr>
          <w:p>
            <w:pPr>
              <w:spacing w:after="0"/>
              <w:rPr>
                <w:sz w:val="8"/>
                <w:szCs w:val="8"/>
                <w:color w:val="auto"/>
              </w:rPr>
            </w:pPr>
          </w:p>
        </w:tc>
        <w:tc>
          <w:tcPr>
            <w:tcW w:w="1460" w:type="dxa"/>
            <w:vAlign w:val="bottom"/>
            <w:gridSpan w:val="3"/>
          </w:tcPr>
          <w:p>
            <w:pPr>
              <w:spacing w:after="0"/>
              <w:rPr>
                <w:sz w:val="20"/>
                <w:szCs w:val="20"/>
                <w:color w:val="auto"/>
              </w:rPr>
            </w:pPr>
            <w:r>
              <w:rPr>
                <w:rFonts w:ascii="Arial" w:cs="Arial" w:eastAsia="Arial" w:hAnsi="Arial"/>
                <w:sz w:val="7"/>
                <w:szCs w:val="7"/>
                <w:b w:val="1"/>
                <w:bCs w:val="1"/>
                <w:color w:val="auto"/>
              </w:rPr>
              <w:t>Properties</w:t>
            </w:r>
          </w:p>
        </w:tc>
        <w:tc>
          <w:tcPr>
            <w:tcW w:w="460" w:type="dxa"/>
            <w:vAlign w:val="bottom"/>
            <w:gridSpan w:val="2"/>
          </w:tcPr>
          <w:p>
            <w:pPr>
              <w:spacing w:after="0"/>
              <w:rPr>
                <w:sz w:val="20"/>
                <w:szCs w:val="20"/>
                <w:color w:val="auto"/>
              </w:rPr>
            </w:pPr>
            <w:r>
              <w:rPr>
                <w:rFonts w:ascii="Arial" w:cs="Arial" w:eastAsia="Arial" w:hAnsi="Arial"/>
                <w:sz w:val="7"/>
                <w:szCs w:val="7"/>
                <w:b w:val="1"/>
                <w:bCs w:val="1"/>
                <w:color w:val="auto"/>
              </w:rPr>
              <w:t>Interest (%)</w:t>
            </w:r>
          </w:p>
        </w:tc>
        <w:tc>
          <w:tcPr>
            <w:tcW w:w="760" w:type="dxa"/>
            <w:vAlign w:val="bottom"/>
            <w:gridSpan w:val="2"/>
          </w:tcPr>
          <w:p>
            <w:pPr>
              <w:spacing w:after="0"/>
              <w:rPr>
                <w:sz w:val="20"/>
                <w:szCs w:val="20"/>
                <w:color w:val="auto"/>
              </w:rPr>
            </w:pPr>
            <w:r>
              <w:rPr>
                <w:rFonts w:ascii="Arial" w:cs="Arial" w:eastAsia="Arial" w:hAnsi="Arial"/>
                <w:sz w:val="7"/>
                <w:szCs w:val="7"/>
                <w:b w:val="1"/>
                <w:bCs w:val="1"/>
                <w:color w:val="auto"/>
              </w:rPr>
              <w:t>SubMarket</w:t>
            </w:r>
          </w:p>
        </w:tc>
        <w:tc>
          <w:tcPr>
            <w:tcW w:w="78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740" w:type="dxa"/>
            <w:vAlign w:val="bottom"/>
            <w:gridSpan w:val="4"/>
          </w:tcPr>
          <w:p>
            <w:pPr>
              <w:ind w:left="40"/>
              <w:spacing w:after="0"/>
              <w:rPr>
                <w:sz w:val="20"/>
                <w:szCs w:val="20"/>
                <w:color w:val="auto"/>
              </w:rPr>
            </w:pPr>
            <w:r>
              <w:rPr>
                <w:rFonts w:ascii="Arial" w:cs="Arial" w:eastAsia="Arial" w:hAnsi="Arial"/>
                <w:sz w:val="7"/>
                <w:szCs w:val="7"/>
                <w:b w:val="1"/>
                <w:bCs w:val="1"/>
                <w:color w:val="auto"/>
              </w:rPr>
              <w:t>Square Feet (1)</w:t>
            </w:r>
          </w:p>
        </w:tc>
        <w:tc>
          <w:tcPr>
            <w:tcW w:w="160" w:type="dxa"/>
            <w:vAlign w:val="bottom"/>
          </w:tcPr>
          <w:p>
            <w:pPr>
              <w:spacing w:after="0"/>
              <w:rPr>
                <w:sz w:val="8"/>
                <w:szCs w:val="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b w:val="1"/>
                <w:bCs w:val="1"/>
                <w:color w:val="auto"/>
                <w:w w:val="95"/>
              </w:rPr>
              <w:t>Sq. Feet</w:t>
            </w:r>
          </w:p>
        </w:tc>
        <w:tc>
          <w:tcPr>
            <w:tcW w:w="620" w:type="dxa"/>
            <w:vAlign w:val="bottom"/>
            <w:gridSpan w:val="2"/>
          </w:tcPr>
          <w:p>
            <w:pPr>
              <w:ind w:left="100"/>
              <w:spacing w:after="0"/>
              <w:rPr>
                <w:sz w:val="20"/>
                <w:szCs w:val="20"/>
                <w:color w:val="auto"/>
              </w:rPr>
            </w:pPr>
            <w:r>
              <w:rPr>
                <w:rFonts w:ascii="Arial" w:cs="Arial" w:eastAsia="Arial" w:hAnsi="Arial"/>
                <w:sz w:val="7"/>
                <w:szCs w:val="7"/>
                <w:b w:val="1"/>
                <w:bCs w:val="1"/>
                <w:color w:val="auto"/>
              </w:rPr>
              <w:t>Leased (2)</w:t>
            </w:r>
          </w:p>
        </w:tc>
        <w:tc>
          <w:tcPr>
            <w:tcW w:w="640" w:type="dxa"/>
            <w:vAlign w:val="bottom"/>
            <w:gridSpan w:val="2"/>
          </w:tcPr>
          <w:p>
            <w:pPr>
              <w:ind w:left="60"/>
              <w:spacing w:after="0"/>
              <w:rPr>
                <w:sz w:val="20"/>
                <w:szCs w:val="20"/>
                <w:color w:val="auto"/>
              </w:rPr>
            </w:pPr>
            <w:r>
              <w:rPr>
                <w:rFonts w:ascii="Arial" w:cs="Arial" w:eastAsia="Arial" w:hAnsi="Arial"/>
                <w:sz w:val="7"/>
                <w:szCs w:val="7"/>
                <w:b w:val="1"/>
                <w:bCs w:val="1"/>
                <w:color w:val="auto"/>
              </w:rPr>
              <w:t>Occupied (3)</w:t>
            </w:r>
          </w:p>
        </w:tc>
        <w:tc>
          <w:tcPr>
            <w:tcW w:w="640" w:type="dxa"/>
            <w:vAlign w:val="bottom"/>
            <w:gridSpan w:val="2"/>
          </w:tcPr>
          <w:p>
            <w:pPr>
              <w:ind w:left="100"/>
              <w:spacing w:after="0"/>
              <w:rPr>
                <w:sz w:val="20"/>
                <w:szCs w:val="20"/>
                <w:color w:val="auto"/>
              </w:rPr>
            </w:pPr>
            <w:r>
              <w:rPr>
                <w:rFonts w:ascii="Arial" w:cs="Arial" w:eastAsia="Arial" w:hAnsi="Arial"/>
                <w:sz w:val="7"/>
                <w:szCs w:val="7"/>
                <w:b w:val="1"/>
                <w:bCs w:val="1"/>
                <w:color w:val="auto"/>
              </w:rPr>
              <w:t>Leased (2)</w:t>
            </w:r>
          </w:p>
        </w:tc>
        <w:tc>
          <w:tcPr>
            <w:tcW w:w="660" w:type="dxa"/>
            <w:vAlign w:val="bottom"/>
            <w:gridSpan w:val="2"/>
          </w:tcPr>
          <w:p>
            <w:pPr>
              <w:ind w:left="60"/>
              <w:spacing w:after="0"/>
              <w:rPr>
                <w:sz w:val="20"/>
                <w:szCs w:val="20"/>
                <w:color w:val="auto"/>
              </w:rPr>
            </w:pPr>
            <w:r>
              <w:rPr>
                <w:rFonts w:ascii="Arial" w:cs="Arial" w:eastAsia="Arial" w:hAnsi="Arial"/>
                <w:sz w:val="7"/>
                <w:szCs w:val="7"/>
                <w:b w:val="1"/>
                <w:bCs w:val="1"/>
                <w:color w:val="auto"/>
              </w:rPr>
              <w:t>Occupied (3)</w:t>
            </w:r>
          </w:p>
        </w:tc>
        <w:tc>
          <w:tcPr>
            <w:tcW w:w="500" w:type="dxa"/>
            <w:vAlign w:val="bottom"/>
          </w:tcPr>
          <w:p>
            <w:pPr>
              <w:ind w:left="200"/>
              <w:spacing w:after="0"/>
              <w:rPr>
                <w:sz w:val="20"/>
                <w:szCs w:val="20"/>
                <w:color w:val="auto"/>
              </w:rPr>
            </w:pPr>
            <w:r>
              <w:rPr>
                <w:rFonts w:ascii="Arial" w:cs="Arial" w:eastAsia="Arial" w:hAnsi="Arial"/>
                <w:sz w:val="7"/>
                <w:szCs w:val="7"/>
                <w:b w:val="1"/>
                <w:bCs w:val="1"/>
                <w:color w:val="auto"/>
              </w:rPr>
              <w:t>($'s)</w:t>
            </w:r>
          </w:p>
        </w:tc>
        <w:tc>
          <w:tcPr>
            <w:tcW w:w="760" w:type="dxa"/>
            <w:vAlign w:val="bottom"/>
            <w:gridSpan w:val="2"/>
          </w:tcPr>
          <w:p>
            <w:pPr>
              <w:ind w:left="80"/>
              <w:spacing w:after="0"/>
              <w:rPr>
                <w:sz w:val="20"/>
                <w:szCs w:val="20"/>
                <w:color w:val="auto"/>
              </w:rPr>
            </w:pPr>
            <w:r>
              <w:rPr>
                <w:rFonts w:ascii="Arial" w:cs="Arial" w:eastAsia="Arial" w:hAnsi="Arial"/>
                <w:sz w:val="7"/>
                <w:szCs w:val="7"/>
                <w:b w:val="1"/>
                <w:bCs w:val="1"/>
                <w:color w:val="auto"/>
              </w:rPr>
              <w:t>SLG Share ($'s)</w:t>
            </w:r>
          </w:p>
        </w:tc>
        <w:tc>
          <w:tcPr>
            <w:tcW w:w="380" w:type="dxa"/>
            <w:vAlign w:val="bottom"/>
          </w:tcPr>
          <w:p>
            <w:pPr>
              <w:spacing w:after="0"/>
              <w:rPr>
                <w:sz w:val="8"/>
                <w:szCs w:val="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3"/>
        </w:trPr>
        <w:tc>
          <w:tcPr>
            <w:tcW w:w="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7"/>
                <w:szCs w:val="7"/>
                <w:b w:val="1"/>
                <w:bCs w:val="1"/>
                <w:color w:val="auto"/>
              </w:rPr>
              <w:t>HIGH STREET RETAIL - Consolidated Properties</w:t>
            </w:r>
          </w:p>
        </w:tc>
        <w:tc>
          <w:tcPr>
            <w:tcW w:w="3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r>
      <w:tr>
        <w:trPr>
          <w:trHeight w:val="92"/>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315</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West 33rd Street - The Olivia</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8"/>
                <w:szCs w:val="8"/>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Penn Station</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159,343</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10.5</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69.5</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69.5</w:t>
            </w:r>
          </w:p>
        </w:tc>
        <w:tc>
          <w:tcPr>
            <w:tcW w:w="80" w:type="dxa"/>
            <w:vAlign w:val="bottom"/>
          </w:tcPr>
          <w:p>
            <w:pPr>
              <w:spacing w:after="0"/>
              <w:rPr>
                <w:sz w:val="8"/>
                <w:szCs w:val="8"/>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69.5</w:t>
            </w:r>
          </w:p>
        </w:tc>
        <w:tc>
          <w:tcPr>
            <w:tcW w:w="100" w:type="dxa"/>
            <w:vAlign w:val="bottom"/>
          </w:tcPr>
          <w:p>
            <w:pPr>
              <w:spacing w:after="0"/>
              <w:rPr>
                <w:sz w:val="8"/>
                <w:szCs w:val="8"/>
                <w:color w:val="auto"/>
              </w:rPr>
            </w:pP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69.5</w:t>
            </w:r>
          </w:p>
        </w:tc>
        <w:tc>
          <w:tcPr>
            <w:tcW w:w="100" w:type="dxa"/>
            <w:vAlign w:val="bottom"/>
          </w:tcPr>
          <w:p>
            <w:pPr>
              <w:spacing w:after="0"/>
              <w:rPr>
                <w:sz w:val="8"/>
                <w:szCs w:val="8"/>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$9,449</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$9,449</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7</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610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17,765</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1.2</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640" w:type="dxa"/>
            <w:vAlign w:val="bottom"/>
            <w:gridSpan w:val="2"/>
          </w:tcPr>
          <w:p>
            <w:pPr>
              <w:ind w:left="420"/>
              <w:spacing w:after="0"/>
              <w:rPr>
                <w:sz w:val="20"/>
                <w:szCs w:val="20"/>
                <w:color w:val="auto"/>
              </w:rPr>
            </w:pPr>
            <w:r>
              <w:rPr>
                <w:rFonts w:ascii="Arial" w:cs="Arial" w:eastAsia="Arial" w:hAnsi="Arial"/>
                <w:sz w:val="7"/>
                <w:szCs w:val="7"/>
                <w:color w:val="auto"/>
              </w:rPr>
              <w:t>N/A</w:t>
            </w:r>
          </w:p>
        </w:tc>
        <w:tc>
          <w:tcPr>
            <w:tcW w:w="660" w:type="dxa"/>
            <w:vAlign w:val="bottom"/>
            <w:gridSpan w:val="2"/>
          </w:tcPr>
          <w:p>
            <w:pPr>
              <w:ind w:left="420"/>
              <w:spacing w:after="0"/>
              <w:rPr>
                <w:sz w:val="20"/>
                <w:szCs w:val="20"/>
                <w:color w:val="auto"/>
              </w:rPr>
            </w:pPr>
            <w:r>
              <w:rPr>
                <w:rFonts w:ascii="Arial" w:cs="Arial" w:eastAsia="Arial" w:hAnsi="Arial"/>
                <w:sz w:val="7"/>
                <w:szCs w:val="7"/>
                <w:color w:val="auto"/>
              </w:rPr>
              <w:t>N/A</w:t>
            </w: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1,170</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1,170</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1</w:t>
            </w:r>
          </w:p>
        </w:tc>
      </w:tr>
      <w:tr>
        <w:trPr>
          <w:trHeight w:val="112"/>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760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22,648</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1.5</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b w:val="1"/>
                <w:bCs w:val="1"/>
                <w:color w:val="auto"/>
              </w:rPr>
              <w:t>18,559</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18,559</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1</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800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Seventh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28,000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b w:val="1"/>
                <w:bCs w:val="1"/>
                <w:color w:val="auto"/>
              </w:rPr>
              <w:t>1,100</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1,100</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1</w:t>
            </w:r>
          </w:p>
        </w:tc>
      </w:tr>
      <w:tr>
        <w:trPr>
          <w:trHeight w:val="43"/>
        </w:trPr>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227,756</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15.1 %</w:t>
            </w:r>
          </w:p>
        </w:tc>
        <w:tc>
          <w:tcPr>
            <w:tcW w:w="1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78.7 %</w:t>
            </w:r>
          </w:p>
        </w:tc>
        <w:tc>
          <w:tcPr>
            <w:tcW w:w="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78.7 %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76.9 %</w:t>
            </w: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76.9 %</w:t>
            </w:r>
          </w:p>
        </w:tc>
        <w:tc>
          <w:tcPr>
            <w:tcW w:w="100" w:type="dxa"/>
            <w:vAlign w:val="bottom"/>
          </w:tcPr>
          <w:p>
            <w:pPr>
              <w:spacing w:after="0"/>
              <w:rPr>
                <w:sz w:val="8"/>
                <w:szCs w:val="8"/>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b w:val="1"/>
                <w:bCs w:val="1"/>
                <w:color w:val="auto"/>
              </w:rPr>
              <w:t>$30,278</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$30,278</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b w:val="1"/>
                <w:bCs w:val="1"/>
                <w:color w:val="auto"/>
              </w:rPr>
              <w:t>10</w:t>
            </w:r>
          </w:p>
        </w:tc>
      </w:tr>
      <w:tr>
        <w:trPr>
          <w:trHeight w:val="149"/>
        </w:trPr>
        <w:tc>
          <w:tcPr>
            <w:tcW w:w="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7"/>
                <w:szCs w:val="7"/>
                <w:b w:val="1"/>
                <w:bCs w:val="1"/>
                <w:color w:val="auto"/>
              </w:rPr>
              <w:t>HIGH STREET RETAIL - Unconsolidated Properties</w:t>
            </w: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r>
      <w:tr>
        <w:trPr>
          <w:trHeight w:val="78"/>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gridSpan w:val="2"/>
          </w:tcPr>
          <w:p>
            <w:pPr>
              <w:spacing w:after="0" w:line="78" w:lineRule="exact"/>
              <w:rPr>
                <w:sz w:val="20"/>
                <w:szCs w:val="20"/>
                <w:color w:val="auto"/>
              </w:rPr>
            </w:pPr>
            <w:r>
              <w:rPr>
                <w:rFonts w:ascii="Arial" w:cs="Arial" w:eastAsia="Arial" w:hAnsi="Arial"/>
                <w:sz w:val="7"/>
                <w:szCs w:val="7"/>
                <w:color w:val="auto"/>
              </w:rPr>
              <w:t>Fee / Leasehold</w:t>
            </w: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93"/>
        </w:trPr>
        <w:tc>
          <w:tcPr>
            <w:tcW w:w="20" w:type="dxa"/>
            <w:vAlign w:val="bottom"/>
          </w:tcPr>
          <w:p>
            <w:pPr>
              <w:spacing w:after="0"/>
              <w:rPr>
                <w:sz w:val="8"/>
                <w:szCs w:val="8"/>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1552 Broadway/1560 Broadway Signage</w:t>
            </w:r>
          </w:p>
        </w:tc>
        <w:tc>
          <w:tcPr>
            <w:tcW w:w="400" w:type="dxa"/>
            <w:vAlign w:val="bottom"/>
          </w:tcPr>
          <w:p>
            <w:pPr>
              <w:jc w:val="center"/>
              <w:spacing w:after="0"/>
              <w:rPr>
                <w:sz w:val="20"/>
                <w:szCs w:val="20"/>
                <w:color w:val="auto"/>
              </w:rPr>
            </w:pPr>
            <w:r>
              <w:rPr>
                <w:rFonts w:ascii="Arial" w:cs="Arial" w:eastAsia="Arial" w:hAnsi="Arial"/>
                <w:sz w:val="7"/>
                <w:szCs w:val="7"/>
                <w:color w:val="auto"/>
              </w:rPr>
              <w:t>50.0</w:t>
            </w:r>
          </w:p>
        </w:tc>
        <w:tc>
          <w:tcPr>
            <w:tcW w:w="60" w:type="dxa"/>
            <w:vAlign w:val="bottom"/>
          </w:tcPr>
          <w:p>
            <w:pPr>
              <w:spacing w:after="0"/>
              <w:rPr>
                <w:sz w:val="8"/>
                <w:szCs w:val="8"/>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780" w:type="dxa"/>
            <w:vAlign w:val="bottom"/>
            <w:gridSpan w:val="2"/>
          </w:tcPr>
          <w:p>
            <w:pPr>
              <w:spacing w:after="0"/>
              <w:rPr>
                <w:sz w:val="20"/>
                <w:szCs w:val="20"/>
                <w:color w:val="auto"/>
              </w:rPr>
            </w:pPr>
            <w:r>
              <w:rPr>
                <w:rFonts w:ascii="Arial" w:cs="Arial" w:eastAsia="Arial" w:hAnsi="Arial"/>
                <w:sz w:val="7"/>
                <w:szCs w:val="7"/>
                <w:color w:val="auto"/>
              </w:rPr>
              <w:t>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12,520</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0.8</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$4,200</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$2,100</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1</w:t>
            </w:r>
          </w:p>
        </w:tc>
      </w:tr>
      <w:tr>
        <w:trPr>
          <w:trHeight w:val="47"/>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12,520</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0.8 %</w:t>
            </w:r>
          </w:p>
        </w:tc>
        <w:tc>
          <w:tcPr>
            <w:tcW w:w="1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100.0 %</w:t>
            </w:r>
          </w:p>
        </w:tc>
        <w:tc>
          <w:tcPr>
            <w:tcW w:w="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100.0 %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100.0 %</w:t>
            </w: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100.0 %</w:t>
            </w:r>
          </w:p>
        </w:tc>
        <w:tc>
          <w:tcPr>
            <w:tcW w:w="100" w:type="dxa"/>
            <w:vAlign w:val="bottom"/>
          </w:tcPr>
          <w:p>
            <w:pPr>
              <w:spacing w:after="0"/>
              <w:rPr>
                <w:sz w:val="8"/>
                <w:szCs w:val="8"/>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b w:val="1"/>
                <w:bCs w:val="1"/>
                <w:color w:val="auto"/>
              </w:rPr>
              <w:t>$4,200</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$2,100</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b w:val="1"/>
                <w:bCs w:val="1"/>
                <w:color w:val="auto"/>
              </w:rPr>
              <w:t>1</w:t>
            </w:r>
          </w:p>
        </w:tc>
      </w:tr>
      <w:tr>
        <w:trPr>
          <w:trHeight w:val="148"/>
        </w:trPr>
        <w:tc>
          <w:tcPr>
            <w:tcW w:w="20" w:type="dxa"/>
            <w:vAlign w:val="bottom"/>
          </w:tcPr>
          <w:p>
            <w:pPr>
              <w:spacing w:after="0"/>
              <w:rPr>
                <w:sz w:val="12"/>
                <w:szCs w:val="12"/>
                <w:color w:val="auto"/>
              </w:rPr>
            </w:pPr>
          </w:p>
        </w:tc>
        <w:tc>
          <w:tcPr>
            <w:tcW w:w="1460" w:type="dxa"/>
            <w:vAlign w:val="bottom"/>
            <w:gridSpan w:val="3"/>
          </w:tcPr>
          <w:p>
            <w:pPr>
              <w:spacing w:after="0"/>
              <w:rPr>
                <w:sz w:val="20"/>
                <w:szCs w:val="20"/>
                <w:color w:val="auto"/>
              </w:rPr>
            </w:pPr>
            <w:r>
              <w:rPr>
                <w:rFonts w:ascii="Arial" w:cs="Arial" w:eastAsia="Arial" w:hAnsi="Arial"/>
                <w:sz w:val="7"/>
                <w:szCs w:val="7"/>
                <w:b w:val="1"/>
                <w:bCs w:val="1"/>
                <w:color w:val="auto"/>
              </w:rPr>
              <w:t>Total / Weighted Average High Street Retail</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240,276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15.9 %</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79.8 %</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79.8 %</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78.2 %</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78.2 %</w:t>
            </w:r>
          </w:p>
        </w:tc>
        <w:tc>
          <w:tcPr>
            <w:tcW w:w="100" w:type="dxa"/>
            <w:vAlign w:val="bottom"/>
          </w:tcPr>
          <w:p>
            <w:pPr>
              <w:spacing w:after="0"/>
              <w:rPr>
                <w:sz w:val="12"/>
                <w:szCs w:val="12"/>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b w:val="1"/>
                <w:bCs w:val="1"/>
                <w:color w:val="auto"/>
              </w:rPr>
              <w:t>$34,478</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$32,378</w:t>
            </w:r>
          </w:p>
        </w:tc>
        <w:tc>
          <w:tcPr>
            <w:tcW w:w="120" w:type="dxa"/>
            <w:vAlign w:val="bottom"/>
          </w:tcPr>
          <w:p>
            <w:pPr>
              <w:spacing w:after="0"/>
              <w:rPr>
                <w:sz w:val="12"/>
                <w:szCs w:val="12"/>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b w:val="1"/>
                <w:bCs w:val="1"/>
                <w:color w:val="auto"/>
              </w:rPr>
              <w:t>11</w:t>
            </w:r>
          </w:p>
        </w:tc>
      </w:tr>
      <w:tr>
        <w:trPr>
          <w:trHeight w:val="149"/>
        </w:trPr>
        <w:tc>
          <w:tcPr>
            <w:tcW w:w="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OTHER RETAIL - Consolidated Properties</w:t>
            </w: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r>
      <w:tr>
        <w:trPr>
          <w:trHeight w:val="92"/>
        </w:trPr>
        <w:tc>
          <w:tcPr>
            <w:tcW w:w="20" w:type="dxa"/>
            <w:vAlign w:val="bottom"/>
          </w:tcPr>
          <w:p>
            <w:pPr>
              <w:spacing w:after="0"/>
              <w:rPr>
                <w:sz w:val="8"/>
                <w:szCs w:val="8"/>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10 East 53rd Street</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8"/>
                <w:szCs w:val="8"/>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38,657</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2.6</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$4,210</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$4,210</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108"/>
        </w:trPr>
        <w:tc>
          <w:tcPr>
            <w:tcW w:w="20" w:type="dxa"/>
            <w:vAlign w:val="bottom"/>
          </w:tcPr>
          <w:p>
            <w:pPr>
              <w:spacing w:after="0"/>
              <w:rPr>
                <w:sz w:val="9"/>
                <w:szCs w:val="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65 East 55th Street (Park Avenue Tower)</w:t>
            </w:r>
          </w:p>
        </w:tc>
        <w:tc>
          <w:tcPr>
            <w:tcW w:w="400" w:type="dxa"/>
            <w:vAlign w:val="bottom"/>
          </w:tcPr>
          <w:p>
            <w:pPr>
              <w:jc w:val="center"/>
              <w:spacing w:after="0"/>
              <w:rPr>
                <w:sz w:val="20"/>
                <w:szCs w:val="20"/>
                <w:color w:val="auto"/>
              </w:rPr>
            </w:pPr>
            <w:r>
              <w:rPr>
                <w:rFonts w:ascii="Arial" w:cs="Arial" w:eastAsia="Arial" w:hAnsi="Arial"/>
                <w:sz w:val="7"/>
                <w:szCs w:val="7"/>
                <w:color w:val="auto"/>
              </w:rPr>
              <w:t>95.0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12,705</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0.8</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640" w:type="dxa"/>
            <w:vAlign w:val="bottom"/>
            <w:gridSpan w:val="2"/>
          </w:tcPr>
          <w:p>
            <w:pPr>
              <w:ind w:left="420"/>
              <w:spacing w:after="0"/>
              <w:rPr>
                <w:sz w:val="20"/>
                <w:szCs w:val="20"/>
                <w:color w:val="auto"/>
              </w:rPr>
            </w:pPr>
            <w:r>
              <w:rPr>
                <w:rFonts w:ascii="Arial" w:cs="Arial" w:eastAsia="Arial" w:hAnsi="Arial"/>
                <w:sz w:val="7"/>
                <w:szCs w:val="7"/>
                <w:color w:val="auto"/>
              </w:rPr>
              <w:t>N/A</w:t>
            </w:r>
          </w:p>
        </w:tc>
        <w:tc>
          <w:tcPr>
            <w:tcW w:w="660" w:type="dxa"/>
            <w:vAlign w:val="bottom"/>
            <w:gridSpan w:val="2"/>
          </w:tcPr>
          <w:p>
            <w:pPr>
              <w:ind w:left="420"/>
              <w:spacing w:after="0"/>
              <w:rPr>
                <w:sz w:val="20"/>
                <w:szCs w:val="20"/>
                <w:color w:val="auto"/>
              </w:rPr>
            </w:pPr>
            <w:r>
              <w:rPr>
                <w:rFonts w:ascii="Arial" w:cs="Arial" w:eastAsia="Arial" w:hAnsi="Arial"/>
                <w:sz w:val="7"/>
                <w:szCs w:val="7"/>
                <w:color w:val="auto"/>
              </w:rPr>
              <w:t>N/A</w:t>
            </w:r>
          </w:p>
        </w:tc>
        <w:tc>
          <w:tcPr>
            <w:tcW w:w="500" w:type="dxa"/>
            <w:vAlign w:val="bottom"/>
          </w:tcPr>
          <w:p>
            <w:pPr>
              <w:jc w:val="center"/>
              <w:ind w:left="24"/>
              <w:spacing w:after="0"/>
              <w:rPr>
                <w:sz w:val="20"/>
                <w:szCs w:val="20"/>
                <w:color w:val="auto"/>
              </w:rPr>
            </w:pPr>
            <w:r>
              <w:rPr>
                <w:rFonts w:ascii="Arial" w:cs="Arial" w:eastAsia="Arial" w:hAnsi="Arial"/>
                <w:sz w:val="7"/>
                <w:szCs w:val="7"/>
                <w:color w:val="auto"/>
              </w:rPr>
              <w:t>870</w:t>
            </w:r>
          </w:p>
        </w:tc>
        <w:tc>
          <w:tcPr>
            <w:tcW w:w="640" w:type="dxa"/>
            <w:vAlign w:val="bottom"/>
          </w:tcPr>
          <w:p>
            <w:pPr>
              <w:jc w:val="center"/>
              <w:ind w:left="44"/>
              <w:spacing w:after="0"/>
              <w:rPr>
                <w:sz w:val="20"/>
                <w:szCs w:val="20"/>
                <w:color w:val="auto"/>
              </w:rPr>
            </w:pPr>
            <w:r>
              <w:rPr>
                <w:rFonts w:ascii="Arial" w:cs="Arial" w:eastAsia="Arial" w:hAnsi="Arial"/>
                <w:sz w:val="7"/>
                <w:szCs w:val="7"/>
                <w:color w:val="auto"/>
              </w:rPr>
              <w:t>870</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1</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Church Street</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Downtown</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61,708</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4.0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95.9</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95.9</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4,178</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4,178</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9</w:t>
            </w:r>
          </w:p>
        </w:tc>
      </w:tr>
      <w:tr>
        <w:trPr>
          <w:trHeight w:val="108"/>
        </w:trPr>
        <w:tc>
          <w:tcPr>
            <w:tcW w:w="20" w:type="dxa"/>
            <w:vAlign w:val="bottom"/>
          </w:tcPr>
          <w:p>
            <w:pPr>
              <w:spacing w:after="0"/>
              <w:rPr>
                <w:sz w:val="9"/>
                <w:szCs w:val="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110 Greene Street</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Soho</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16,121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4,752</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4,752</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125</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32,124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2.1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80.6</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80.6</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2,193</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2,193</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6</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185</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Broadway</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16,413</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3,529</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3,529</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4</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304</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Park Avenue South</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25,330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4,021</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4,021</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5</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420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Lexington Ave (Graybar)</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8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54,026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3.6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5,439</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5,439</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6</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461</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Midtown</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16,149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1,104</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1,104</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2</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485</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41,701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2.8</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68.5</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68.5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68.5</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68.5</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4,455</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4,455</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7</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500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11,976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0.8</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1,264</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1,264</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555</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West 57th Street</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Midtown West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53,186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3.5</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3,167</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3,167</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2</w:t>
            </w:r>
          </w:p>
        </w:tc>
      </w:tr>
      <w:tr>
        <w:trPr>
          <w:trHeight w:val="108"/>
        </w:trPr>
        <w:tc>
          <w:tcPr>
            <w:tcW w:w="20" w:type="dxa"/>
            <w:vAlign w:val="bottom"/>
          </w:tcPr>
          <w:p>
            <w:pPr>
              <w:spacing w:after="0"/>
              <w:rPr>
                <w:sz w:val="9"/>
                <w:szCs w:val="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711 Third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8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25,639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83.5</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83.5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83.5</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83.5</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2,368</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2,368</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2</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750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Third Avenue (4)</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24,827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42.3</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42.3</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42.3</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42.3</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1,599</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1,599</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800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9,900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0.7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24"/>
              <w:spacing w:after="0"/>
              <w:rPr>
                <w:sz w:val="20"/>
                <w:szCs w:val="20"/>
                <w:color w:val="auto"/>
              </w:rPr>
            </w:pPr>
            <w:r>
              <w:rPr>
                <w:rFonts w:ascii="Arial" w:cs="Arial" w:eastAsia="Arial" w:hAnsi="Arial"/>
                <w:sz w:val="7"/>
                <w:szCs w:val="7"/>
                <w:color w:val="auto"/>
              </w:rPr>
              <w:t>987</w:t>
            </w:r>
          </w:p>
        </w:tc>
        <w:tc>
          <w:tcPr>
            <w:tcW w:w="640" w:type="dxa"/>
            <w:vAlign w:val="bottom"/>
          </w:tcPr>
          <w:p>
            <w:pPr>
              <w:jc w:val="center"/>
              <w:ind w:left="44"/>
              <w:spacing w:after="0"/>
              <w:rPr>
                <w:sz w:val="20"/>
                <w:szCs w:val="20"/>
                <w:color w:val="auto"/>
              </w:rPr>
            </w:pPr>
            <w:r>
              <w:rPr>
                <w:rFonts w:ascii="Arial" w:cs="Arial" w:eastAsia="Arial" w:hAnsi="Arial"/>
                <w:sz w:val="7"/>
                <w:szCs w:val="7"/>
                <w:color w:val="auto"/>
              </w:rPr>
              <w:t>987</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2</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810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Seventh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18,207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1.2</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98.6</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98.6</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98.6</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98.6</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4,419</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4,419</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94"/>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gridSpan w:val="2"/>
          </w:tcPr>
          <w:p>
            <w:pPr>
              <w:spacing w:after="0"/>
              <w:rPr>
                <w:sz w:val="20"/>
                <w:szCs w:val="20"/>
                <w:color w:val="auto"/>
              </w:rPr>
            </w:pPr>
            <w:r>
              <w:rPr>
                <w:rFonts w:ascii="Arial" w:cs="Arial" w:eastAsia="Arial" w:hAnsi="Arial"/>
                <w:sz w:val="7"/>
                <w:szCs w:val="7"/>
                <w:color w:val="auto"/>
              </w:rPr>
              <w:t>Fee / Leasehold</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93"/>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885</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8"/>
                <w:szCs w:val="8"/>
                <w:color w:val="auto"/>
              </w:rPr>
            </w:pPr>
          </w:p>
        </w:tc>
        <w:tc>
          <w:tcPr>
            <w:tcW w:w="1540" w:type="dxa"/>
            <w:vAlign w:val="bottom"/>
            <w:gridSpan w:val="4"/>
          </w:tcPr>
          <w:p>
            <w:pPr>
              <w:spacing w:after="0"/>
              <w:rPr>
                <w:sz w:val="20"/>
                <w:szCs w:val="20"/>
                <w:color w:val="auto"/>
              </w:rPr>
            </w:pPr>
            <w:r>
              <w:rPr>
                <w:rFonts w:ascii="Arial" w:cs="Arial" w:eastAsia="Arial" w:hAnsi="Arial"/>
                <w:sz w:val="7"/>
                <w:szCs w:val="7"/>
                <w:color w:val="auto"/>
              </w:rPr>
              <w:t>Midtown / Plaza District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9,140</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0.6</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00" w:type="dxa"/>
            <w:vAlign w:val="bottom"/>
          </w:tcPr>
          <w:p>
            <w:pPr>
              <w:jc w:val="center"/>
              <w:ind w:left="24"/>
              <w:spacing w:after="0"/>
              <w:rPr>
                <w:sz w:val="20"/>
                <w:szCs w:val="20"/>
                <w:color w:val="auto"/>
              </w:rPr>
            </w:pPr>
            <w:r>
              <w:rPr>
                <w:rFonts w:ascii="Arial" w:cs="Arial" w:eastAsia="Arial" w:hAnsi="Arial"/>
                <w:sz w:val="7"/>
                <w:szCs w:val="7"/>
                <w:color w:val="auto"/>
              </w:rPr>
              <w:t>557</w:t>
            </w:r>
          </w:p>
        </w:tc>
        <w:tc>
          <w:tcPr>
            <w:tcW w:w="640" w:type="dxa"/>
            <w:vAlign w:val="bottom"/>
          </w:tcPr>
          <w:p>
            <w:pPr>
              <w:jc w:val="center"/>
              <w:ind w:left="44"/>
              <w:spacing w:after="0"/>
              <w:rPr>
                <w:sz w:val="20"/>
                <w:szCs w:val="20"/>
                <w:color w:val="auto"/>
              </w:rPr>
            </w:pPr>
            <w:r>
              <w:rPr>
                <w:rFonts w:ascii="Arial" w:cs="Arial" w:eastAsia="Arial" w:hAnsi="Arial"/>
                <w:sz w:val="7"/>
                <w:szCs w:val="7"/>
                <w:color w:val="auto"/>
              </w:rPr>
              <w:t>557</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2</w:t>
            </w:r>
          </w:p>
        </w:tc>
      </w:tr>
      <w:tr>
        <w:trPr>
          <w:trHeight w:val="108"/>
        </w:trPr>
        <w:tc>
          <w:tcPr>
            <w:tcW w:w="20" w:type="dxa"/>
            <w:vAlign w:val="bottom"/>
          </w:tcPr>
          <w:p>
            <w:pPr>
              <w:spacing w:after="0"/>
              <w:rPr>
                <w:sz w:val="9"/>
                <w:szCs w:val="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1185 Avenue of the Americas</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78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54,273</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3.6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96.1</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96.1</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96.1</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96.1</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2,980</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2,980</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5</w:t>
            </w:r>
          </w:p>
        </w:tc>
      </w:tr>
      <w:tr>
        <w:trPr>
          <w:trHeight w:val="108"/>
        </w:trPr>
        <w:tc>
          <w:tcPr>
            <w:tcW w:w="20" w:type="dxa"/>
            <w:vAlign w:val="bottom"/>
          </w:tcPr>
          <w:p>
            <w:pPr>
              <w:spacing w:after="0"/>
              <w:rPr>
                <w:sz w:val="9"/>
                <w:szCs w:val="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1350 Avenue of the Americas</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17,797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1.2</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2,862</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2,862</w:t>
            </w: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6</w:t>
            </w:r>
          </w:p>
        </w:tc>
      </w:tr>
      <w:tr>
        <w:trPr>
          <w:trHeight w:val="47"/>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539,879</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35.8 %</w:t>
            </w:r>
          </w:p>
        </w:tc>
        <w:tc>
          <w:tcPr>
            <w:tcW w:w="1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93.2 %</w:t>
            </w:r>
          </w:p>
        </w:tc>
        <w:tc>
          <w:tcPr>
            <w:tcW w:w="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92.1 %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93.5 %</w:t>
            </w: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92.4 %</w:t>
            </w:r>
          </w:p>
        </w:tc>
        <w:tc>
          <w:tcPr>
            <w:tcW w:w="100" w:type="dxa"/>
            <w:vAlign w:val="bottom"/>
          </w:tcPr>
          <w:p>
            <w:pPr>
              <w:spacing w:after="0"/>
              <w:rPr>
                <w:sz w:val="8"/>
                <w:szCs w:val="8"/>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b w:val="1"/>
                <w:bCs w:val="1"/>
                <w:color w:val="auto"/>
              </w:rPr>
              <w:t>$54,954</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$54,954</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b w:val="1"/>
                <w:bCs w:val="1"/>
                <w:color w:val="auto"/>
              </w:rPr>
              <w:t>74</w:t>
            </w:r>
          </w:p>
        </w:tc>
      </w:tr>
      <w:tr>
        <w:trPr>
          <w:trHeight w:val="149"/>
        </w:trPr>
        <w:tc>
          <w:tcPr>
            <w:tcW w:w="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7"/>
                <w:szCs w:val="7"/>
                <w:b w:val="1"/>
                <w:bCs w:val="1"/>
                <w:color w:val="auto"/>
              </w:rPr>
              <w:t>OTHER RETAIL - Unconsolidated Properties</w:t>
            </w: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r>
      <w:tr>
        <w:trPr>
          <w:trHeight w:val="92"/>
        </w:trPr>
        <w:tc>
          <w:tcPr>
            <w:tcW w:w="20" w:type="dxa"/>
            <w:vAlign w:val="bottom"/>
          </w:tcPr>
          <w:p>
            <w:pPr>
              <w:spacing w:after="0"/>
              <w:rPr>
                <w:sz w:val="8"/>
                <w:szCs w:val="8"/>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One Madison Avenue</w:t>
            </w:r>
          </w:p>
        </w:tc>
        <w:tc>
          <w:tcPr>
            <w:tcW w:w="400" w:type="dxa"/>
            <w:vAlign w:val="bottom"/>
          </w:tcPr>
          <w:p>
            <w:pPr>
              <w:jc w:val="center"/>
              <w:spacing w:after="0"/>
              <w:rPr>
                <w:sz w:val="20"/>
                <w:szCs w:val="20"/>
                <w:color w:val="auto"/>
              </w:rPr>
            </w:pPr>
            <w:r>
              <w:rPr>
                <w:rFonts w:ascii="Arial" w:cs="Arial" w:eastAsia="Arial" w:hAnsi="Arial"/>
                <w:sz w:val="7"/>
                <w:szCs w:val="7"/>
                <w:color w:val="auto"/>
              </w:rPr>
              <w:t>25.5</w:t>
            </w:r>
          </w:p>
        </w:tc>
        <w:tc>
          <w:tcPr>
            <w:tcW w:w="60" w:type="dxa"/>
            <w:vAlign w:val="bottom"/>
          </w:tcPr>
          <w:p>
            <w:pPr>
              <w:spacing w:after="0"/>
              <w:rPr>
                <w:sz w:val="8"/>
                <w:szCs w:val="8"/>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109,893</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7.2</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$4,960</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$1,265</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7</w:t>
            </w:r>
          </w:p>
        </w:tc>
      </w:tr>
      <w:tr>
        <w:trPr>
          <w:trHeight w:val="108"/>
        </w:trPr>
        <w:tc>
          <w:tcPr>
            <w:tcW w:w="20" w:type="dxa"/>
            <w:vAlign w:val="bottom"/>
          </w:tcPr>
          <w:p>
            <w:pPr>
              <w:spacing w:after="0"/>
              <w:rPr>
                <w:sz w:val="9"/>
                <w:szCs w:val="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One Vanderbilt Avenue</w:t>
            </w:r>
          </w:p>
        </w:tc>
        <w:tc>
          <w:tcPr>
            <w:tcW w:w="400" w:type="dxa"/>
            <w:vAlign w:val="bottom"/>
          </w:tcPr>
          <w:p>
            <w:pPr>
              <w:jc w:val="center"/>
              <w:spacing w:after="0"/>
              <w:rPr>
                <w:sz w:val="20"/>
                <w:szCs w:val="20"/>
                <w:color w:val="auto"/>
              </w:rPr>
            </w:pPr>
            <w:r>
              <w:rPr>
                <w:rFonts w:ascii="Arial" w:cs="Arial" w:eastAsia="Arial" w:hAnsi="Arial"/>
                <w:sz w:val="7"/>
                <w:szCs w:val="7"/>
                <w:color w:val="auto"/>
              </w:rPr>
              <w:t>55.0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34,885</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2.3</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5,951</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3,274</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7</w:t>
            </w:r>
          </w:p>
        </w:tc>
      </w:tr>
      <w:tr>
        <w:trPr>
          <w:trHeight w:val="108"/>
        </w:trPr>
        <w:tc>
          <w:tcPr>
            <w:tcW w:w="20" w:type="dxa"/>
            <w:vAlign w:val="bottom"/>
          </w:tcPr>
          <w:p>
            <w:pPr>
              <w:spacing w:after="0"/>
              <w:rPr>
                <w:sz w:val="9"/>
                <w:szCs w:val="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11 Madison Avenue</w:t>
            </w:r>
          </w:p>
        </w:tc>
        <w:tc>
          <w:tcPr>
            <w:tcW w:w="400" w:type="dxa"/>
            <w:vAlign w:val="bottom"/>
          </w:tcPr>
          <w:p>
            <w:pPr>
              <w:jc w:val="center"/>
              <w:spacing w:after="0"/>
              <w:rPr>
                <w:sz w:val="20"/>
                <w:szCs w:val="20"/>
                <w:color w:val="auto"/>
              </w:rPr>
            </w:pPr>
            <w:r>
              <w:rPr>
                <w:rFonts w:ascii="Arial" w:cs="Arial" w:eastAsia="Arial" w:hAnsi="Arial"/>
                <w:sz w:val="7"/>
                <w:szCs w:val="7"/>
                <w:color w:val="auto"/>
              </w:rPr>
              <w:t>60.0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37,325</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2.5</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3,902</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2,341</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00" w:type="dxa"/>
            <w:vAlign w:val="bottom"/>
          </w:tcPr>
          <w:p>
            <w:pPr>
              <w:jc w:val="center"/>
              <w:spacing w:after="0"/>
              <w:rPr>
                <w:sz w:val="20"/>
                <w:szCs w:val="20"/>
                <w:color w:val="auto"/>
              </w:rPr>
            </w:pPr>
            <w:r>
              <w:rPr>
                <w:rFonts w:ascii="Arial" w:cs="Arial" w:eastAsia="Arial" w:hAnsi="Arial"/>
                <w:sz w:val="7"/>
                <w:szCs w:val="7"/>
                <w:color w:val="auto"/>
              </w:rPr>
              <w:t>50.8</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38,556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2.4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3,459</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1,757</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7</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220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400" w:type="dxa"/>
            <w:vAlign w:val="bottom"/>
          </w:tcPr>
          <w:p>
            <w:pPr>
              <w:jc w:val="center"/>
              <w:spacing w:after="0"/>
              <w:rPr>
                <w:sz w:val="20"/>
                <w:szCs w:val="20"/>
                <w:color w:val="auto"/>
              </w:rPr>
            </w:pPr>
            <w:r>
              <w:rPr>
                <w:rFonts w:ascii="Arial" w:cs="Arial" w:eastAsia="Arial" w:hAnsi="Arial"/>
                <w:sz w:val="7"/>
                <w:szCs w:val="7"/>
                <w:color w:val="auto"/>
              </w:rPr>
              <w:t>51.0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33,866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2.3</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81.0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81.0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81.0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81.0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1,961</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4</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245</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00" w:type="dxa"/>
            <w:vAlign w:val="bottom"/>
          </w:tcPr>
          <w:p>
            <w:pPr>
              <w:jc w:val="center"/>
              <w:spacing w:after="0"/>
              <w:rPr>
                <w:sz w:val="20"/>
                <w:szCs w:val="20"/>
                <w:color w:val="auto"/>
              </w:rPr>
            </w:pPr>
            <w:r>
              <w:rPr>
                <w:rFonts w:ascii="Arial" w:cs="Arial" w:eastAsia="Arial" w:hAnsi="Arial"/>
                <w:sz w:val="7"/>
                <w:szCs w:val="7"/>
                <w:color w:val="auto"/>
              </w:rPr>
              <w:t>50.1</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31,014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2.1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93.5</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93.5</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93.5</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57.0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2,470</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1,236</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280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00" w:type="dxa"/>
            <w:vAlign w:val="bottom"/>
          </w:tcPr>
          <w:p>
            <w:pPr>
              <w:jc w:val="center"/>
              <w:spacing w:after="0"/>
              <w:rPr>
                <w:sz w:val="20"/>
                <w:szCs w:val="20"/>
                <w:color w:val="auto"/>
              </w:rPr>
            </w:pPr>
            <w:r>
              <w:rPr>
                <w:rFonts w:ascii="Arial" w:cs="Arial" w:eastAsia="Arial" w:hAnsi="Arial"/>
                <w:sz w:val="7"/>
                <w:szCs w:val="7"/>
                <w:color w:val="auto"/>
              </w:rPr>
              <w:t>50.0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28,219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1,679</w:t>
            </w:r>
          </w:p>
        </w:tc>
        <w:tc>
          <w:tcPr>
            <w:tcW w:w="640" w:type="dxa"/>
            <w:vAlign w:val="bottom"/>
          </w:tcPr>
          <w:p>
            <w:pPr>
              <w:jc w:val="center"/>
              <w:ind w:left="44"/>
              <w:spacing w:after="0"/>
              <w:rPr>
                <w:sz w:val="20"/>
                <w:szCs w:val="20"/>
                <w:color w:val="auto"/>
              </w:rPr>
            </w:pPr>
            <w:r>
              <w:rPr>
                <w:rFonts w:ascii="Arial" w:cs="Arial" w:eastAsia="Arial" w:hAnsi="Arial"/>
                <w:sz w:val="7"/>
                <w:szCs w:val="7"/>
                <w:color w:val="auto"/>
              </w:rPr>
              <w:t>839</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3</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450</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00" w:type="dxa"/>
            <w:vAlign w:val="bottom"/>
          </w:tcPr>
          <w:p>
            <w:pPr>
              <w:jc w:val="center"/>
              <w:spacing w:after="0"/>
              <w:rPr>
                <w:sz w:val="20"/>
                <w:szCs w:val="20"/>
                <w:color w:val="auto"/>
              </w:rPr>
            </w:pPr>
            <w:r>
              <w:rPr>
                <w:rFonts w:ascii="Arial" w:cs="Arial" w:eastAsia="Arial" w:hAnsi="Arial"/>
                <w:sz w:val="7"/>
                <w:szCs w:val="7"/>
                <w:color w:val="auto"/>
              </w:rPr>
              <w:t>25.1</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6,317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0.4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1,845</w:t>
            </w:r>
          </w:p>
        </w:tc>
        <w:tc>
          <w:tcPr>
            <w:tcW w:w="640" w:type="dxa"/>
            <w:vAlign w:val="bottom"/>
          </w:tcPr>
          <w:p>
            <w:pPr>
              <w:jc w:val="center"/>
              <w:ind w:left="44"/>
              <w:spacing w:after="0"/>
              <w:rPr>
                <w:sz w:val="20"/>
                <w:szCs w:val="20"/>
                <w:color w:val="auto"/>
              </w:rPr>
            </w:pPr>
            <w:r>
              <w:rPr>
                <w:rFonts w:ascii="Arial" w:cs="Arial" w:eastAsia="Arial" w:hAnsi="Arial"/>
                <w:sz w:val="7"/>
                <w:szCs w:val="7"/>
                <w:color w:val="auto"/>
              </w:rPr>
              <w:t>463</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1</w:t>
            </w:r>
          </w:p>
        </w:tc>
      </w:tr>
      <w:tr>
        <w:trPr>
          <w:trHeight w:val="108"/>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919</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400" w:type="dxa"/>
            <w:vAlign w:val="bottom"/>
          </w:tcPr>
          <w:p>
            <w:pPr>
              <w:jc w:val="center"/>
              <w:spacing w:after="0"/>
              <w:rPr>
                <w:sz w:val="20"/>
                <w:szCs w:val="20"/>
                <w:color w:val="auto"/>
              </w:rPr>
            </w:pPr>
            <w:r>
              <w:rPr>
                <w:rFonts w:ascii="Arial" w:cs="Arial" w:eastAsia="Arial" w:hAnsi="Arial"/>
                <w:sz w:val="7"/>
                <w:szCs w:val="7"/>
                <w:color w:val="auto"/>
              </w:rPr>
              <w:t>51.0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29,441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2.0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3,795</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1,935</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4</w:t>
            </w:r>
          </w:p>
        </w:tc>
      </w:tr>
      <w:tr>
        <w:trPr>
          <w:trHeight w:val="108"/>
        </w:trPr>
        <w:tc>
          <w:tcPr>
            <w:tcW w:w="20" w:type="dxa"/>
            <w:vAlign w:val="bottom"/>
          </w:tcPr>
          <w:p>
            <w:pPr>
              <w:spacing w:after="0"/>
              <w:rPr>
                <w:sz w:val="9"/>
                <w:szCs w:val="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1515 Broadway</w:t>
            </w:r>
          </w:p>
        </w:tc>
        <w:tc>
          <w:tcPr>
            <w:tcW w:w="400" w:type="dxa"/>
            <w:vAlign w:val="bottom"/>
          </w:tcPr>
          <w:p>
            <w:pPr>
              <w:jc w:val="center"/>
              <w:spacing w:after="0"/>
              <w:rPr>
                <w:sz w:val="20"/>
                <w:szCs w:val="20"/>
                <w:color w:val="auto"/>
              </w:rPr>
            </w:pPr>
            <w:r>
              <w:rPr>
                <w:rFonts w:ascii="Arial" w:cs="Arial" w:eastAsia="Arial" w:hAnsi="Arial"/>
                <w:sz w:val="7"/>
                <w:szCs w:val="7"/>
                <w:color w:val="auto"/>
              </w:rPr>
              <w:t>56.9</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182,011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right"/>
              <w:ind w:right="44"/>
              <w:spacing w:after="0"/>
              <w:rPr>
                <w:sz w:val="20"/>
                <w:szCs w:val="20"/>
                <w:color w:val="auto"/>
              </w:rPr>
            </w:pPr>
            <w:r>
              <w:rPr>
                <w:rFonts w:ascii="Arial" w:cs="Arial" w:eastAsia="Arial" w:hAnsi="Arial"/>
                <w:sz w:val="7"/>
                <w:szCs w:val="7"/>
                <w:color w:val="auto"/>
              </w:rPr>
              <w:t>12.1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99.8</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99.8</w:t>
            </w:r>
          </w:p>
        </w:tc>
        <w:tc>
          <w:tcPr>
            <w:tcW w:w="8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99.8</w:t>
            </w:r>
          </w:p>
        </w:tc>
        <w:tc>
          <w:tcPr>
            <w:tcW w:w="10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99.8</w:t>
            </w:r>
          </w:p>
        </w:tc>
        <w:tc>
          <w:tcPr>
            <w:tcW w:w="100" w:type="dxa"/>
            <w:vAlign w:val="bottom"/>
          </w:tcPr>
          <w:p>
            <w:pPr>
              <w:spacing w:after="0"/>
              <w:rPr>
                <w:sz w:val="9"/>
                <w:szCs w:val="9"/>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color w:val="auto"/>
              </w:rPr>
              <w:t>27,275</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15,521</w:t>
            </w:r>
          </w:p>
        </w:tc>
        <w:tc>
          <w:tcPr>
            <w:tcW w:w="12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7</w:t>
            </w:r>
          </w:p>
        </w:tc>
      </w:tr>
      <w:tr>
        <w:trPr>
          <w:trHeight w:val="47"/>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531,527</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35.2 %</w:t>
            </w:r>
          </w:p>
        </w:tc>
        <w:tc>
          <w:tcPr>
            <w:tcW w:w="1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95.8 %</w:t>
            </w:r>
          </w:p>
        </w:tc>
        <w:tc>
          <w:tcPr>
            <w:tcW w:w="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95.8 %</w:t>
            </w:r>
          </w:p>
        </w:tc>
        <w:tc>
          <w:tcPr>
            <w:tcW w:w="8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98.3 %</w:t>
            </w: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96.2 %</w:t>
            </w:r>
          </w:p>
        </w:tc>
        <w:tc>
          <w:tcPr>
            <w:tcW w:w="100" w:type="dxa"/>
            <w:vAlign w:val="bottom"/>
          </w:tcPr>
          <w:p>
            <w:pPr>
              <w:spacing w:after="0"/>
              <w:rPr>
                <w:sz w:val="8"/>
                <w:szCs w:val="8"/>
                <w:color w:val="auto"/>
              </w:rPr>
            </w:pPr>
          </w:p>
        </w:tc>
        <w:tc>
          <w:tcPr>
            <w:tcW w:w="500" w:type="dxa"/>
            <w:vAlign w:val="bottom"/>
          </w:tcPr>
          <w:p>
            <w:pPr>
              <w:jc w:val="center"/>
              <w:ind w:left="44"/>
              <w:spacing w:after="0"/>
              <w:rPr>
                <w:sz w:val="20"/>
                <w:szCs w:val="20"/>
                <w:color w:val="auto"/>
              </w:rPr>
            </w:pPr>
            <w:r>
              <w:rPr>
                <w:rFonts w:ascii="Arial" w:cs="Arial" w:eastAsia="Arial" w:hAnsi="Arial"/>
                <w:sz w:val="7"/>
                <w:szCs w:val="7"/>
                <w:b w:val="1"/>
                <w:bCs w:val="1"/>
                <w:color w:val="auto"/>
              </w:rPr>
              <w:t>$57,297</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$29,631</w:t>
            </w:r>
          </w:p>
        </w:tc>
        <w:tc>
          <w:tcPr>
            <w:tcW w:w="120" w:type="dxa"/>
            <w:vAlign w:val="bottom"/>
          </w:tcPr>
          <w:p>
            <w:pPr>
              <w:spacing w:after="0"/>
              <w:rPr>
                <w:sz w:val="8"/>
                <w:szCs w:val="8"/>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b w:val="1"/>
                <w:bCs w:val="1"/>
                <w:color w:val="auto"/>
              </w:rPr>
              <w:t>46</w:t>
            </w:r>
          </w:p>
        </w:tc>
      </w:tr>
      <w:tr>
        <w:trPr>
          <w:trHeight w:val="148"/>
        </w:trPr>
        <w:tc>
          <w:tcPr>
            <w:tcW w:w="20" w:type="dxa"/>
            <w:vAlign w:val="bottom"/>
          </w:tcPr>
          <w:p>
            <w:pPr>
              <w:spacing w:after="0"/>
              <w:rPr>
                <w:sz w:val="12"/>
                <w:szCs w:val="12"/>
                <w:color w:val="auto"/>
              </w:rPr>
            </w:pPr>
          </w:p>
        </w:tc>
        <w:tc>
          <w:tcPr>
            <w:tcW w:w="1460" w:type="dxa"/>
            <w:vAlign w:val="bottom"/>
            <w:gridSpan w:val="3"/>
          </w:tcPr>
          <w:p>
            <w:pPr>
              <w:spacing w:after="0"/>
              <w:rPr>
                <w:sz w:val="20"/>
                <w:szCs w:val="20"/>
                <w:color w:val="auto"/>
              </w:rPr>
            </w:pPr>
            <w:r>
              <w:rPr>
                <w:rFonts w:ascii="Arial" w:cs="Arial" w:eastAsia="Arial" w:hAnsi="Arial"/>
                <w:sz w:val="7"/>
                <w:szCs w:val="7"/>
                <w:b w:val="1"/>
                <w:bCs w:val="1"/>
                <w:color w:val="auto"/>
              </w:rPr>
              <w:t>Total / Weighted Average Other Retail</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1,071,406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71.0 %</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94.5 %</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93.9 %</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95.9 %</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94.3 %</w:t>
            </w:r>
          </w:p>
        </w:tc>
        <w:tc>
          <w:tcPr>
            <w:tcW w:w="100" w:type="dxa"/>
            <w:vAlign w:val="bottom"/>
          </w:tcPr>
          <w:p>
            <w:pPr>
              <w:spacing w:after="0"/>
              <w:rPr>
                <w:sz w:val="12"/>
                <w:szCs w:val="12"/>
                <w:color w:val="auto"/>
              </w:rPr>
            </w:pPr>
          </w:p>
        </w:tc>
        <w:tc>
          <w:tcPr>
            <w:tcW w:w="500" w:type="dxa"/>
            <w:vAlign w:val="bottom"/>
          </w:tcPr>
          <w:p>
            <w:pPr>
              <w:jc w:val="center"/>
              <w:ind w:left="24"/>
              <w:spacing w:after="0"/>
              <w:rPr>
                <w:sz w:val="20"/>
                <w:szCs w:val="20"/>
                <w:color w:val="auto"/>
              </w:rPr>
            </w:pPr>
            <w:r>
              <w:rPr>
                <w:rFonts w:ascii="Arial" w:cs="Arial" w:eastAsia="Arial" w:hAnsi="Arial"/>
                <w:sz w:val="7"/>
                <w:szCs w:val="7"/>
                <w:b w:val="1"/>
                <w:bCs w:val="1"/>
                <w:color w:val="auto"/>
                <w:w w:val="95"/>
              </w:rPr>
              <w:t>$112,251</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$84,585</w:t>
            </w:r>
          </w:p>
        </w:tc>
        <w:tc>
          <w:tcPr>
            <w:tcW w:w="120" w:type="dxa"/>
            <w:vAlign w:val="bottom"/>
          </w:tcPr>
          <w:p>
            <w:pPr>
              <w:spacing w:after="0"/>
              <w:rPr>
                <w:sz w:val="12"/>
                <w:szCs w:val="12"/>
                <w:color w:val="auto"/>
              </w:rPr>
            </w:pPr>
          </w:p>
        </w:tc>
        <w:tc>
          <w:tcPr>
            <w:tcW w:w="380" w:type="dxa"/>
            <w:vAlign w:val="bottom"/>
          </w:tcPr>
          <w:p>
            <w:pPr>
              <w:jc w:val="right"/>
              <w:ind w:right="4"/>
              <w:spacing w:after="0"/>
              <w:rPr>
                <w:sz w:val="20"/>
                <w:szCs w:val="20"/>
                <w:color w:val="auto"/>
              </w:rPr>
            </w:pPr>
            <w:r>
              <w:rPr>
                <w:rFonts w:ascii="Arial" w:cs="Arial" w:eastAsia="Arial" w:hAnsi="Arial"/>
                <w:sz w:val="7"/>
                <w:szCs w:val="7"/>
                <w:b w:val="1"/>
                <w:bCs w:val="1"/>
                <w:color w:val="auto"/>
              </w:rPr>
              <w:t>120</w:t>
            </w:r>
          </w:p>
        </w:tc>
      </w:tr>
    </w:tbl>
    <w:p>
      <w:pPr>
        <w:spacing w:after="0" w:line="50" w:lineRule="exact"/>
        <w:rPr>
          <w:sz w:val="20"/>
          <w:szCs w:val="20"/>
          <w:color w:val="auto"/>
        </w:rPr>
      </w:pPr>
    </w:p>
    <w:p>
      <w:pPr>
        <w:ind w:left="120" w:hanging="107"/>
        <w:spacing w:after="0"/>
        <w:tabs>
          <w:tab w:leader="none" w:pos="120" w:val="left"/>
        </w:tabs>
        <w:numPr>
          <w:ilvl w:val="0"/>
          <w:numId w:val="22"/>
        </w:numPr>
        <w:rPr>
          <w:rFonts w:ascii="Arial" w:cs="Arial" w:eastAsia="Arial" w:hAnsi="Arial"/>
          <w:sz w:val="7"/>
          <w:szCs w:val="7"/>
          <w:color w:val="auto"/>
        </w:rPr>
      </w:pPr>
      <w:r>
        <w:rPr>
          <w:rFonts w:ascii="Arial" w:cs="Arial" w:eastAsia="Arial" w:hAnsi="Arial"/>
          <w:sz w:val="7"/>
          <w:szCs w:val="7"/>
          <w:color w:val="auto"/>
        </w:rPr>
        <w:t>Represents the rentable square footage at the time the property was acquired.</w:t>
      </w:r>
    </w:p>
    <w:p>
      <w:pPr>
        <w:spacing w:after="0" w:line="27" w:lineRule="exact"/>
        <w:rPr>
          <w:rFonts w:ascii="Arial" w:cs="Arial" w:eastAsia="Arial" w:hAnsi="Arial"/>
          <w:sz w:val="7"/>
          <w:szCs w:val="7"/>
          <w:color w:val="auto"/>
        </w:rPr>
      </w:pPr>
    </w:p>
    <w:p>
      <w:pPr>
        <w:ind w:left="120" w:hanging="107"/>
        <w:spacing w:after="0"/>
        <w:tabs>
          <w:tab w:leader="none" w:pos="120" w:val="left"/>
        </w:tabs>
        <w:numPr>
          <w:ilvl w:val="0"/>
          <w:numId w:val="22"/>
        </w:numPr>
        <w:rPr>
          <w:rFonts w:ascii="Arial" w:cs="Arial" w:eastAsia="Arial" w:hAnsi="Arial"/>
          <w:sz w:val="7"/>
          <w:szCs w:val="7"/>
          <w:color w:val="auto"/>
        </w:rPr>
      </w:pPr>
      <w:r>
        <w:rPr>
          <w:rFonts w:ascii="Arial" w:cs="Arial" w:eastAsia="Arial" w:hAnsi="Arial"/>
          <w:sz w:val="7"/>
          <w:szCs w:val="7"/>
          <w:color w:val="auto"/>
        </w:rPr>
        <w:t>Calculated based on the square footage leased under executed leases as of the reporting date, regardless of whether the leases have commenced or the tenants have taken possession.</w:t>
      </w:r>
    </w:p>
    <w:p>
      <w:pPr>
        <w:spacing w:after="0" w:line="27" w:lineRule="exact"/>
        <w:rPr>
          <w:rFonts w:ascii="Arial" w:cs="Arial" w:eastAsia="Arial" w:hAnsi="Arial"/>
          <w:sz w:val="7"/>
          <w:szCs w:val="7"/>
          <w:color w:val="auto"/>
        </w:rPr>
      </w:pPr>
    </w:p>
    <w:p>
      <w:pPr>
        <w:ind w:left="120" w:hanging="107"/>
        <w:spacing w:after="0"/>
        <w:tabs>
          <w:tab w:leader="none" w:pos="120" w:val="left"/>
        </w:tabs>
        <w:numPr>
          <w:ilvl w:val="0"/>
          <w:numId w:val="22"/>
        </w:numPr>
        <w:rPr>
          <w:rFonts w:ascii="Arial" w:cs="Arial" w:eastAsia="Arial" w:hAnsi="Arial"/>
          <w:sz w:val="7"/>
          <w:szCs w:val="7"/>
          <w:color w:val="auto"/>
        </w:rPr>
      </w:pPr>
      <w:r>
        <w:rPr>
          <w:rFonts w:ascii="Arial" w:cs="Arial" w:eastAsia="Arial" w:hAnsi="Arial"/>
          <w:sz w:val="7"/>
          <w:szCs w:val="7"/>
          <w:color w:val="auto"/>
        </w:rPr>
        <w:t>Calculated based on the square footage for which lease terms have commenced per the underlying lease. For GAAP purposes revenue may not yet be recognized for certain commenced leases as of the reporting date.</w:t>
      </w:r>
    </w:p>
    <w:p>
      <w:pPr>
        <w:spacing w:after="0" w:line="27" w:lineRule="exact"/>
        <w:rPr>
          <w:rFonts w:ascii="Arial" w:cs="Arial" w:eastAsia="Arial" w:hAnsi="Arial"/>
          <w:sz w:val="7"/>
          <w:szCs w:val="7"/>
          <w:color w:val="auto"/>
        </w:rPr>
      </w:pPr>
    </w:p>
    <w:p>
      <w:pPr>
        <w:ind w:left="120" w:hanging="107"/>
        <w:spacing w:after="0"/>
        <w:tabs>
          <w:tab w:leader="none" w:pos="120" w:val="left"/>
        </w:tabs>
        <w:numPr>
          <w:ilvl w:val="0"/>
          <w:numId w:val="22"/>
        </w:numPr>
        <w:rPr>
          <w:rFonts w:ascii="Arial" w:cs="Arial" w:eastAsia="Arial" w:hAnsi="Arial"/>
          <w:sz w:val="7"/>
          <w:szCs w:val="7"/>
          <w:color w:val="auto"/>
        </w:rPr>
      </w:pPr>
      <w:r>
        <w:rPr>
          <w:rFonts w:ascii="Arial" w:cs="Arial" w:eastAsia="Arial" w:hAnsi="Arial"/>
          <w:sz w:val="7"/>
          <w:szCs w:val="7"/>
          <w:color w:val="auto"/>
        </w:rPr>
        <w:t>Redevelopment properties.</w:t>
      </w:r>
    </w:p>
    <w:p>
      <w:pPr>
        <w:spacing w:after="0" w:line="200" w:lineRule="exact"/>
        <w:rPr>
          <w:sz w:val="20"/>
          <w:szCs w:val="20"/>
          <w:color w:val="auto"/>
        </w:rPr>
      </w:pPr>
    </w:p>
    <w:p>
      <w:pPr>
        <w:spacing w:after="0" w:line="280" w:lineRule="exact"/>
        <w:rPr>
          <w:sz w:val="20"/>
          <w:szCs w:val="20"/>
          <w:color w:val="auto"/>
        </w:rPr>
      </w:pPr>
    </w:p>
    <w:p>
      <w:pPr>
        <w:spacing w:after="0"/>
        <w:tabs>
          <w:tab w:leader="none" w:pos="4440" w:val="left"/>
          <w:tab w:leader="none" w:pos="828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32</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60"/>
          </w:cols>
          <w:pgMar w:left="1420" w:top="297" w:right="141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SELECTED PROPERTY DATA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576453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-17780</wp:posOffset>
            </wp:positionV>
            <wp:extent cx="1136650" cy="3244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ind w:right="2820"/>
        <w:spacing w:after="0" w:line="216" w:lineRule="auto"/>
        <w:rPr>
          <w:sz w:val="20"/>
          <w:szCs w:val="20"/>
          <w:color w:val="auto"/>
        </w:rPr>
      </w:pPr>
      <w:r>
        <w:rPr>
          <w:rFonts w:ascii="Arial" w:cs="Arial" w:eastAsia="Arial" w:hAnsi="Arial"/>
          <w:sz w:val="13"/>
          <w:szCs w:val="13"/>
          <w:b w:val="1"/>
          <w:bCs w:val="1"/>
          <w:color w:val="auto"/>
        </w:rPr>
        <w:t>Retail Within Operating, Development / Redevelopment and Alternative Strategy Portfolio Properties 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76453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106045</wp:posOffset>
            </wp:positionV>
            <wp:extent cx="576453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64530" cy="635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7"/>
                <w:szCs w:val="7"/>
                <w:b w:val="1"/>
                <w:bCs w:val="1"/>
                <w:color w:val="auto"/>
              </w:rPr>
              <w:t>Annualized Contractual</w:t>
            </w:r>
          </w:p>
        </w:tc>
        <w:tc>
          <w:tcPr>
            <w:tcW w:w="540" w:type="dxa"/>
            <w:vAlign w:val="bottom"/>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March 31, 2026</w:t>
            </w:r>
          </w:p>
        </w:tc>
        <w:tc>
          <w:tcPr>
            <w:tcW w:w="80" w:type="dxa"/>
            <w:vAlign w:val="bottom"/>
          </w:tcPr>
          <w:p>
            <w:pPr>
              <w:spacing w:after="0"/>
              <w:rPr>
                <w:sz w:val="8"/>
                <w:szCs w:val="8"/>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December 31, 2025</w:t>
            </w:r>
          </w:p>
        </w:tc>
        <w:tc>
          <w:tcPr>
            <w:tcW w:w="80" w:type="dxa"/>
            <w:vAlign w:val="bottom"/>
          </w:tcPr>
          <w:p>
            <w:pPr>
              <w:spacing w:after="0"/>
              <w:rPr>
                <w:sz w:val="8"/>
                <w:szCs w:val="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b w:val="1"/>
                <w:bCs w:val="1"/>
                <w:color w:val="auto"/>
              </w:rPr>
              <w:t>Cash Rent</w:t>
            </w:r>
          </w:p>
        </w:tc>
        <w:tc>
          <w:tcPr>
            <w:tcW w:w="120" w:type="dxa"/>
            <w:vAlign w:val="bottom"/>
          </w:tcPr>
          <w:p>
            <w:pPr>
              <w:spacing w:after="0"/>
              <w:rPr>
                <w:sz w:val="8"/>
                <w:szCs w:val="8"/>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Total Tenants</w:t>
            </w:r>
          </w:p>
        </w:tc>
      </w:tr>
      <w:tr>
        <w:trPr>
          <w:trHeight w:val="96"/>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center"/>
              <w:ind w:right="60"/>
              <w:spacing w:after="0"/>
              <w:rPr>
                <w:sz w:val="20"/>
                <w:szCs w:val="20"/>
                <w:color w:val="auto"/>
              </w:rPr>
            </w:pPr>
            <w:r>
              <w:rPr>
                <w:rFonts w:ascii="Arial" w:cs="Arial" w:eastAsia="Arial" w:hAnsi="Arial"/>
                <w:sz w:val="7"/>
                <w:szCs w:val="7"/>
                <w:b w:val="1"/>
                <w:bCs w:val="1"/>
                <w:color w:val="auto"/>
                <w:w w:val="99"/>
              </w:rPr>
              <w:t>Ownership</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1240" w:type="dxa"/>
            <w:vAlign w:val="bottom"/>
            <w:gridSpan w:val="4"/>
          </w:tcPr>
          <w:p>
            <w:pPr>
              <w:jc w:val="center"/>
              <w:ind w:right="80"/>
              <w:spacing w:after="0"/>
              <w:rPr>
                <w:sz w:val="20"/>
                <w:szCs w:val="20"/>
                <w:color w:val="auto"/>
              </w:rPr>
            </w:pPr>
            <w:r>
              <w:rPr>
                <w:rFonts w:ascii="Arial" w:cs="Arial" w:eastAsia="Arial" w:hAnsi="Arial"/>
                <w:sz w:val="7"/>
                <w:szCs w:val="7"/>
                <w:b w:val="1"/>
                <w:bCs w:val="1"/>
                <w:color w:val="auto"/>
              </w:rPr>
              <w:t>Occupancy %</w:t>
            </w:r>
          </w:p>
        </w:tc>
        <w:tc>
          <w:tcPr>
            <w:tcW w:w="1280" w:type="dxa"/>
            <w:vAlign w:val="bottom"/>
            <w:gridSpan w:val="4"/>
          </w:tcPr>
          <w:p>
            <w:pPr>
              <w:jc w:val="center"/>
              <w:ind w:right="80"/>
              <w:spacing w:after="0"/>
              <w:rPr>
                <w:sz w:val="20"/>
                <w:szCs w:val="20"/>
                <w:color w:val="auto"/>
              </w:rPr>
            </w:pPr>
            <w:r>
              <w:rPr>
                <w:rFonts w:ascii="Arial" w:cs="Arial" w:eastAsia="Arial" w:hAnsi="Arial"/>
                <w:sz w:val="7"/>
                <w:szCs w:val="7"/>
                <w:b w:val="1"/>
                <w:bCs w:val="1"/>
                <w:color w:val="auto"/>
              </w:rPr>
              <w:t>Occupancy %</w:t>
            </w: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92"/>
        </w:trPr>
        <w:tc>
          <w:tcPr>
            <w:tcW w:w="20" w:type="dxa"/>
            <w:vAlign w:val="bottom"/>
          </w:tcPr>
          <w:p>
            <w:pPr>
              <w:spacing w:after="0"/>
              <w:rPr>
                <w:sz w:val="8"/>
                <w:szCs w:val="8"/>
                <w:color w:val="auto"/>
              </w:rPr>
            </w:pPr>
          </w:p>
        </w:tc>
        <w:tc>
          <w:tcPr>
            <w:tcW w:w="1320" w:type="dxa"/>
            <w:vAlign w:val="bottom"/>
            <w:gridSpan w:val="2"/>
          </w:tcPr>
          <w:p>
            <w:pPr>
              <w:spacing w:after="0"/>
              <w:rPr>
                <w:sz w:val="20"/>
                <w:szCs w:val="20"/>
                <w:color w:val="auto"/>
              </w:rPr>
            </w:pPr>
            <w:r>
              <w:rPr>
                <w:rFonts w:ascii="Arial" w:cs="Arial" w:eastAsia="Arial" w:hAnsi="Arial"/>
                <w:sz w:val="7"/>
                <w:szCs w:val="7"/>
                <w:b w:val="1"/>
                <w:bCs w:val="1"/>
                <w:color w:val="auto"/>
              </w:rPr>
              <w:t>Properties</w:t>
            </w:r>
          </w:p>
        </w:tc>
        <w:tc>
          <w:tcPr>
            <w:tcW w:w="480" w:type="dxa"/>
            <w:vAlign w:val="bottom"/>
            <w:gridSpan w:val="3"/>
          </w:tcPr>
          <w:p>
            <w:pPr>
              <w:jc w:val="center"/>
              <w:ind w:right="40"/>
              <w:spacing w:after="0"/>
              <w:rPr>
                <w:sz w:val="20"/>
                <w:szCs w:val="20"/>
                <w:color w:val="auto"/>
              </w:rPr>
            </w:pPr>
            <w:r>
              <w:rPr>
                <w:rFonts w:ascii="Arial" w:cs="Arial" w:eastAsia="Arial" w:hAnsi="Arial"/>
                <w:sz w:val="7"/>
                <w:szCs w:val="7"/>
                <w:b w:val="1"/>
                <w:bCs w:val="1"/>
                <w:color w:val="auto"/>
              </w:rPr>
              <w:t>Interest (%)</w:t>
            </w:r>
          </w:p>
        </w:tc>
        <w:tc>
          <w:tcPr>
            <w:tcW w:w="760" w:type="dxa"/>
            <w:vAlign w:val="bottom"/>
            <w:gridSpan w:val="2"/>
          </w:tcPr>
          <w:p>
            <w:pPr>
              <w:spacing w:after="0"/>
              <w:rPr>
                <w:sz w:val="20"/>
                <w:szCs w:val="20"/>
                <w:color w:val="auto"/>
              </w:rPr>
            </w:pPr>
            <w:r>
              <w:rPr>
                <w:rFonts w:ascii="Arial" w:cs="Arial" w:eastAsia="Arial" w:hAnsi="Arial"/>
                <w:sz w:val="7"/>
                <w:szCs w:val="7"/>
                <w:b w:val="1"/>
                <w:bCs w:val="1"/>
                <w:color w:val="auto"/>
              </w:rPr>
              <w:t>SubMarket</w:t>
            </w:r>
          </w:p>
        </w:tc>
        <w:tc>
          <w:tcPr>
            <w:tcW w:w="740" w:type="dxa"/>
            <w:vAlign w:val="bottom"/>
            <w:gridSpan w:val="3"/>
          </w:tcPr>
          <w:p>
            <w:pPr>
              <w:ind w:left="100"/>
              <w:spacing w:after="0"/>
              <w:rPr>
                <w:sz w:val="20"/>
                <w:szCs w:val="20"/>
                <w:color w:val="auto"/>
              </w:rPr>
            </w:pPr>
            <w:r>
              <w:rPr>
                <w:rFonts w:ascii="Arial" w:cs="Arial" w:eastAsia="Arial" w:hAnsi="Arial"/>
                <w:sz w:val="7"/>
                <w:szCs w:val="7"/>
                <w:b w:val="1"/>
                <w:bCs w:val="1"/>
                <w:color w:val="auto"/>
              </w:rPr>
              <w:t>Ownership</w:t>
            </w:r>
          </w:p>
        </w:tc>
        <w:tc>
          <w:tcPr>
            <w:tcW w:w="6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7"/>
                <w:szCs w:val="7"/>
                <w:b w:val="1"/>
                <w:bCs w:val="1"/>
                <w:color w:val="auto"/>
              </w:rPr>
              <w:t>Square Feet (1)</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b w:val="1"/>
                <w:bCs w:val="1"/>
                <w:color w:val="auto"/>
                <w:w w:val="95"/>
              </w:rPr>
              <w:t>Sq. Feet</w:t>
            </w:r>
          </w:p>
        </w:tc>
        <w:tc>
          <w:tcPr>
            <w:tcW w:w="620" w:type="dxa"/>
            <w:vAlign w:val="bottom"/>
            <w:gridSpan w:val="2"/>
          </w:tcPr>
          <w:p>
            <w:pPr>
              <w:ind w:left="80"/>
              <w:spacing w:after="0"/>
              <w:rPr>
                <w:sz w:val="20"/>
                <w:szCs w:val="20"/>
                <w:color w:val="auto"/>
              </w:rPr>
            </w:pPr>
            <w:r>
              <w:rPr>
                <w:rFonts w:ascii="Arial" w:cs="Arial" w:eastAsia="Arial" w:hAnsi="Arial"/>
                <w:sz w:val="7"/>
                <w:szCs w:val="7"/>
                <w:b w:val="1"/>
                <w:bCs w:val="1"/>
                <w:color w:val="auto"/>
              </w:rPr>
              <w:t>Leased (2)</w:t>
            </w:r>
          </w:p>
        </w:tc>
        <w:tc>
          <w:tcPr>
            <w:tcW w:w="620" w:type="dxa"/>
            <w:vAlign w:val="bottom"/>
            <w:gridSpan w:val="2"/>
          </w:tcPr>
          <w:p>
            <w:pPr>
              <w:ind w:left="40"/>
              <w:spacing w:after="0"/>
              <w:rPr>
                <w:sz w:val="20"/>
                <w:szCs w:val="20"/>
                <w:color w:val="auto"/>
              </w:rPr>
            </w:pPr>
            <w:r>
              <w:rPr>
                <w:rFonts w:ascii="Arial" w:cs="Arial" w:eastAsia="Arial" w:hAnsi="Arial"/>
                <w:sz w:val="7"/>
                <w:szCs w:val="7"/>
                <w:b w:val="1"/>
                <w:bCs w:val="1"/>
                <w:color w:val="auto"/>
              </w:rPr>
              <w:t>Occupied (3)</w:t>
            </w:r>
          </w:p>
        </w:tc>
        <w:tc>
          <w:tcPr>
            <w:tcW w:w="640" w:type="dxa"/>
            <w:vAlign w:val="bottom"/>
            <w:gridSpan w:val="2"/>
          </w:tcPr>
          <w:p>
            <w:pPr>
              <w:ind w:left="100"/>
              <w:spacing w:after="0"/>
              <w:rPr>
                <w:sz w:val="20"/>
                <w:szCs w:val="20"/>
                <w:color w:val="auto"/>
              </w:rPr>
            </w:pPr>
            <w:r>
              <w:rPr>
                <w:rFonts w:ascii="Arial" w:cs="Arial" w:eastAsia="Arial" w:hAnsi="Arial"/>
                <w:sz w:val="7"/>
                <w:szCs w:val="7"/>
                <w:b w:val="1"/>
                <w:bCs w:val="1"/>
                <w:color w:val="auto"/>
              </w:rPr>
              <w:t>Leased (2)</w:t>
            </w:r>
          </w:p>
        </w:tc>
        <w:tc>
          <w:tcPr>
            <w:tcW w:w="640" w:type="dxa"/>
            <w:vAlign w:val="bottom"/>
            <w:gridSpan w:val="2"/>
          </w:tcPr>
          <w:p>
            <w:pPr>
              <w:ind w:left="60"/>
              <w:spacing w:after="0"/>
              <w:rPr>
                <w:sz w:val="20"/>
                <w:szCs w:val="20"/>
                <w:color w:val="auto"/>
              </w:rPr>
            </w:pPr>
            <w:r>
              <w:rPr>
                <w:rFonts w:ascii="Arial" w:cs="Arial" w:eastAsia="Arial" w:hAnsi="Arial"/>
                <w:sz w:val="7"/>
                <w:szCs w:val="7"/>
                <w:b w:val="1"/>
                <w:bCs w:val="1"/>
                <w:color w:val="auto"/>
              </w:rPr>
              <w:t>Occupied (3)</w:t>
            </w:r>
          </w:p>
        </w:tc>
        <w:tc>
          <w:tcPr>
            <w:tcW w:w="520" w:type="dxa"/>
            <w:vAlign w:val="bottom"/>
          </w:tcPr>
          <w:p>
            <w:pPr>
              <w:ind w:left="220"/>
              <w:spacing w:after="0"/>
              <w:rPr>
                <w:sz w:val="20"/>
                <w:szCs w:val="20"/>
                <w:color w:val="auto"/>
              </w:rPr>
            </w:pPr>
            <w:r>
              <w:rPr>
                <w:rFonts w:ascii="Arial" w:cs="Arial" w:eastAsia="Arial" w:hAnsi="Arial"/>
                <w:sz w:val="7"/>
                <w:szCs w:val="7"/>
                <w:b w:val="1"/>
                <w:bCs w:val="1"/>
                <w:color w:val="auto"/>
              </w:rPr>
              <w:t>($'s)</w:t>
            </w:r>
          </w:p>
        </w:tc>
        <w:tc>
          <w:tcPr>
            <w:tcW w:w="760" w:type="dxa"/>
            <w:vAlign w:val="bottom"/>
            <w:gridSpan w:val="2"/>
          </w:tcPr>
          <w:p>
            <w:pPr>
              <w:ind w:left="80"/>
              <w:spacing w:after="0"/>
              <w:rPr>
                <w:sz w:val="20"/>
                <w:szCs w:val="20"/>
                <w:color w:val="auto"/>
              </w:rPr>
            </w:pPr>
            <w:r>
              <w:rPr>
                <w:rFonts w:ascii="Arial" w:cs="Arial" w:eastAsia="Arial" w:hAnsi="Arial"/>
                <w:sz w:val="7"/>
                <w:szCs w:val="7"/>
                <w:b w:val="1"/>
                <w:bCs w:val="1"/>
                <w:color w:val="auto"/>
              </w:rPr>
              <w:t>SLG Share ($'s)</w:t>
            </w:r>
          </w:p>
        </w:tc>
        <w:tc>
          <w:tcPr>
            <w:tcW w:w="540" w:type="dxa"/>
            <w:vAlign w:val="bottom"/>
          </w:tcPr>
          <w:p>
            <w:pPr>
              <w:spacing w:after="0"/>
              <w:rPr>
                <w:sz w:val="8"/>
                <w:szCs w:val="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3"/>
        </w:trPr>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spacing w:after="0"/>
              <w:rPr>
                <w:sz w:val="20"/>
                <w:szCs w:val="20"/>
                <w:color w:val="auto"/>
              </w:rPr>
            </w:pPr>
            <w:r>
              <w:rPr>
                <w:rFonts w:ascii="Arial" w:cs="Arial" w:eastAsia="Arial" w:hAnsi="Arial"/>
                <w:sz w:val="7"/>
                <w:szCs w:val="7"/>
                <w:b w:val="1"/>
                <w:bCs w:val="1"/>
                <w:color w:val="auto"/>
              </w:rPr>
              <w:t>ALTERNATIVE STRATEGY PORTFOLIO - Unconsolidated Properties</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92"/>
        </w:trPr>
        <w:tc>
          <w:tcPr>
            <w:tcW w:w="20" w:type="dxa"/>
            <w:vAlign w:val="bottom"/>
          </w:tcPr>
          <w:p>
            <w:pPr>
              <w:spacing w:after="0"/>
              <w:rPr>
                <w:sz w:val="8"/>
                <w:szCs w:val="8"/>
                <w:color w:val="auto"/>
              </w:rPr>
            </w:pPr>
          </w:p>
        </w:tc>
        <w:tc>
          <w:tcPr>
            <w:tcW w:w="1320" w:type="dxa"/>
            <w:vAlign w:val="bottom"/>
            <w:gridSpan w:val="2"/>
          </w:tcPr>
          <w:p>
            <w:pPr>
              <w:spacing w:after="0"/>
              <w:rPr>
                <w:sz w:val="20"/>
                <w:szCs w:val="20"/>
                <w:color w:val="auto"/>
              </w:rPr>
            </w:pPr>
            <w:r>
              <w:rPr>
                <w:rFonts w:ascii="Arial" w:cs="Arial" w:eastAsia="Arial" w:hAnsi="Arial"/>
                <w:sz w:val="7"/>
                <w:szCs w:val="7"/>
                <w:color w:val="auto"/>
              </w:rPr>
              <w:t>2 Herald Square</w:t>
            </w:r>
          </w:p>
        </w:tc>
        <w:tc>
          <w:tcPr>
            <w:tcW w:w="420" w:type="dxa"/>
            <w:vAlign w:val="bottom"/>
            <w:gridSpan w:val="2"/>
          </w:tcPr>
          <w:p>
            <w:pPr>
              <w:jc w:val="center"/>
              <w:ind w:left="4"/>
              <w:spacing w:after="0"/>
              <w:rPr>
                <w:sz w:val="20"/>
                <w:szCs w:val="20"/>
                <w:color w:val="auto"/>
              </w:rPr>
            </w:pPr>
            <w:r>
              <w:rPr>
                <w:rFonts w:ascii="Arial" w:cs="Arial" w:eastAsia="Arial" w:hAnsi="Arial"/>
                <w:sz w:val="7"/>
                <w:szCs w:val="7"/>
                <w:color w:val="auto"/>
              </w:rPr>
              <w:t>95.0</w:t>
            </w:r>
          </w:p>
        </w:tc>
        <w:tc>
          <w:tcPr>
            <w:tcW w:w="60" w:type="dxa"/>
            <w:vAlign w:val="bottom"/>
          </w:tcPr>
          <w:p>
            <w:pPr>
              <w:spacing w:after="0"/>
              <w:rPr>
                <w:sz w:val="8"/>
                <w:szCs w:val="8"/>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Herald Square</w:t>
            </w:r>
          </w:p>
        </w:tc>
        <w:tc>
          <w:tcPr>
            <w:tcW w:w="740" w:type="dxa"/>
            <w:vAlign w:val="bottom"/>
            <w:gridSpan w:val="3"/>
          </w:tcPr>
          <w:p>
            <w:pPr>
              <w:ind w:left="100"/>
              <w:spacing w:after="0"/>
              <w:rPr>
                <w:sz w:val="20"/>
                <w:szCs w:val="20"/>
                <w:color w:val="auto"/>
              </w:rPr>
            </w:pPr>
            <w:r>
              <w:rPr>
                <w:rFonts w:ascii="Arial" w:cs="Arial" w:eastAsia="Arial" w:hAnsi="Arial"/>
                <w:sz w:val="7"/>
                <w:szCs w:val="7"/>
                <w:color w:val="auto"/>
              </w:rPr>
              <w:t>Leasehold Interest</w:t>
            </w:r>
          </w:p>
        </w:tc>
        <w:tc>
          <w:tcPr>
            <w:tcW w:w="580" w:type="dxa"/>
            <w:vAlign w:val="bottom"/>
            <w:gridSpan w:val="2"/>
          </w:tcPr>
          <w:p>
            <w:pPr>
              <w:jc w:val="right"/>
              <w:ind w:right="4"/>
              <w:spacing w:after="0"/>
              <w:rPr>
                <w:sz w:val="20"/>
                <w:szCs w:val="20"/>
                <w:color w:val="auto"/>
              </w:rPr>
            </w:pPr>
            <w:r>
              <w:rPr>
                <w:rFonts w:ascii="Arial" w:cs="Arial" w:eastAsia="Arial" w:hAnsi="Arial"/>
                <w:sz w:val="7"/>
                <w:szCs w:val="7"/>
                <w:color w:val="auto"/>
              </w:rPr>
              <w:t>94,531</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6.3</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39.7</w:t>
            </w:r>
          </w:p>
        </w:tc>
        <w:tc>
          <w:tcPr>
            <w:tcW w:w="10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39.7</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40.6</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40.6</w:t>
            </w:r>
          </w:p>
        </w:tc>
        <w:tc>
          <w:tcPr>
            <w:tcW w:w="80" w:type="dxa"/>
            <w:vAlign w:val="bottom"/>
          </w:tcPr>
          <w:p>
            <w:pPr>
              <w:spacing w:after="0"/>
              <w:rPr>
                <w:sz w:val="8"/>
                <w:szCs w:val="8"/>
                <w:color w:val="auto"/>
              </w:rPr>
            </w:pPr>
          </w:p>
        </w:tc>
        <w:tc>
          <w:tcPr>
            <w:tcW w:w="520" w:type="dxa"/>
            <w:vAlign w:val="bottom"/>
          </w:tcPr>
          <w:p>
            <w:pPr>
              <w:jc w:val="center"/>
              <w:ind w:left="24"/>
              <w:spacing w:after="0"/>
              <w:rPr>
                <w:sz w:val="20"/>
                <w:szCs w:val="20"/>
                <w:color w:val="auto"/>
              </w:rPr>
            </w:pPr>
            <w:r>
              <w:rPr>
                <w:rFonts w:ascii="Arial" w:cs="Arial" w:eastAsia="Arial" w:hAnsi="Arial"/>
                <w:sz w:val="7"/>
                <w:szCs w:val="7"/>
                <w:color w:val="auto"/>
              </w:rPr>
              <w:t>$14,595</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$13,866</w:t>
            </w:r>
          </w:p>
        </w:tc>
        <w:tc>
          <w:tcPr>
            <w:tcW w:w="120" w:type="dxa"/>
            <w:vAlign w:val="bottom"/>
          </w:tcPr>
          <w:p>
            <w:pPr>
              <w:spacing w:after="0"/>
              <w:rPr>
                <w:sz w:val="8"/>
                <w:szCs w:val="8"/>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2</w:t>
            </w:r>
          </w:p>
        </w:tc>
      </w:tr>
      <w:tr>
        <w:trPr>
          <w:trHeight w:val="94"/>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Herald Square/Penn</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93"/>
        </w:trPr>
        <w:tc>
          <w:tcPr>
            <w:tcW w:w="20" w:type="dxa"/>
            <w:vAlign w:val="bottom"/>
          </w:tcPr>
          <w:p>
            <w:pPr>
              <w:spacing w:after="0"/>
              <w:rPr>
                <w:sz w:val="8"/>
                <w:szCs w:val="8"/>
                <w:color w:val="auto"/>
              </w:rPr>
            </w:pPr>
          </w:p>
        </w:tc>
        <w:tc>
          <w:tcPr>
            <w:tcW w:w="1320" w:type="dxa"/>
            <w:vAlign w:val="bottom"/>
            <w:gridSpan w:val="2"/>
          </w:tcPr>
          <w:p>
            <w:pPr>
              <w:spacing w:after="0"/>
              <w:rPr>
                <w:sz w:val="20"/>
                <w:szCs w:val="20"/>
                <w:color w:val="auto"/>
              </w:rPr>
            </w:pPr>
            <w:r>
              <w:rPr>
                <w:rFonts w:ascii="Arial" w:cs="Arial" w:eastAsia="Arial" w:hAnsi="Arial"/>
                <w:sz w:val="7"/>
                <w:szCs w:val="7"/>
                <w:color w:val="auto"/>
              </w:rPr>
              <w:t>11 West 34th Street</w:t>
            </w:r>
          </w:p>
        </w:tc>
        <w:tc>
          <w:tcPr>
            <w:tcW w:w="420" w:type="dxa"/>
            <w:vAlign w:val="bottom"/>
            <w:gridSpan w:val="2"/>
          </w:tcPr>
          <w:p>
            <w:pPr>
              <w:jc w:val="center"/>
              <w:ind w:left="4"/>
              <w:spacing w:after="0"/>
              <w:rPr>
                <w:sz w:val="20"/>
                <w:szCs w:val="20"/>
                <w:color w:val="auto"/>
              </w:rPr>
            </w:pPr>
            <w:r>
              <w:rPr>
                <w:rFonts w:ascii="Arial" w:cs="Arial" w:eastAsia="Arial" w:hAnsi="Arial"/>
                <w:sz w:val="7"/>
                <w:szCs w:val="7"/>
                <w:color w:val="auto"/>
              </w:rPr>
              <w:t>30.0</w:t>
            </w:r>
          </w:p>
        </w:tc>
        <w:tc>
          <w:tcPr>
            <w:tcW w:w="60" w:type="dxa"/>
            <w:vAlign w:val="bottom"/>
          </w:tcPr>
          <w:p>
            <w:pPr>
              <w:spacing w:after="0"/>
              <w:rPr>
                <w:sz w:val="8"/>
                <w:szCs w:val="8"/>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Station</w:t>
            </w:r>
          </w:p>
        </w:tc>
        <w:tc>
          <w:tcPr>
            <w:tcW w:w="74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80" w:type="dxa"/>
            <w:vAlign w:val="bottom"/>
            <w:gridSpan w:val="2"/>
          </w:tcPr>
          <w:p>
            <w:pPr>
              <w:jc w:val="right"/>
              <w:ind w:right="4"/>
              <w:spacing w:after="0"/>
              <w:rPr>
                <w:sz w:val="20"/>
                <w:szCs w:val="20"/>
                <w:color w:val="auto"/>
              </w:rPr>
            </w:pPr>
            <w:r>
              <w:rPr>
                <w:rFonts w:ascii="Arial" w:cs="Arial" w:eastAsia="Arial" w:hAnsi="Arial"/>
                <w:sz w:val="7"/>
                <w:szCs w:val="7"/>
                <w:color w:val="auto"/>
              </w:rPr>
              <w:t>17,150</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1.1</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8"/>
                <w:szCs w:val="8"/>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8"/>
                <w:szCs w:val="8"/>
                <w:color w:val="auto"/>
              </w:rPr>
            </w:pPr>
          </w:p>
        </w:tc>
        <w:tc>
          <w:tcPr>
            <w:tcW w:w="520" w:type="dxa"/>
            <w:vAlign w:val="bottom"/>
          </w:tcPr>
          <w:p>
            <w:pPr>
              <w:jc w:val="center"/>
              <w:ind w:left="24"/>
              <w:spacing w:after="0"/>
              <w:rPr>
                <w:sz w:val="20"/>
                <w:szCs w:val="20"/>
                <w:color w:val="auto"/>
              </w:rPr>
            </w:pPr>
            <w:r>
              <w:rPr>
                <w:rFonts w:ascii="Arial" w:cs="Arial" w:eastAsia="Arial" w:hAnsi="Arial"/>
                <w:sz w:val="7"/>
                <w:szCs w:val="7"/>
                <w:color w:val="auto"/>
              </w:rPr>
              <w:t>2,761</w:t>
            </w:r>
          </w:p>
        </w:tc>
        <w:tc>
          <w:tcPr>
            <w:tcW w:w="640" w:type="dxa"/>
            <w:vAlign w:val="bottom"/>
          </w:tcPr>
          <w:p>
            <w:pPr>
              <w:jc w:val="center"/>
              <w:ind w:left="4"/>
              <w:spacing w:after="0"/>
              <w:rPr>
                <w:sz w:val="20"/>
                <w:szCs w:val="20"/>
                <w:color w:val="auto"/>
              </w:rPr>
            </w:pPr>
            <w:r>
              <w:rPr>
                <w:rFonts w:ascii="Arial" w:cs="Arial" w:eastAsia="Arial" w:hAnsi="Arial"/>
                <w:sz w:val="7"/>
                <w:szCs w:val="7"/>
                <w:color w:val="auto"/>
              </w:rPr>
              <w:t>828</w:t>
            </w:r>
          </w:p>
        </w:tc>
        <w:tc>
          <w:tcPr>
            <w:tcW w:w="120" w:type="dxa"/>
            <w:vAlign w:val="bottom"/>
          </w:tcPr>
          <w:p>
            <w:pPr>
              <w:spacing w:after="0"/>
              <w:rPr>
                <w:sz w:val="8"/>
                <w:szCs w:val="8"/>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1</w:t>
            </w:r>
          </w:p>
        </w:tc>
      </w:tr>
      <w:tr>
        <w:trPr>
          <w:trHeight w:val="108"/>
        </w:trPr>
        <w:tc>
          <w:tcPr>
            <w:tcW w:w="20" w:type="dxa"/>
            <w:vAlign w:val="bottom"/>
          </w:tcPr>
          <w:p>
            <w:pPr>
              <w:spacing w:after="0"/>
              <w:rPr>
                <w:sz w:val="9"/>
                <w:szCs w:val="9"/>
                <w:color w:val="auto"/>
              </w:rPr>
            </w:pPr>
          </w:p>
        </w:tc>
        <w:tc>
          <w:tcPr>
            <w:tcW w:w="1320" w:type="dxa"/>
            <w:vAlign w:val="bottom"/>
            <w:gridSpan w:val="2"/>
          </w:tcPr>
          <w:p>
            <w:pPr>
              <w:spacing w:after="0"/>
              <w:rPr>
                <w:sz w:val="20"/>
                <w:szCs w:val="20"/>
                <w:color w:val="auto"/>
              </w:rPr>
            </w:pPr>
            <w:r>
              <w:rPr>
                <w:rFonts w:ascii="Arial" w:cs="Arial" w:eastAsia="Arial" w:hAnsi="Arial"/>
                <w:sz w:val="7"/>
                <w:szCs w:val="7"/>
                <w:color w:val="auto"/>
              </w:rPr>
              <w:t>115 Spring Street</w:t>
            </w:r>
          </w:p>
        </w:tc>
        <w:tc>
          <w:tcPr>
            <w:tcW w:w="420" w:type="dxa"/>
            <w:vAlign w:val="bottom"/>
            <w:gridSpan w:val="2"/>
          </w:tcPr>
          <w:p>
            <w:pPr>
              <w:jc w:val="center"/>
              <w:ind w:left="4"/>
              <w:spacing w:after="0"/>
              <w:rPr>
                <w:sz w:val="20"/>
                <w:szCs w:val="20"/>
                <w:color w:val="auto"/>
              </w:rPr>
            </w:pPr>
            <w:r>
              <w:rPr>
                <w:rFonts w:ascii="Arial" w:cs="Arial" w:eastAsia="Arial" w:hAnsi="Arial"/>
                <w:sz w:val="7"/>
                <w:szCs w:val="7"/>
                <w:color w:val="auto"/>
              </w:rPr>
              <w:t>51.0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Soho</w:t>
            </w:r>
          </w:p>
        </w:tc>
        <w:tc>
          <w:tcPr>
            <w:tcW w:w="74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80" w:type="dxa"/>
            <w:vAlign w:val="bottom"/>
            <w:gridSpan w:val="2"/>
          </w:tcPr>
          <w:p>
            <w:pPr>
              <w:jc w:val="right"/>
              <w:ind w:right="4"/>
              <w:spacing w:after="0"/>
              <w:rPr>
                <w:sz w:val="20"/>
                <w:szCs w:val="20"/>
                <w:color w:val="auto"/>
              </w:rPr>
            </w:pPr>
            <w:r>
              <w:rPr>
                <w:rFonts w:ascii="Arial" w:cs="Arial" w:eastAsia="Arial" w:hAnsi="Arial"/>
                <w:sz w:val="7"/>
                <w:szCs w:val="7"/>
                <w:color w:val="auto"/>
              </w:rPr>
              <w:t>5,218</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0.3</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20" w:type="dxa"/>
            <w:vAlign w:val="bottom"/>
          </w:tcPr>
          <w:p>
            <w:pPr>
              <w:jc w:val="center"/>
              <w:ind w:left="24"/>
              <w:spacing w:after="0"/>
              <w:rPr>
                <w:sz w:val="20"/>
                <w:szCs w:val="20"/>
                <w:color w:val="auto"/>
              </w:rPr>
            </w:pPr>
            <w:r>
              <w:rPr>
                <w:rFonts w:ascii="Arial" w:cs="Arial" w:eastAsia="Arial" w:hAnsi="Arial"/>
                <w:sz w:val="7"/>
                <w:szCs w:val="7"/>
                <w:color w:val="auto"/>
              </w:rPr>
              <w:t>4,195</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2,139</w:t>
            </w:r>
          </w:p>
        </w:tc>
        <w:tc>
          <w:tcPr>
            <w:tcW w:w="120" w:type="dxa"/>
            <w:vAlign w:val="bottom"/>
          </w:tcPr>
          <w:p>
            <w:pPr>
              <w:spacing w:after="0"/>
              <w:rPr>
                <w:sz w:val="9"/>
                <w:szCs w:val="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1</w:t>
            </w:r>
          </w:p>
        </w:tc>
      </w:tr>
      <w:tr>
        <w:trPr>
          <w:trHeight w:val="108"/>
        </w:trPr>
        <w:tc>
          <w:tcPr>
            <w:tcW w:w="20" w:type="dxa"/>
            <w:vAlign w:val="bottom"/>
          </w:tcPr>
          <w:p>
            <w:pPr>
              <w:spacing w:after="0"/>
              <w:rPr>
                <w:sz w:val="9"/>
                <w:szCs w:val="9"/>
                <w:color w:val="auto"/>
              </w:rPr>
            </w:pPr>
          </w:p>
        </w:tc>
        <w:tc>
          <w:tcPr>
            <w:tcW w:w="1320" w:type="dxa"/>
            <w:vAlign w:val="bottom"/>
            <w:gridSpan w:val="2"/>
          </w:tcPr>
          <w:p>
            <w:pPr>
              <w:spacing w:after="0"/>
              <w:rPr>
                <w:sz w:val="20"/>
                <w:szCs w:val="20"/>
                <w:color w:val="auto"/>
              </w:rPr>
            </w:pPr>
            <w:r>
              <w:rPr>
                <w:rFonts w:ascii="Arial" w:cs="Arial" w:eastAsia="Arial" w:hAnsi="Arial"/>
                <w:sz w:val="7"/>
                <w:szCs w:val="7"/>
                <w:color w:val="auto"/>
              </w:rPr>
              <w:t>650 Fifth Avenue</w:t>
            </w:r>
          </w:p>
        </w:tc>
        <w:tc>
          <w:tcPr>
            <w:tcW w:w="420" w:type="dxa"/>
            <w:vAlign w:val="bottom"/>
            <w:gridSpan w:val="2"/>
          </w:tcPr>
          <w:p>
            <w:pPr>
              <w:jc w:val="center"/>
              <w:ind w:left="4"/>
              <w:spacing w:after="0"/>
              <w:rPr>
                <w:sz w:val="20"/>
                <w:szCs w:val="20"/>
                <w:color w:val="auto"/>
              </w:rPr>
            </w:pPr>
            <w:r>
              <w:rPr>
                <w:rFonts w:ascii="Arial" w:cs="Arial" w:eastAsia="Arial" w:hAnsi="Arial"/>
                <w:sz w:val="7"/>
                <w:szCs w:val="7"/>
                <w:color w:val="auto"/>
              </w:rPr>
              <w:t>50.0</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740" w:type="dxa"/>
            <w:vAlign w:val="bottom"/>
            <w:gridSpan w:val="3"/>
          </w:tcPr>
          <w:p>
            <w:pPr>
              <w:ind w:left="100"/>
              <w:spacing w:after="0"/>
              <w:rPr>
                <w:sz w:val="20"/>
                <w:szCs w:val="20"/>
                <w:color w:val="auto"/>
              </w:rPr>
            </w:pPr>
            <w:r>
              <w:rPr>
                <w:rFonts w:ascii="Arial" w:cs="Arial" w:eastAsia="Arial" w:hAnsi="Arial"/>
                <w:sz w:val="7"/>
                <w:szCs w:val="7"/>
                <w:color w:val="auto"/>
              </w:rPr>
              <w:t>Leasehold Interest</w:t>
            </w:r>
          </w:p>
        </w:tc>
        <w:tc>
          <w:tcPr>
            <w:tcW w:w="580" w:type="dxa"/>
            <w:vAlign w:val="bottom"/>
            <w:gridSpan w:val="2"/>
          </w:tcPr>
          <w:p>
            <w:pPr>
              <w:jc w:val="right"/>
              <w:ind w:right="4"/>
              <w:spacing w:after="0"/>
              <w:rPr>
                <w:sz w:val="20"/>
                <w:szCs w:val="20"/>
                <w:color w:val="auto"/>
              </w:rPr>
            </w:pPr>
            <w:r>
              <w:rPr>
                <w:rFonts w:ascii="Arial" w:cs="Arial" w:eastAsia="Arial" w:hAnsi="Arial"/>
                <w:sz w:val="7"/>
                <w:szCs w:val="7"/>
                <w:color w:val="auto"/>
              </w:rPr>
              <w:t>69,214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4.6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9"/>
                <w:szCs w:val="9"/>
                <w:color w:val="auto"/>
              </w:rPr>
            </w:pPr>
          </w:p>
        </w:tc>
        <w:tc>
          <w:tcPr>
            <w:tcW w:w="520" w:type="dxa"/>
            <w:vAlign w:val="bottom"/>
          </w:tcPr>
          <w:p>
            <w:pPr>
              <w:jc w:val="center"/>
              <w:ind w:left="24"/>
              <w:spacing w:after="0"/>
              <w:rPr>
                <w:sz w:val="20"/>
                <w:szCs w:val="20"/>
                <w:color w:val="auto"/>
              </w:rPr>
            </w:pPr>
            <w:r>
              <w:rPr>
                <w:rFonts w:ascii="Arial" w:cs="Arial" w:eastAsia="Arial" w:hAnsi="Arial"/>
                <w:sz w:val="7"/>
                <w:szCs w:val="7"/>
                <w:color w:val="auto"/>
              </w:rPr>
              <w:t>43,839</w:t>
            </w:r>
          </w:p>
        </w:tc>
        <w:tc>
          <w:tcPr>
            <w:tcW w:w="640" w:type="dxa"/>
            <w:vAlign w:val="bottom"/>
          </w:tcPr>
          <w:p>
            <w:pPr>
              <w:jc w:val="center"/>
              <w:ind w:left="24"/>
              <w:spacing w:after="0"/>
              <w:rPr>
                <w:sz w:val="20"/>
                <w:szCs w:val="20"/>
                <w:color w:val="auto"/>
              </w:rPr>
            </w:pPr>
            <w:r>
              <w:rPr>
                <w:rFonts w:ascii="Arial" w:cs="Arial" w:eastAsia="Arial" w:hAnsi="Arial"/>
                <w:sz w:val="7"/>
                <w:szCs w:val="7"/>
                <w:color w:val="auto"/>
              </w:rPr>
              <w:t>21,920</w:t>
            </w:r>
          </w:p>
        </w:tc>
        <w:tc>
          <w:tcPr>
            <w:tcW w:w="120" w:type="dxa"/>
            <w:vAlign w:val="bottom"/>
          </w:tcPr>
          <w:p>
            <w:pPr>
              <w:spacing w:after="0"/>
              <w:rPr>
                <w:sz w:val="9"/>
                <w:szCs w:val="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1</w:t>
            </w:r>
          </w:p>
        </w:tc>
      </w:tr>
      <w:tr>
        <w:trPr>
          <w:trHeight w:val="108"/>
        </w:trPr>
        <w:tc>
          <w:tcPr>
            <w:tcW w:w="20" w:type="dxa"/>
            <w:vAlign w:val="bottom"/>
          </w:tcPr>
          <w:p>
            <w:pPr>
              <w:spacing w:after="0"/>
              <w:rPr>
                <w:sz w:val="9"/>
                <w:szCs w:val="9"/>
                <w:color w:val="auto"/>
              </w:rPr>
            </w:pPr>
          </w:p>
        </w:tc>
        <w:tc>
          <w:tcPr>
            <w:tcW w:w="1320" w:type="dxa"/>
            <w:vAlign w:val="bottom"/>
            <w:gridSpan w:val="2"/>
          </w:tcPr>
          <w:p>
            <w:pPr>
              <w:spacing w:after="0"/>
              <w:rPr>
                <w:sz w:val="20"/>
                <w:szCs w:val="20"/>
                <w:color w:val="auto"/>
              </w:rPr>
            </w:pPr>
            <w:r>
              <w:rPr>
                <w:rFonts w:ascii="Arial" w:cs="Arial" w:eastAsia="Arial" w:hAnsi="Arial"/>
                <w:sz w:val="7"/>
                <w:szCs w:val="7"/>
                <w:color w:val="auto"/>
              </w:rPr>
              <w:t>Worldwide Plaza</w:t>
            </w:r>
          </w:p>
        </w:tc>
        <w:tc>
          <w:tcPr>
            <w:tcW w:w="420" w:type="dxa"/>
            <w:vAlign w:val="bottom"/>
            <w:gridSpan w:val="2"/>
          </w:tcPr>
          <w:p>
            <w:pPr>
              <w:jc w:val="center"/>
              <w:ind w:left="4"/>
              <w:spacing w:after="0"/>
              <w:rPr>
                <w:sz w:val="20"/>
                <w:szCs w:val="20"/>
                <w:color w:val="auto"/>
              </w:rPr>
            </w:pPr>
            <w:r>
              <w:rPr>
                <w:rFonts w:ascii="Arial" w:cs="Arial" w:eastAsia="Arial" w:hAnsi="Arial"/>
                <w:sz w:val="7"/>
                <w:szCs w:val="7"/>
                <w:color w:val="auto"/>
              </w:rPr>
              <w:t>25.1</w:t>
            </w: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7"/>
                <w:szCs w:val="7"/>
                <w:color w:val="auto"/>
              </w:rPr>
              <w:t>Westside</w:t>
            </w:r>
          </w:p>
        </w:tc>
        <w:tc>
          <w:tcPr>
            <w:tcW w:w="740" w:type="dxa"/>
            <w:vAlign w:val="bottom"/>
            <w:gridSpan w:val="3"/>
          </w:tcPr>
          <w:p>
            <w:pPr>
              <w:ind w:left="100"/>
              <w:spacing w:after="0"/>
              <w:rPr>
                <w:sz w:val="20"/>
                <w:szCs w:val="20"/>
                <w:color w:val="auto"/>
              </w:rPr>
            </w:pPr>
            <w:r>
              <w:rPr>
                <w:rFonts w:ascii="Arial" w:cs="Arial" w:eastAsia="Arial" w:hAnsi="Arial"/>
                <w:sz w:val="7"/>
                <w:szCs w:val="7"/>
                <w:color w:val="auto"/>
              </w:rPr>
              <w:t>Fee Interest</w:t>
            </w:r>
          </w:p>
        </w:tc>
        <w:tc>
          <w:tcPr>
            <w:tcW w:w="580" w:type="dxa"/>
            <w:vAlign w:val="bottom"/>
            <w:gridSpan w:val="2"/>
          </w:tcPr>
          <w:p>
            <w:pPr>
              <w:jc w:val="right"/>
              <w:ind w:right="4"/>
              <w:spacing w:after="0"/>
              <w:rPr>
                <w:sz w:val="20"/>
                <w:szCs w:val="20"/>
                <w:color w:val="auto"/>
              </w:rPr>
            </w:pPr>
            <w:r>
              <w:rPr>
                <w:rFonts w:ascii="Arial" w:cs="Arial" w:eastAsia="Arial" w:hAnsi="Arial"/>
                <w:sz w:val="7"/>
                <w:szCs w:val="7"/>
                <w:color w:val="auto"/>
              </w:rPr>
              <w:t>10,592</w:t>
            </w:r>
          </w:p>
        </w:tc>
        <w:tc>
          <w:tcPr>
            <w:tcW w:w="20" w:type="dxa"/>
            <w:vAlign w:val="bottom"/>
          </w:tcPr>
          <w:p>
            <w:pPr>
              <w:spacing w:after="0"/>
              <w:rPr>
                <w:sz w:val="9"/>
                <w:szCs w:val="9"/>
                <w:color w:val="auto"/>
              </w:rPr>
            </w:pPr>
          </w:p>
        </w:tc>
        <w:tc>
          <w:tcPr>
            <w:tcW w:w="160" w:type="dxa"/>
            <w:vAlign w:val="bottom"/>
          </w:tcPr>
          <w:p>
            <w:pPr>
              <w:jc w:val="right"/>
              <w:ind w:right="24"/>
              <w:spacing w:after="0"/>
              <w:rPr>
                <w:sz w:val="20"/>
                <w:szCs w:val="20"/>
                <w:color w:val="auto"/>
              </w:rPr>
            </w:pPr>
            <w:r>
              <w:rPr>
                <w:rFonts w:ascii="Arial" w:cs="Arial" w:eastAsia="Arial" w:hAnsi="Arial"/>
                <w:sz w:val="7"/>
                <w:szCs w:val="7"/>
                <w:color w:val="auto"/>
                <w:w w:val="92"/>
              </w:rPr>
              <w:t>(4)</w:t>
            </w:r>
          </w:p>
        </w:tc>
        <w:tc>
          <w:tcPr>
            <w:tcW w:w="460" w:type="dxa"/>
            <w:vAlign w:val="bottom"/>
            <w:gridSpan w:val="2"/>
          </w:tcPr>
          <w:p>
            <w:pPr>
              <w:jc w:val="right"/>
              <w:ind w:right="44"/>
              <w:spacing w:after="0"/>
              <w:rPr>
                <w:sz w:val="20"/>
                <w:szCs w:val="20"/>
                <w:color w:val="auto"/>
              </w:rPr>
            </w:pPr>
            <w:r>
              <w:rPr>
                <w:rFonts w:ascii="Arial" w:cs="Arial" w:eastAsia="Arial" w:hAnsi="Arial"/>
                <w:sz w:val="7"/>
                <w:szCs w:val="7"/>
                <w:color w:val="auto"/>
              </w:rPr>
              <w:t>0.7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ind w:right="64"/>
              <w:spacing w:after="0"/>
              <w:rPr>
                <w:sz w:val="20"/>
                <w:szCs w:val="20"/>
                <w:color w:val="auto"/>
              </w:rPr>
            </w:pPr>
            <w:r>
              <w:rPr>
                <w:rFonts w:ascii="Arial" w:cs="Arial" w:eastAsia="Arial" w:hAnsi="Arial"/>
                <w:sz w:val="7"/>
                <w:szCs w:val="7"/>
                <w:color w:val="auto"/>
              </w:rPr>
              <w:t>84.9</w:t>
            </w:r>
          </w:p>
        </w:tc>
        <w:tc>
          <w:tcPr>
            <w:tcW w:w="100" w:type="dxa"/>
            <w:vAlign w:val="bottom"/>
          </w:tcPr>
          <w:p>
            <w:pPr>
              <w:spacing w:after="0"/>
              <w:rPr>
                <w:sz w:val="9"/>
                <w:szCs w:val="9"/>
                <w:color w:val="auto"/>
              </w:rPr>
            </w:pP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84.9</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84.9</w:t>
            </w:r>
          </w:p>
        </w:tc>
        <w:tc>
          <w:tcPr>
            <w:tcW w:w="80" w:type="dxa"/>
            <w:vAlign w:val="bottom"/>
          </w:tcPr>
          <w:p>
            <w:pPr>
              <w:spacing w:after="0"/>
              <w:rPr>
                <w:sz w:val="9"/>
                <w:szCs w:val="9"/>
                <w:color w:val="auto"/>
              </w:rPr>
            </w:pPr>
          </w:p>
        </w:tc>
        <w:tc>
          <w:tcPr>
            <w:tcW w:w="560" w:type="dxa"/>
            <w:vAlign w:val="bottom"/>
          </w:tcPr>
          <w:p>
            <w:pPr>
              <w:jc w:val="right"/>
              <w:ind w:right="64"/>
              <w:spacing w:after="0"/>
              <w:rPr>
                <w:sz w:val="20"/>
                <w:szCs w:val="20"/>
                <w:color w:val="auto"/>
              </w:rPr>
            </w:pPr>
            <w:r>
              <w:rPr>
                <w:rFonts w:ascii="Arial" w:cs="Arial" w:eastAsia="Arial" w:hAnsi="Arial"/>
                <w:sz w:val="7"/>
                <w:szCs w:val="7"/>
                <w:color w:val="auto"/>
              </w:rPr>
              <w:t>84.9</w:t>
            </w:r>
          </w:p>
        </w:tc>
        <w:tc>
          <w:tcPr>
            <w:tcW w:w="80" w:type="dxa"/>
            <w:vAlign w:val="bottom"/>
          </w:tcPr>
          <w:p>
            <w:pPr>
              <w:spacing w:after="0"/>
              <w:rPr>
                <w:sz w:val="9"/>
                <w:szCs w:val="9"/>
                <w:color w:val="auto"/>
              </w:rPr>
            </w:pPr>
          </w:p>
        </w:tc>
        <w:tc>
          <w:tcPr>
            <w:tcW w:w="520" w:type="dxa"/>
            <w:vAlign w:val="bottom"/>
          </w:tcPr>
          <w:p>
            <w:pPr>
              <w:jc w:val="center"/>
              <w:ind w:left="24"/>
              <w:spacing w:after="0"/>
              <w:rPr>
                <w:sz w:val="20"/>
                <w:szCs w:val="20"/>
                <w:color w:val="auto"/>
              </w:rPr>
            </w:pPr>
            <w:r>
              <w:rPr>
                <w:rFonts w:ascii="Arial" w:cs="Arial" w:eastAsia="Arial" w:hAnsi="Arial"/>
                <w:sz w:val="7"/>
                <w:szCs w:val="7"/>
                <w:color w:val="auto"/>
              </w:rPr>
              <w:t>1,275</w:t>
            </w:r>
          </w:p>
        </w:tc>
        <w:tc>
          <w:tcPr>
            <w:tcW w:w="640" w:type="dxa"/>
            <w:vAlign w:val="bottom"/>
          </w:tcPr>
          <w:p>
            <w:pPr>
              <w:jc w:val="center"/>
              <w:ind w:left="4"/>
              <w:spacing w:after="0"/>
              <w:rPr>
                <w:sz w:val="20"/>
                <w:szCs w:val="20"/>
                <w:color w:val="auto"/>
              </w:rPr>
            </w:pPr>
            <w:r>
              <w:rPr>
                <w:rFonts w:ascii="Arial" w:cs="Arial" w:eastAsia="Arial" w:hAnsi="Arial"/>
                <w:sz w:val="7"/>
                <w:szCs w:val="7"/>
                <w:color w:val="auto"/>
              </w:rPr>
              <w:t>319</w:t>
            </w:r>
          </w:p>
        </w:tc>
        <w:tc>
          <w:tcPr>
            <w:tcW w:w="120" w:type="dxa"/>
            <w:vAlign w:val="bottom"/>
          </w:tcPr>
          <w:p>
            <w:pPr>
              <w:spacing w:after="0"/>
              <w:rPr>
                <w:sz w:val="9"/>
                <w:szCs w:val="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7</w:t>
            </w:r>
          </w:p>
        </w:tc>
      </w:tr>
      <w:tr>
        <w:trPr>
          <w:trHeight w:val="47"/>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gridSpan w:val="4"/>
          </w:tcPr>
          <w:p>
            <w:pPr>
              <w:ind w:left="60"/>
              <w:spacing w:after="0"/>
              <w:rPr>
                <w:sz w:val="20"/>
                <w:szCs w:val="20"/>
                <w:color w:val="auto"/>
              </w:rPr>
            </w:pPr>
            <w:r>
              <w:rPr>
                <w:rFonts w:ascii="Arial" w:cs="Arial" w:eastAsia="Arial" w:hAnsi="Arial"/>
                <w:sz w:val="7"/>
                <w:szCs w:val="7"/>
                <w:b w:val="1"/>
                <w:bCs w:val="1"/>
                <w:color w:val="auto"/>
              </w:rPr>
              <w:t>Subtotal / Weighted Average</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196,705</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spacing w:after="0"/>
              <w:rPr>
                <w:sz w:val="20"/>
                <w:szCs w:val="20"/>
                <w:color w:val="auto"/>
              </w:rPr>
            </w:pPr>
            <w:r>
              <w:rPr>
                <w:rFonts w:ascii="Arial" w:cs="Arial" w:eastAsia="Arial" w:hAnsi="Arial"/>
                <w:sz w:val="7"/>
                <w:szCs w:val="7"/>
                <w:b w:val="1"/>
                <w:bCs w:val="1"/>
                <w:color w:val="auto"/>
              </w:rPr>
              <w:t>13.0 %</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70.2 %</w:t>
            </w:r>
          </w:p>
        </w:tc>
        <w:tc>
          <w:tcPr>
            <w:tcW w:w="1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70.2 %</w:t>
            </w:r>
          </w:p>
        </w:tc>
        <w:tc>
          <w:tcPr>
            <w:tcW w:w="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70.6 %</w:t>
            </w:r>
          </w:p>
        </w:tc>
        <w:tc>
          <w:tcPr>
            <w:tcW w:w="8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70.6 %</w:t>
            </w:r>
          </w:p>
        </w:tc>
        <w:tc>
          <w:tcPr>
            <w:tcW w:w="80" w:type="dxa"/>
            <w:vAlign w:val="bottom"/>
          </w:tcPr>
          <w:p>
            <w:pPr>
              <w:spacing w:after="0"/>
              <w:rPr>
                <w:sz w:val="8"/>
                <w:szCs w:val="8"/>
                <w:color w:val="auto"/>
              </w:rPr>
            </w:pPr>
          </w:p>
        </w:tc>
        <w:tc>
          <w:tcPr>
            <w:tcW w:w="520" w:type="dxa"/>
            <w:vAlign w:val="bottom"/>
          </w:tcPr>
          <w:p>
            <w:pPr>
              <w:jc w:val="center"/>
              <w:ind w:left="24"/>
              <w:spacing w:after="0"/>
              <w:rPr>
                <w:sz w:val="20"/>
                <w:szCs w:val="20"/>
                <w:color w:val="auto"/>
              </w:rPr>
            </w:pPr>
            <w:r>
              <w:rPr>
                <w:rFonts w:ascii="Arial" w:cs="Arial" w:eastAsia="Arial" w:hAnsi="Arial"/>
                <w:sz w:val="7"/>
                <w:szCs w:val="7"/>
                <w:b w:val="1"/>
                <w:bCs w:val="1"/>
                <w:color w:val="auto"/>
              </w:rPr>
              <w:t>$66,665</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$39,072</w:t>
            </w:r>
          </w:p>
        </w:tc>
        <w:tc>
          <w:tcPr>
            <w:tcW w:w="120" w:type="dxa"/>
            <w:vAlign w:val="bottom"/>
          </w:tcPr>
          <w:p>
            <w:pPr>
              <w:spacing w:after="0"/>
              <w:rPr>
                <w:sz w:val="8"/>
                <w:szCs w:val="8"/>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b w:val="1"/>
                <w:bCs w:val="1"/>
                <w:color w:val="auto"/>
              </w:rPr>
              <w:t>12</w:t>
            </w:r>
          </w:p>
        </w:tc>
      </w:tr>
      <w:tr>
        <w:trPr>
          <w:trHeight w:val="216"/>
        </w:trPr>
        <w:tc>
          <w:tcPr>
            <w:tcW w:w="2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Arial" w:cs="Arial" w:eastAsia="Arial" w:hAnsi="Arial"/>
                <w:sz w:val="7"/>
                <w:szCs w:val="7"/>
                <w:b w:val="1"/>
                <w:bCs w:val="1"/>
                <w:color w:val="auto"/>
              </w:rPr>
              <w:t>Total / Weighted Average Alternative Strategy Portfolio</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196,705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7"/>
                <w:szCs w:val="7"/>
                <w:b w:val="1"/>
                <w:bCs w:val="1"/>
                <w:color w:val="auto"/>
              </w:rPr>
              <w:t>13.0 %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70.2 %</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70.2 %</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70.6 %</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70.6 %</w:t>
            </w:r>
          </w:p>
        </w:tc>
        <w:tc>
          <w:tcPr>
            <w:tcW w:w="80" w:type="dxa"/>
            <w:vAlign w:val="bottom"/>
          </w:tcPr>
          <w:p>
            <w:pPr>
              <w:spacing w:after="0"/>
              <w:rPr>
                <w:sz w:val="18"/>
                <w:szCs w:val="18"/>
                <w:color w:val="auto"/>
              </w:rPr>
            </w:pPr>
          </w:p>
        </w:tc>
        <w:tc>
          <w:tcPr>
            <w:tcW w:w="520" w:type="dxa"/>
            <w:vAlign w:val="bottom"/>
          </w:tcPr>
          <w:p>
            <w:pPr>
              <w:jc w:val="center"/>
              <w:ind w:left="24"/>
              <w:spacing w:after="0"/>
              <w:rPr>
                <w:sz w:val="20"/>
                <w:szCs w:val="20"/>
                <w:color w:val="auto"/>
              </w:rPr>
            </w:pPr>
            <w:r>
              <w:rPr>
                <w:rFonts w:ascii="Arial" w:cs="Arial" w:eastAsia="Arial" w:hAnsi="Arial"/>
                <w:sz w:val="7"/>
                <w:szCs w:val="7"/>
                <w:b w:val="1"/>
                <w:bCs w:val="1"/>
                <w:color w:val="auto"/>
              </w:rPr>
              <w:t>$66,665</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$39,072</w:t>
            </w:r>
          </w:p>
        </w:tc>
        <w:tc>
          <w:tcPr>
            <w:tcW w:w="120" w:type="dxa"/>
            <w:vAlign w:val="bottom"/>
          </w:tcPr>
          <w:p>
            <w:pPr>
              <w:spacing w:after="0"/>
              <w:rPr>
                <w:sz w:val="18"/>
                <w:szCs w:val="18"/>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b w:val="1"/>
                <w:bCs w:val="1"/>
                <w:color w:val="auto"/>
              </w:rPr>
              <w:t>12</w:t>
            </w:r>
          </w:p>
        </w:tc>
      </w:tr>
      <w:tr>
        <w:trPr>
          <w:trHeight w:val="112"/>
        </w:trPr>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124"/>
        </w:trPr>
        <w:tc>
          <w:tcPr>
            <w:tcW w:w="20" w:type="dxa"/>
            <w:vAlign w:val="bottom"/>
            <w:shd w:val="clear" w:color="auto" w:fill="000000"/>
          </w:tcPr>
          <w:p>
            <w:pPr>
              <w:spacing w:after="0"/>
              <w:rPr>
                <w:sz w:val="10"/>
                <w:szCs w:val="10"/>
                <w:color w:val="auto"/>
              </w:rPr>
            </w:pPr>
          </w:p>
        </w:tc>
        <w:tc>
          <w:tcPr>
            <w:tcW w:w="1320" w:type="dxa"/>
            <w:vAlign w:val="bottom"/>
            <w:gridSpan w:val="2"/>
          </w:tcPr>
          <w:p>
            <w:pPr>
              <w:spacing w:after="0"/>
              <w:rPr>
                <w:sz w:val="20"/>
                <w:szCs w:val="20"/>
                <w:color w:val="auto"/>
              </w:rPr>
            </w:pPr>
            <w:r>
              <w:rPr>
                <w:rFonts w:ascii="Arial" w:cs="Arial" w:eastAsia="Arial" w:hAnsi="Arial"/>
                <w:sz w:val="7"/>
                <w:szCs w:val="7"/>
                <w:b w:val="1"/>
                <w:bCs w:val="1"/>
                <w:color w:val="auto"/>
              </w:rPr>
              <w:t>Retail Grand Total / Weighted Average</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gridSpan w:val="2"/>
          </w:tcPr>
          <w:p>
            <w:pPr>
              <w:jc w:val="right"/>
              <w:ind w:right="4"/>
              <w:spacing w:after="0"/>
              <w:rPr>
                <w:sz w:val="20"/>
                <w:szCs w:val="20"/>
                <w:color w:val="auto"/>
              </w:rPr>
            </w:pPr>
            <w:r>
              <w:rPr>
                <w:rFonts w:ascii="Arial" w:cs="Arial" w:eastAsia="Arial" w:hAnsi="Arial"/>
                <w:sz w:val="7"/>
                <w:szCs w:val="7"/>
                <w:b w:val="1"/>
                <w:bCs w:val="1"/>
                <w:color w:val="auto"/>
              </w:rPr>
              <w:t>1,508,387</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7"/>
                <w:szCs w:val="7"/>
                <w:b w:val="1"/>
                <w:bCs w:val="1"/>
                <w:color w:val="auto"/>
              </w:rPr>
              <w:t>100.0 %</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89.0 %</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88.6 %</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89.9 %</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88.7 %</w:t>
            </w:r>
          </w:p>
        </w:tc>
        <w:tc>
          <w:tcPr>
            <w:tcW w:w="80" w:type="dxa"/>
            <w:vAlign w:val="bottom"/>
          </w:tcPr>
          <w:p>
            <w:pPr>
              <w:spacing w:after="0"/>
              <w:rPr>
                <w:sz w:val="10"/>
                <w:szCs w:val="10"/>
                <w:color w:val="auto"/>
              </w:rPr>
            </w:pPr>
          </w:p>
        </w:tc>
        <w:tc>
          <w:tcPr>
            <w:tcW w:w="520" w:type="dxa"/>
            <w:vAlign w:val="bottom"/>
          </w:tcPr>
          <w:p>
            <w:pPr>
              <w:jc w:val="center"/>
              <w:ind w:left="24"/>
              <w:spacing w:after="0"/>
              <w:rPr>
                <w:sz w:val="20"/>
                <w:szCs w:val="20"/>
                <w:color w:val="auto"/>
              </w:rPr>
            </w:pPr>
            <w:r>
              <w:rPr>
                <w:rFonts w:ascii="Arial" w:cs="Arial" w:eastAsia="Arial" w:hAnsi="Arial"/>
                <w:sz w:val="7"/>
                <w:szCs w:val="7"/>
                <w:b w:val="1"/>
                <w:bCs w:val="1"/>
                <w:color w:val="auto"/>
              </w:rPr>
              <w:t>$213,394</w:t>
            </w:r>
          </w:p>
        </w:tc>
        <w:tc>
          <w:tcPr>
            <w:tcW w:w="640" w:type="dxa"/>
            <w:vAlign w:val="bottom"/>
          </w:tcPr>
          <w:p>
            <w:pPr>
              <w:jc w:val="center"/>
              <w:ind w:left="24"/>
              <w:spacing w:after="0"/>
              <w:rPr>
                <w:sz w:val="20"/>
                <w:szCs w:val="20"/>
                <w:color w:val="auto"/>
              </w:rPr>
            </w:pPr>
            <w:r>
              <w:rPr>
                <w:rFonts w:ascii="Arial" w:cs="Arial" w:eastAsia="Arial" w:hAnsi="Arial"/>
                <w:sz w:val="7"/>
                <w:szCs w:val="7"/>
                <w:b w:val="1"/>
                <w:bCs w:val="1"/>
                <w:color w:val="auto"/>
              </w:rPr>
              <w:t>$156,035</w:t>
            </w:r>
          </w:p>
        </w:tc>
        <w:tc>
          <w:tcPr>
            <w:tcW w:w="120" w:type="dxa"/>
            <w:vAlign w:val="bottom"/>
          </w:tcPr>
          <w:p>
            <w:pPr>
              <w:spacing w:after="0"/>
              <w:rPr>
                <w:sz w:val="10"/>
                <w:szCs w:val="10"/>
                <w:color w:val="auto"/>
              </w:rPr>
            </w:pPr>
          </w:p>
        </w:tc>
        <w:tc>
          <w:tcPr>
            <w:tcW w:w="540" w:type="dxa"/>
            <w:vAlign w:val="bottom"/>
            <w:tcBorders>
              <w:right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143</w:t>
            </w:r>
          </w:p>
        </w:tc>
      </w:tr>
      <w:tr>
        <w:trPr>
          <w:trHeight w:val="43"/>
        </w:trPr>
        <w:tc>
          <w:tcPr>
            <w:tcW w:w="20" w:type="dxa"/>
            <w:vAlign w:val="bottom"/>
            <w:tcBorders>
              <w:bottom w:val="single" w:sz="8" w:color="auto"/>
            </w:tcBorders>
            <w:shd w:val="clear" w:color="auto" w:fill="000000"/>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bl>
    <w:p>
      <w:pPr>
        <w:spacing w:after="0" w:line="76" w:lineRule="exact"/>
        <w:rPr>
          <w:sz w:val="20"/>
          <w:szCs w:val="20"/>
          <w:color w:val="auto"/>
        </w:rPr>
      </w:pPr>
    </w:p>
    <w:p>
      <w:pPr>
        <w:ind w:left="120" w:hanging="107"/>
        <w:spacing w:after="0"/>
        <w:tabs>
          <w:tab w:leader="none" w:pos="120" w:val="left"/>
        </w:tabs>
        <w:numPr>
          <w:ilvl w:val="0"/>
          <w:numId w:val="23"/>
        </w:numPr>
        <w:rPr>
          <w:rFonts w:ascii="Arial" w:cs="Arial" w:eastAsia="Arial" w:hAnsi="Arial"/>
          <w:sz w:val="7"/>
          <w:szCs w:val="7"/>
          <w:color w:val="auto"/>
        </w:rPr>
      </w:pPr>
      <w:r>
        <w:rPr>
          <w:rFonts w:ascii="Arial" w:cs="Arial" w:eastAsia="Arial" w:hAnsi="Arial"/>
          <w:sz w:val="7"/>
          <w:szCs w:val="7"/>
          <w:color w:val="auto"/>
        </w:rPr>
        <w:t>Represents the rentable square footage at the time the property was acquired.</w:t>
      </w:r>
    </w:p>
    <w:p>
      <w:pPr>
        <w:spacing w:after="0" w:line="37" w:lineRule="exact"/>
        <w:rPr>
          <w:rFonts w:ascii="Arial" w:cs="Arial" w:eastAsia="Arial" w:hAnsi="Arial"/>
          <w:sz w:val="7"/>
          <w:szCs w:val="7"/>
          <w:color w:val="auto"/>
        </w:rPr>
      </w:pPr>
    </w:p>
    <w:p>
      <w:pPr>
        <w:ind w:left="120" w:hanging="107"/>
        <w:spacing w:after="0"/>
        <w:tabs>
          <w:tab w:leader="none" w:pos="120" w:val="left"/>
        </w:tabs>
        <w:numPr>
          <w:ilvl w:val="0"/>
          <w:numId w:val="23"/>
        </w:numPr>
        <w:rPr>
          <w:rFonts w:ascii="Arial" w:cs="Arial" w:eastAsia="Arial" w:hAnsi="Arial"/>
          <w:sz w:val="7"/>
          <w:szCs w:val="7"/>
          <w:color w:val="auto"/>
        </w:rPr>
      </w:pPr>
      <w:r>
        <w:rPr>
          <w:rFonts w:ascii="Arial" w:cs="Arial" w:eastAsia="Arial" w:hAnsi="Arial"/>
          <w:sz w:val="7"/>
          <w:szCs w:val="7"/>
          <w:color w:val="auto"/>
        </w:rPr>
        <w:t>Calculated based on the square footage leased under executed leases as of the reporting date, regardless of whether the leases have commenced or the tenants have taken possession.</w:t>
      </w:r>
    </w:p>
    <w:p>
      <w:pPr>
        <w:spacing w:after="0" w:line="37" w:lineRule="exact"/>
        <w:rPr>
          <w:rFonts w:ascii="Arial" w:cs="Arial" w:eastAsia="Arial" w:hAnsi="Arial"/>
          <w:sz w:val="7"/>
          <w:szCs w:val="7"/>
          <w:color w:val="auto"/>
        </w:rPr>
      </w:pPr>
    </w:p>
    <w:p>
      <w:pPr>
        <w:ind w:left="120" w:hanging="107"/>
        <w:spacing w:after="0"/>
        <w:tabs>
          <w:tab w:leader="none" w:pos="120" w:val="left"/>
        </w:tabs>
        <w:numPr>
          <w:ilvl w:val="0"/>
          <w:numId w:val="23"/>
        </w:numPr>
        <w:rPr>
          <w:rFonts w:ascii="Arial" w:cs="Arial" w:eastAsia="Arial" w:hAnsi="Arial"/>
          <w:sz w:val="7"/>
          <w:szCs w:val="7"/>
          <w:color w:val="auto"/>
        </w:rPr>
      </w:pPr>
      <w:r>
        <w:rPr>
          <w:rFonts w:ascii="Arial" w:cs="Arial" w:eastAsia="Arial" w:hAnsi="Arial"/>
          <w:sz w:val="7"/>
          <w:szCs w:val="7"/>
          <w:color w:val="auto"/>
        </w:rPr>
        <w:t>Calculated based on the square footage for which lease terms have commenced per the underlying lease. For GAAP purposes revenue may not yet be recognized for certain commenced leases as of the reporting date.</w:t>
      </w:r>
    </w:p>
    <w:p>
      <w:pPr>
        <w:spacing w:after="0" w:line="37" w:lineRule="exact"/>
        <w:rPr>
          <w:rFonts w:ascii="Arial" w:cs="Arial" w:eastAsia="Arial" w:hAnsi="Arial"/>
          <w:sz w:val="7"/>
          <w:szCs w:val="7"/>
          <w:color w:val="auto"/>
        </w:rPr>
      </w:pPr>
    </w:p>
    <w:p>
      <w:pPr>
        <w:ind w:left="120" w:hanging="107"/>
        <w:spacing w:after="0"/>
        <w:tabs>
          <w:tab w:leader="none" w:pos="120" w:val="left"/>
        </w:tabs>
        <w:numPr>
          <w:ilvl w:val="0"/>
          <w:numId w:val="23"/>
        </w:numPr>
        <w:rPr>
          <w:rFonts w:ascii="Arial" w:cs="Arial" w:eastAsia="Arial" w:hAnsi="Arial"/>
          <w:sz w:val="7"/>
          <w:szCs w:val="7"/>
          <w:color w:val="auto"/>
        </w:rPr>
      </w:pPr>
      <w:r>
        <w:rPr>
          <w:rFonts w:ascii="Arial" w:cs="Arial" w:eastAsia="Arial" w:hAnsi="Arial"/>
          <w:sz w:val="7"/>
          <w:szCs w:val="7"/>
          <w:color w:val="auto"/>
        </w:rPr>
        <w:t>Excludes the theatre, parking garage, fitness gym and other amenity space totaling 241,371 square feet.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440" w:val="left"/>
          <w:tab w:leader="none" w:pos="828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33</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60"/>
          </w:cols>
          <w:pgMar w:left="1420" w:top="298" w:right="141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 xml:space="preserve">LARGEST TENANTS BY SLG SHARE OF ANNUALIZED CASH RENT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577659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-58420</wp:posOffset>
            </wp:positionV>
            <wp:extent cx="1136650" cy="324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 Except Per 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577659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620" w:type="dxa"/>
        <w:tblCellMar>
          <w:top w:w="0" w:type="dxa"/>
          <w:left w:w="0" w:type="dxa"/>
          <w:bottom w:w="0" w:type="dxa"/>
          <w:right w:w="0" w:type="dxa"/>
        </w:tblCellMar>
      </w:tblPr>
      <w:tr>
        <w:trPr>
          <w:trHeight w:val="92"/>
        </w:trPr>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vMerge w:val="restart"/>
          </w:tcPr>
          <w:p>
            <w:pPr>
              <w:jc w:val="center"/>
              <w:ind w:left="181"/>
              <w:spacing w:after="0"/>
              <w:rPr>
                <w:sz w:val="20"/>
                <w:szCs w:val="20"/>
                <w:color w:val="auto"/>
              </w:rPr>
            </w:pPr>
            <w:r>
              <w:rPr>
                <w:rFonts w:ascii="Arial" w:cs="Arial" w:eastAsia="Arial" w:hAnsi="Arial"/>
                <w:sz w:val="8"/>
                <w:szCs w:val="8"/>
                <w:b w:val="1"/>
                <w:bCs w:val="1"/>
                <w:color w:val="auto"/>
                <w:w w:val="96"/>
              </w:rPr>
              <w:t>Ownership</w:t>
            </w:r>
          </w:p>
        </w:tc>
        <w:tc>
          <w:tcPr>
            <w:tcW w:w="64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6"/>
              </w:rPr>
              <w:t>Lease</w:t>
            </w:r>
          </w:p>
        </w:tc>
        <w:tc>
          <w:tcPr>
            <w:tcW w:w="660" w:type="dxa"/>
            <w:vAlign w:val="bottom"/>
            <w:vMerge w:val="restart"/>
          </w:tcPr>
          <w:p>
            <w:pPr>
              <w:ind w:left="60"/>
              <w:spacing w:after="0"/>
              <w:rPr>
                <w:sz w:val="20"/>
                <w:szCs w:val="20"/>
                <w:color w:val="auto"/>
              </w:rPr>
            </w:pPr>
            <w:r>
              <w:rPr>
                <w:rFonts w:ascii="Arial" w:cs="Arial" w:eastAsia="Arial" w:hAnsi="Arial"/>
                <w:sz w:val="8"/>
                <w:szCs w:val="8"/>
                <w:b w:val="1"/>
                <w:bCs w:val="1"/>
                <w:color w:val="auto"/>
              </w:rPr>
              <w:t>Total Rentable</w:t>
            </w:r>
          </w:p>
        </w:tc>
        <w:tc>
          <w:tcPr>
            <w:tcW w:w="640" w:type="dxa"/>
            <w:vAlign w:val="bottom"/>
          </w:tcPr>
          <w:p>
            <w:pPr>
              <w:ind w:left="140"/>
              <w:spacing w:after="0"/>
              <w:rPr>
                <w:sz w:val="20"/>
                <w:szCs w:val="20"/>
                <w:color w:val="auto"/>
              </w:rPr>
            </w:pPr>
            <w:r>
              <w:rPr>
                <w:rFonts w:ascii="Arial" w:cs="Arial" w:eastAsia="Arial" w:hAnsi="Arial"/>
                <w:sz w:val="8"/>
                <w:szCs w:val="8"/>
                <w:b w:val="1"/>
                <w:bCs w:val="1"/>
                <w:color w:val="auto"/>
              </w:rPr>
              <w:t>Annualized</w:t>
            </w:r>
          </w:p>
        </w:tc>
        <w:tc>
          <w:tcPr>
            <w:tcW w:w="1060" w:type="dxa"/>
            <w:vAlign w:val="bottom"/>
            <w:vMerge w:val="restart"/>
          </w:tcPr>
          <w:p>
            <w:pPr>
              <w:ind w:left="60"/>
              <w:spacing w:after="0"/>
              <w:rPr>
                <w:sz w:val="20"/>
                <w:szCs w:val="20"/>
                <w:color w:val="auto"/>
              </w:rPr>
            </w:pPr>
            <w:r>
              <w:rPr>
                <w:rFonts w:ascii="Arial" w:cs="Arial" w:eastAsia="Arial" w:hAnsi="Arial"/>
                <w:sz w:val="8"/>
                <w:szCs w:val="8"/>
                <w:b w:val="1"/>
                <w:bCs w:val="1"/>
                <w:color w:val="auto"/>
              </w:rPr>
              <w:t>SLG Share of Annualized</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7"/>
              </w:rPr>
              <w:t>% of SLG Share of</w:t>
            </w:r>
          </w:p>
        </w:tc>
        <w:tc>
          <w:tcPr>
            <w:tcW w:w="660" w:type="dxa"/>
            <w:vAlign w:val="bottom"/>
          </w:tcPr>
          <w:p>
            <w:pPr>
              <w:jc w:val="center"/>
              <w:ind w:right="81"/>
              <w:spacing w:after="0"/>
              <w:rPr>
                <w:sz w:val="20"/>
                <w:szCs w:val="20"/>
                <w:color w:val="auto"/>
              </w:rPr>
            </w:pPr>
            <w:r>
              <w:rPr>
                <w:rFonts w:ascii="Arial" w:cs="Arial" w:eastAsia="Arial" w:hAnsi="Arial"/>
                <w:sz w:val="8"/>
                <w:szCs w:val="8"/>
                <w:b w:val="1"/>
                <w:bCs w:val="1"/>
                <w:color w:val="auto"/>
                <w:w w:val="98"/>
              </w:rPr>
              <w:t>Annualized</w:t>
            </w:r>
          </w:p>
        </w:tc>
        <w:tc>
          <w:tcPr>
            <w:tcW w:w="820" w:type="dxa"/>
            <w:vAlign w:val="bottom"/>
            <w:vMerge w:val="restart"/>
          </w:tcPr>
          <w:p>
            <w:pPr>
              <w:jc w:val="center"/>
              <w:ind w:left="101"/>
              <w:spacing w:after="0"/>
              <w:rPr>
                <w:sz w:val="20"/>
                <w:szCs w:val="20"/>
                <w:color w:val="auto"/>
              </w:rPr>
            </w:pPr>
            <w:r>
              <w:rPr>
                <w:rFonts w:ascii="Arial" w:cs="Arial" w:eastAsia="Arial" w:hAnsi="Arial"/>
                <w:sz w:val="8"/>
                <w:szCs w:val="8"/>
                <w:b w:val="1"/>
                <w:bCs w:val="1"/>
                <w:color w:val="auto"/>
              </w:rPr>
              <w:t>Investment Grade</w:t>
            </w:r>
          </w:p>
        </w:tc>
        <w:tc>
          <w:tcPr>
            <w:tcW w:w="0" w:type="dxa"/>
            <w:vAlign w:val="bottom"/>
          </w:tcPr>
          <w:p>
            <w:pPr>
              <w:spacing w:after="0"/>
              <w:rPr>
                <w:sz w:val="1"/>
                <w:szCs w:val="1"/>
                <w:color w:val="auto"/>
              </w:rPr>
            </w:pPr>
          </w:p>
        </w:tc>
      </w:tr>
      <w:tr>
        <w:trPr>
          <w:trHeight w:val="79"/>
        </w:trPr>
        <w:tc>
          <w:tcPr>
            <w:tcW w:w="1040" w:type="dxa"/>
            <w:vAlign w:val="bottom"/>
            <w:vMerge w:val="restart"/>
          </w:tcPr>
          <w:p>
            <w:pPr>
              <w:spacing w:after="0"/>
              <w:rPr>
                <w:sz w:val="20"/>
                <w:szCs w:val="20"/>
                <w:color w:val="auto"/>
              </w:rPr>
            </w:pPr>
            <w:r>
              <w:rPr>
                <w:rFonts w:ascii="Arial" w:cs="Arial" w:eastAsia="Arial" w:hAnsi="Arial"/>
                <w:sz w:val="8"/>
                <w:szCs w:val="8"/>
                <w:b w:val="1"/>
                <w:bCs w:val="1"/>
                <w:color w:val="auto"/>
              </w:rPr>
              <w:t>Tenant Name</w:t>
            </w:r>
          </w:p>
        </w:tc>
        <w:tc>
          <w:tcPr>
            <w:tcW w:w="1180" w:type="dxa"/>
            <w:vAlign w:val="bottom"/>
            <w:vMerge w:val="restart"/>
          </w:tcPr>
          <w:p>
            <w:pPr>
              <w:ind w:left="560"/>
              <w:spacing w:after="0"/>
              <w:rPr>
                <w:sz w:val="20"/>
                <w:szCs w:val="20"/>
                <w:color w:val="auto"/>
              </w:rPr>
            </w:pPr>
            <w:r>
              <w:rPr>
                <w:rFonts w:ascii="Arial" w:cs="Arial" w:eastAsia="Arial" w:hAnsi="Arial"/>
                <w:sz w:val="8"/>
                <w:szCs w:val="8"/>
                <w:b w:val="1"/>
                <w:bCs w:val="1"/>
                <w:color w:val="auto"/>
              </w:rPr>
              <w:t>Property</w:t>
            </w: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tcPr>
          <w:p>
            <w:pPr>
              <w:ind w:left="100"/>
              <w:spacing w:after="0" w:line="79" w:lineRule="exact"/>
              <w:rPr>
                <w:sz w:val="20"/>
                <w:szCs w:val="20"/>
                <w:color w:val="auto"/>
              </w:rPr>
            </w:pPr>
            <w:r>
              <w:rPr>
                <w:rFonts w:ascii="Arial" w:cs="Arial" w:eastAsia="Arial" w:hAnsi="Arial"/>
                <w:sz w:val="8"/>
                <w:szCs w:val="8"/>
                <w:b w:val="1"/>
                <w:bCs w:val="1"/>
                <w:color w:val="auto"/>
              </w:rPr>
              <w:t>Contractual</w:t>
            </w:r>
          </w:p>
        </w:tc>
        <w:tc>
          <w:tcPr>
            <w:tcW w:w="1060" w:type="dxa"/>
            <w:vAlign w:val="bottom"/>
            <w:vMerge w:val="continue"/>
          </w:tcPr>
          <w:p>
            <w:pPr>
              <w:spacing w:after="0"/>
              <w:rPr>
                <w:sz w:val="6"/>
                <w:szCs w:val="6"/>
                <w:color w:val="auto"/>
              </w:rPr>
            </w:pPr>
          </w:p>
        </w:tc>
        <w:tc>
          <w:tcPr>
            <w:tcW w:w="1000" w:type="dxa"/>
            <w:vAlign w:val="bottom"/>
          </w:tcPr>
          <w:p>
            <w:pPr>
              <w:jc w:val="center"/>
              <w:spacing w:after="0" w:line="79" w:lineRule="exact"/>
              <w:rPr>
                <w:sz w:val="20"/>
                <w:szCs w:val="20"/>
                <w:color w:val="auto"/>
              </w:rPr>
            </w:pPr>
            <w:r>
              <w:rPr>
                <w:rFonts w:ascii="Arial" w:cs="Arial" w:eastAsia="Arial" w:hAnsi="Arial"/>
                <w:sz w:val="8"/>
                <w:szCs w:val="8"/>
                <w:b w:val="1"/>
                <w:bCs w:val="1"/>
                <w:color w:val="auto"/>
                <w:w w:val="98"/>
              </w:rPr>
              <w:t>Annualized Contractual</w:t>
            </w:r>
          </w:p>
        </w:tc>
        <w:tc>
          <w:tcPr>
            <w:tcW w:w="660" w:type="dxa"/>
            <w:vAlign w:val="bottom"/>
          </w:tcPr>
          <w:p>
            <w:pPr>
              <w:jc w:val="center"/>
              <w:ind w:right="61"/>
              <w:spacing w:after="0" w:line="79" w:lineRule="exact"/>
              <w:rPr>
                <w:sz w:val="20"/>
                <w:szCs w:val="20"/>
                <w:color w:val="auto"/>
              </w:rPr>
            </w:pPr>
            <w:r>
              <w:rPr>
                <w:rFonts w:ascii="Arial" w:cs="Arial" w:eastAsia="Arial" w:hAnsi="Arial"/>
                <w:sz w:val="8"/>
                <w:szCs w:val="8"/>
                <w:b w:val="1"/>
                <w:bCs w:val="1"/>
                <w:color w:val="auto"/>
                <w:w w:val="98"/>
              </w:rPr>
              <w:t>Contractual</w:t>
            </w: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tcPr>
          <w:p>
            <w:pPr>
              <w:jc w:val="center"/>
              <w:ind w:left="201"/>
              <w:spacing w:after="0"/>
              <w:rPr>
                <w:sz w:val="20"/>
                <w:szCs w:val="20"/>
                <w:color w:val="auto"/>
              </w:rPr>
            </w:pPr>
            <w:r>
              <w:rPr>
                <w:rFonts w:ascii="Arial" w:cs="Arial" w:eastAsia="Arial" w:hAnsi="Arial"/>
                <w:sz w:val="8"/>
                <w:szCs w:val="8"/>
                <w:b w:val="1"/>
                <w:bCs w:val="1"/>
                <w:color w:val="auto"/>
                <w:w w:val="99"/>
              </w:rPr>
              <w:t>Interest %</w:t>
            </w: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97"/>
              </w:rPr>
              <w:t>Expiration (2)</w:t>
            </w:r>
          </w:p>
        </w:tc>
        <w:tc>
          <w:tcPr>
            <w:tcW w:w="660" w:type="dxa"/>
            <w:vAlign w:val="bottom"/>
          </w:tcPr>
          <w:p>
            <w:pPr>
              <w:ind w:left="80"/>
              <w:spacing w:after="0"/>
              <w:rPr>
                <w:sz w:val="20"/>
                <w:szCs w:val="20"/>
                <w:color w:val="auto"/>
              </w:rPr>
            </w:pPr>
            <w:r>
              <w:rPr>
                <w:rFonts w:ascii="Arial" w:cs="Arial" w:eastAsia="Arial" w:hAnsi="Arial"/>
                <w:sz w:val="8"/>
                <w:szCs w:val="8"/>
                <w:b w:val="1"/>
                <w:bCs w:val="1"/>
                <w:color w:val="auto"/>
              </w:rPr>
              <w:t>Square Feet</w:t>
            </w:r>
          </w:p>
        </w:tc>
        <w:tc>
          <w:tcPr>
            <w:tcW w:w="1700" w:type="dxa"/>
            <w:vAlign w:val="bottom"/>
            <w:gridSpan w:val="2"/>
          </w:tcPr>
          <w:p>
            <w:pPr>
              <w:ind w:left="80"/>
              <w:spacing w:after="0"/>
              <w:rPr>
                <w:sz w:val="20"/>
                <w:szCs w:val="20"/>
                <w:color w:val="auto"/>
              </w:rPr>
            </w:pPr>
            <w:r>
              <w:rPr>
                <w:rFonts w:ascii="Arial" w:cs="Arial" w:eastAsia="Arial" w:hAnsi="Arial"/>
                <w:sz w:val="8"/>
                <w:szCs w:val="8"/>
                <w:b w:val="1"/>
                <w:bCs w:val="1"/>
                <w:color w:val="auto"/>
              </w:rPr>
              <w:t>Cash Rent ($)   Contractual Cash Rent ($)</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rPr>
              <w:t>Cash Rent (3)</w:t>
            </w:r>
          </w:p>
        </w:tc>
        <w:tc>
          <w:tcPr>
            <w:tcW w:w="660" w:type="dxa"/>
            <w:vAlign w:val="bottom"/>
          </w:tcPr>
          <w:p>
            <w:pPr>
              <w:jc w:val="center"/>
              <w:ind w:right="61"/>
              <w:spacing w:after="0"/>
              <w:rPr>
                <w:sz w:val="20"/>
                <w:szCs w:val="20"/>
                <w:color w:val="auto"/>
              </w:rPr>
            </w:pPr>
            <w:r>
              <w:rPr>
                <w:rFonts w:ascii="Arial" w:cs="Arial" w:eastAsia="Arial" w:hAnsi="Arial"/>
                <w:sz w:val="8"/>
                <w:szCs w:val="8"/>
                <w:b w:val="1"/>
                <w:bCs w:val="1"/>
                <w:color w:val="auto"/>
              </w:rPr>
              <w:t>Rent PSF</w:t>
            </w:r>
          </w:p>
        </w:tc>
        <w:tc>
          <w:tcPr>
            <w:tcW w:w="820" w:type="dxa"/>
            <w:vAlign w:val="bottom"/>
          </w:tcPr>
          <w:p>
            <w:pPr>
              <w:jc w:val="center"/>
              <w:ind w:left="101"/>
              <w:spacing w:after="0"/>
              <w:rPr>
                <w:sz w:val="20"/>
                <w:szCs w:val="20"/>
                <w:color w:val="auto"/>
              </w:rPr>
            </w:pPr>
            <w:r>
              <w:rPr>
                <w:rFonts w:ascii="Arial" w:cs="Arial" w:eastAsia="Arial" w:hAnsi="Arial"/>
                <w:sz w:val="8"/>
                <w:szCs w:val="8"/>
                <w:b w:val="1"/>
                <w:bCs w:val="1"/>
                <w:color w:val="auto"/>
                <w:w w:val="96"/>
              </w:rPr>
              <w:t>Credit Rating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76453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4530" cy="6350"/>
                    </a:xfrm>
                    <a:prstGeom prst="rect">
                      <a:avLst/>
                    </a:prstGeom>
                    <a:noFill/>
                  </pic:spPr>
                </pic:pic>
              </a:graphicData>
            </a:graphic>
          </wp:anchor>
        </w:drawing>
      </w:r>
    </w:p>
    <w:p>
      <w:pPr>
        <w:sectPr>
          <w:pgSz w:w="11900" w:h="16838" w:orient="portrait"/>
          <w:cols w:equalWidth="0" w:num="1">
            <w:col w:w="9080"/>
          </w:cols>
          <w:pgMar w:left="1400" w:top="304" w:right="1419" w:bottom="1440" w:gutter="0" w:footer="0" w:header="0"/>
        </w:sectPr>
      </w:pP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01"/>
        </w:trPr>
        <w:tc>
          <w:tcPr>
            <w:tcW w:w="1600" w:type="dxa"/>
            <w:vAlign w:val="bottom"/>
          </w:tcPr>
          <w:p>
            <w:pPr>
              <w:spacing w:after="0"/>
              <w:rPr>
                <w:sz w:val="20"/>
                <w:szCs w:val="20"/>
                <w:color w:val="auto"/>
              </w:rPr>
            </w:pPr>
            <w:r>
              <w:rPr>
                <w:rFonts w:ascii="Arial" w:cs="Arial" w:eastAsia="Arial" w:hAnsi="Arial"/>
                <w:sz w:val="8"/>
                <w:szCs w:val="8"/>
                <w:color w:val="auto"/>
              </w:rPr>
              <w:t>Paramount Global</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1515 Broadway</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56.9</w:t>
            </w:r>
          </w:p>
        </w:tc>
        <w:tc>
          <w:tcPr>
            <w:tcW w:w="600" w:type="dxa"/>
            <w:vAlign w:val="bottom"/>
          </w:tcPr>
          <w:p>
            <w:pPr>
              <w:jc w:val="center"/>
              <w:spacing w:after="0"/>
              <w:rPr>
                <w:sz w:val="20"/>
                <w:szCs w:val="20"/>
                <w:color w:val="auto"/>
              </w:rPr>
            </w:pPr>
            <w:r>
              <w:rPr>
                <w:rFonts w:ascii="Arial" w:cs="Arial" w:eastAsia="Arial" w:hAnsi="Arial"/>
                <w:sz w:val="8"/>
                <w:szCs w:val="8"/>
                <w:color w:val="auto"/>
              </w:rPr>
              <w:t>Jun 2031</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1,604,544</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$109,914</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$62,541</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4.1%</w:t>
            </w:r>
          </w:p>
        </w:tc>
        <w:tc>
          <w:tcPr>
            <w:tcW w:w="660" w:type="dxa"/>
            <w:vAlign w:val="bottom"/>
          </w:tcPr>
          <w:p>
            <w:pPr>
              <w:jc w:val="right"/>
              <w:spacing w:after="0"/>
              <w:rPr>
                <w:sz w:val="20"/>
                <w:szCs w:val="20"/>
                <w:color w:val="auto"/>
              </w:rPr>
            </w:pPr>
            <w:r>
              <w:rPr>
                <w:rFonts w:ascii="Arial" w:cs="Arial" w:eastAsia="Arial" w:hAnsi="Arial"/>
                <w:sz w:val="8"/>
                <w:szCs w:val="8"/>
                <w:color w:val="auto"/>
              </w:rPr>
              <w:t>$68.50</w:t>
            </w:r>
          </w:p>
        </w:tc>
        <w:tc>
          <w:tcPr>
            <w:tcW w:w="160" w:type="dxa"/>
            <w:vAlign w:val="bottom"/>
          </w:tcPr>
          <w:p>
            <w:pPr>
              <w:spacing w:after="0"/>
              <w:rPr>
                <w:sz w:val="8"/>
                <w:szCs w:val="8"/>
                <w:color w:val="auto"/>
              </w:rPr>
            </w:pPr>
          </w:p>
        </w:tc>
      </w:tr>
      <w:tr>
        <w:trPr>
          <w:trHeight w:val="148"/>
        </w:trPr>
        <w:tc>
          <w:tcPr>
            <w:tcW w:w="1600" w:type="dxa"/>
            <w:vAlign w:val="bottom"/>
          </w:tcPr>
          <w:p>
            <w:pPr>
              <w:spacing w:after="0"/>
              <w:rPr>
                <w:sz w:val="12"/>
                <w:szCs w:val="12"/>
                <w:color w:val="auto"/>
              </w:rPr>
            </w:pPr>
          </w:p>
        </w:tc>
        <w:tc>
          <w:tcPr>
            <w:tcW w:w="260" w:type="dxa"/>
            <w:vAlign w:val="bottom"/>
          </w:tcPr>
          <w:p>
            <w:pPr>
              <w:ind w:left="100"/>
              <w:spacing w:after="0"/>
              <w:rPr>
                <w:sz w:val="20"/>
                <w:szCs w:val="20"/>
                <w:color w:val="auto"/>
              </w:rPr>
            </w:pPr>
            <w:r>
              <w:rPr>
                <w:rFonts w:ascii="Arial" w:cs="Arial" w:eastAsia="Arial" w:hAnsi="Arial"/>
                <w:sz w:val="8"/>
                <w:szCs w:val="8"/>
                <w:color w:val="auto"/>
              </w:rPr>
              <w:t>555</w:t>
            </w:r>
          </w:p>
        </w:tc>
        <w:tc>
          <w:tcPr>
            <w:tcW w:w="1120" w:type="dxa"/>
            <w:vAlign w:val="bottom"/>
          </w:tcPr>
          <w:p>
            <w:pPr>
              <w:spacing w:after="0"/>
              <w:rPr>
                <w:sz w:val="20"/>
                <w:szCs w:val="20"/>
                <w:color w:val="auto"/>
              </w:rPr>
            </w:pPr>
            <w:r>
              <w:rPr>
                <w:rFonts w:ascii="Arial" w:cs="Arial" w:eastAsia="Arial" w:hAnsi="Arial"/>
                <w:sz w:val="8"/>
                <w:szCs w:val="8"/>
                <w:color w:val="auto"/>
              </w:rPr>
              <w:t>West 57th Street</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w w:val="92"/>
              </w:rPr>
              <w:t>Apr 2027</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186,882</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11,023</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11,023</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0.7%</w:t>
            </w: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58.99</w:t>
            </w:r>
          </w:p>
        </w:tc>
        <w:tc>
          <w:tcPr>
            <w:tcW w:w="160" w:type="dxa"/>
            <w:vAlign w:val="bottom"/>
          </w:tcPr>
          <w:p>
            <w:pPr>
              <w:spacing w:after="0"/>
              <w:rPr>
                <w:sz w:val="12"/>
                <w:szCs w:val="12"/>
                <w:color w:val="auto"/>
              </w:rPr>
            </w:pPr>
          </w:p>
        </w:tc>
      </w:tr>
      <w:tr>
        <w:trPr>
          <w:trHeight w:val="145"/>
        </w:trPr>
        <w:tc>
          <w:tcPr>
            <w:tcW w:w="160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1515 Broadway</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56.9</w:t>
            </w:r>
          </w:p>
        </w:tc>
        <w:tc>
          <w:tcPr>
            <w:tcW w:w="600" w:type="dxa"/>
            <w:vAlign w:val="bottom"/>
          </w:tcPr>
          <w:p>
            <w:pPr>
              <w:jc w:val="center"/>
              <w:spacing w:after="0"/>
              <w:rPr>
                <w:sz w:val="20"/>
                <w:szCs w:val="20"/>
                <w:color w:val="auto"/>
              </w:rPr>
            </w:pPr>
            <w:r>
              <w:rPr>
                <w:rFonts w:ascii="Arial" w:cs="Arial" w:eastAsia="Arial" w:hAnsi="Arial"/>
                <w:sz w:val="8"/>
                <w:szCs w:val="8"/>
                <w:color w:val="auto"/>
              </w:rPr>
              <w:t>Mar 2028</w:t>
            </w: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8"/>
                <w:szCs w:val="8"/>
                <w:color w:val="auto"/>
              </w:rPr>
              <w:t>9,106</w:t>
            </w: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8"/>
                <w:szCs w:val="8"/>
                <w:color w:val="auto"/>
              </w:rPr>
              <w:t>2,274</w:t>
            </w: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8"/>
                <w:szCs w:val="8"/>
                <w:color w:val="auto"/>
              </w:rPr>
              <w:t>1,294</w:t>
            </w:r>
          </w:p>
        </w:tc>
        <w:tc>
          <w:tcPr>
            <w:tcW w:w="720" w:type="dxa"/>
            <w:vAlign w:val="bottom"/>
            <w:tcBorders>
              <w:bottom w:val="single" w:sz="8" w:color="auto"/>
            </w:tcBorders>
          </w:tcPr>
          <w:p>
            <w:pPr>
              <w:jc w:val="center"/>
              <w:ind w:right="101"/>
              <w:spacing w:after="0"/>
              <w:rPr>
                <w:sz w:val="20"/>
                <w:szCs w:val="20"/>
                <w:color w:val="auto"/>
              </w:rPr>
            </w:pPr>
            <w:r>
              <w:rPr>
                <w:rFonts w:ascii="Arial" w:cs="Arial" w:eastAsia="Arial" w:hAnsi="Arial"/>
                <w:sz w:val="8"/>
                <w:szCs w:val="8"/>
                <w:color w:val="auto"/>
                <w:w w:val="98"/>
              </w:rPr>
              <w:t>0.1%</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249.76</w:t>
            </w:r>
          </w:p>
        </w:tc>
        <w:tc>
          <w:tcPr>
            <w:tcW w:w="160" w:type="dxa"/>
            <w:vAlign w:val="bottom"/>
          </w:tcPr>
          <w:p>
            <w:pPr>
              <w:spacing w:after="0"/>
              <w:rPr>
                <w:sz w:val="12"/>
                <w:szCs w:val="12"/>
                <w:color w:val="auto"/>
              </w:rPr>
            </w:pPr>
          </w:p>
        </w:tc>
      </w:tr>
      <w:tr>
        <w:trPr>
          <w:trHeight w:val="110"/>
        </w:trPr>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1,800,532</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$123,211</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$74,858</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4.9%</w:t>
            </w:r>
          </w:p>
        </w:tc>
        <w:tc>
          <w:tcPr>
            <w:tcW w:w="660" w:type="dxa"/>
            <w:vAlign w:val="bottom"/>
          </w:tcPr>
          <w:p>
            <w:pPr>
              <w:jc w:val="right"/>
              <w:spacing w:after="0"/>
              <w:rPr>
                <w:sz w:val="20"/>
                <w:szCs w:val="20"/>
                <w:color w:val="auto"/>
              </w:rPr>
            </w:pPr>
            <w:r>
              <w:rPr>
                <w:rFonts w:ascii="Arial" w:cs="Arial" w:eastAsia="Arial" w:hAnsi="Arial"/>
                <w:sz w:val="8"/>
                <w:szCs w:val="8"/>
                <w:color w:val="auto"/>
              </w:rPr>
              <w:t>$68.43</w:t>
            </w:r>
          </w:p>
        </w:tc>
        <w:tc>
          <w:tcPr>
            <w:tcW w:w="160" w:type="dxa"/>
            <w:vAlign w:val="bottom"/>
          </w:tcPr>
          <w:p>
            <w:pPr>
              <w:spacing w:after="0"/>
              <w:rPr>
                <w:sz w:val="9"/>
                <w:szCs w:val="9"/>
                <w:color w:val="auto"/>
              </w:rPr>
            </w:pPr>
          </w:p>
        </w:tc>
      </w:tr>
      <w:tr>
        <w:trPr>
          <w:trHeight w:val="167"/>
        </w:trPr>
        <w:tc>
          <w:tcPr>
            <w:tcW w:w="1600" w:type="dxa"/>
            <w:vAlign w:val="bottom"/>
          </w:tcPr>
          <w:p>
            <w:pPr>
              <w:spacing w:after="0"/>
              <w:rPr>
                <w:sz w:val="20"/>
                <w:szCs w:val="20"/>
                <w:color w:val="auto"/>
              </w:rPr>
            </w:pPr>
            <w:r>
              <w:rPr>
                <w:rFonts w:ascii="Arial" w:cs="Arial" w:eastAsia="Arial" w:hAnsi="Arial"/>
                <w:sz w:val="8"/>
                <w:szCs w:val="8"/>
                <w:color w:val="auto"/>
              </w:rPr>
              <w:t>UBS Americas, Inc.</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11 Madison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60.0</w:t>
            </w:r>
          </w:p>
        </w:tc>
        <w:tc>
          <w:tcPr>
            <w:tcW w:w="600" w:type="dxa"/>
            <w:vAlign w:val="bottom"/>
          </w:tcPr>
          <w:p>
            <w:pPr>
              <w:jc w:val="center"/>
              <w:spacing w:after="0"/>
              <w:rPr>
                <w:sz w:val="20"/>
                <w:szCs w:val="20"/>
                <w:color w:val="auto"/>
              </w:rPr>
            </w:pPr>
            <w:r>
              <w:rPr>
                <w:rFonts w:ascii="Arial" w:cs="Arial" w:eastAsia="Arial" w:hAnsi="Arial"/>
                <w:sz w:val="8"/>
                <w:szCs w:val="8"/>
                <w:color w:val="auto"/>
                <w:w w:val="96"/>
              </w:rPr>
              <w:t>May 2037</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1,184,489</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$81,081</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$48,649</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3.2%</w:t>
            </w:r>
          </w:p>
        </w:tc>
        <w:tc>
          <w:tcPr>
            <w:tcW w:w="660" w:type="dxa"/>
            <w:vAlign w:val="bottom"/>
          </w:tcPr>
          <w:p>
            <w:pPr>
              <w:jc w:val="right"/>
              <w:spacing w:after="0"/>
              <w:rPr>
                <w:sz w:val="20"/>
                <w:szCs w:val="20"/>
                <w:color w:val="auto"/>
              </w:rPr>
            </w:pPr>
            <w:r>
              <w:rPr>
                <w:rFonts w:ascii="Arial" w:cs="Arial" w:eastAsia="Arial" w:hAnsi="Arial"/>
                <w:sz w:val="8"/>
                <w:szCs w:val="8"/>
                <w:color w:val="auto"/>
              </w:rPr>
              <w:t>$68.45</w:t>
            </w:r>
          </w:p>
        </w:tc>
        <w:tc>
          <w:tcPr>
            <w:tcW w:w="160" w:type="dxa"/>
            <w:vAlign w:val="bottom"/>
          </w:tcPr>
          <w:p>
            <w:pPr>
              <w:spacing w:after="0"/>
              <w:rPr>
                <w:sz w:val="14"/>
                <w:szCs w:val="14"/>
                <w:color w:val="auto"/>
              </w:rPr>
            </w:pPr>
          </w:p>
        </w:tc>
      </w:tr>
      <w:tr>
        <w:trPr>
          <w:trHeight w:val="138"/>
        </w:trPr>
        <w:tc>
          <w:tcPr>
            <w:tcW w:w="1600" w:type="dxa"/>
            <w:vAlign w:val="bottom"/>
          </w:tcPr>
          <w:p>
            <w:pPr>
              <w:spacing w:after="0"/>
              <w:rPr>
                <w:sz w:val="20"/>
                <w:szCs w:val="20"/>
                <w:color w:val="auto"/>
              </w:rPr>
            </w:pPr>
            <w:r>
              <w:rPr>
                <w:rFonts w:ascii="Arial" w:cs="Arial" w:eastAsia="Arial" w:hAnsi="Arial"/>
                <w:sz w:val="8"/>
                <w:szCs w:val="8"/>
                <w:color w:val="auto"/>
              </w:rPr>
              <w:t>Sony Corporation</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11 Madison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60.0</w:t>
            </w:r>
          </w:p>
        </w:tc>
        <w:tc>
          <w:tcPr>
            <w:tcW w:w="600" w:type="dxa"/>
            <w:vAlign w:val="bottom"/>
          </w:tcPr>
          <w:p>
            <w:pPr>
              <w:jc w:val="center"/>
              <w:spacing w:after="0"/>
              <w:rPr>
                <w:sz w:val="20"/>
                <w:szCs w:val="20"/>
                <w:color w:val="auto"/>
              </w:rPr>
            </w:pPr>
            <w:r>
              <w:rPr>
                <w:rFonts w:ascii="Arial" w:cs="Arial" w:eastAsia="Arial" w:hAnsi="Arial"/>
                <w:sz w:val="8"/>
                <w:szCs w:val="8"/>
                <w:color w:val="auto"/>
              </w:rPr>
              <w:t>Jan 2031</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578,791</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$57,165</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$34,299</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2.2%</w:t>
            </w:r>
          </w:p>
        </w:tc>
        <w:tc>
          <w:tcPr>
            <w:tcW w:w="660" w:type="dxa"/>
            <w:vAlign w:val="bottom"/>
          </w:tcPr>
          <w:p>
            <w:pPr>
              <w:jc w:val="right"/>
              <w:spacing w:after="0"/>
              <w:rPr>
                <w:sz w:val="20"/>
                <w:szCs w:val="20"/>
                <w:color w:val="auto"/>
              </w:rPr>
            </w:pPr>
            <w:r>
              <w:rPr>
                <w:rFonts w:ascii="Arial" w:cs="Arial" w:eastAsia="Arial" w:hAnsi="Arial"/>
                <w:sz w:val="8"/>
                <w:szCs w:val="8"/>
                <w:color w:val="auto"/>
              </w:rPr>
              <w:t>$98.77</w:t>
            </w:r>
          </w:p>
        </w:tc>
        <w:tc>
          <w:tcPr>
            <w:tcW w:w="160" w:type="dxa"/>
            <w:vAlign w:val="bottom"/>
          </w:tcPr>
          <w:p>
            <w:pPr>
              <w:spacing w:after="0"/>
              <w:rPr>
                <w:sz w:val="11"/>
                <w:szCs w:val="11"/>
                <w:color w:val="auto"/>
              </w:rPr>
            </w:pPr>
          </w:p>
        </w:tc>
      </w:tr>
      <w:tr>
        <w:trPr>
          <w:trHeight w:val="138"/>
        </w:trPr>
        <w:tc>
          <w:tcPr>
            <w:tcW w:w="1600" w:type="dxa"/>
            <w:vAlign w:val="bottom"/>
          </w:tcPr>
          <w:p>
            <w:pPr>
              <w:spacing w:after="0"/>
              <w:rPr>
                <w:sz w:val="20"/>
                <w:szCs w:val="20"/>
                <w:color w:val="auto"/>
              </w:rPr>
            </w:pPr>
            <w:r>
              <w:rPr>
                <w:rFonts w:ascii="Arial" w:cs="Arial" w:eastAsia="Arial" w:hAnsi="Arial"/>
                <w:sz w:val="8"/>
                <w:szCs w:val="8"/>
                <w:color w:val="auto"/>
              </w:rPr>
              <w:t>Bloomberg L.P.</w:t>
            </w:r>
          </w:p>
        </w:tc>
        <w:tc>
          <w:tcPr>
            <w:tcW w:w="260" w:type="dxa"/>
            <w:vAlign w:val="bottom"/>
          </w:tcPr>
          <w:p>
            <w:pPr>
              <w:ind w:left="100"/>
              <w:spacing w:after="0"/>
              <w:rPr>
                <w:sz w:val="20"/>
                <w:szCs w:val="20"/>
                <w:color w:val="auto"/>
              </w:rPr>
            </w:pPr>
            <w:r>
              <w:rPr>
                <w:rFonts w:ascii="Arial" w:cs="Arial" w:eastAsia="Arial" w:hAnsi="Arial"/>
                <w:sz w:val="8"/>
                <w:szCs w:val="8"/>
                <w:color w:val="auto"/>
              </w:rPr>
              <w:t>919</w:t>
            </w:r>
          </w:p>
        </w:tc>
        <w:tc>
          <w:tcPr>
            <w:tcW w:w="1120" w:type="dxa"/>
            <w:vAlign w:val="bottom"/>
          </w:tcPr>
          <w:p>
            <w:pPr>
              <w:spacing w:after="0"/>
              <w:rPr>
                <w:sz w:val="20"/>
                <w:szCs w:val="20"/>
                <w:color w:val="auto"/>
              </w:rPr>
            </w:pPr>
            <w:r>
              <w:rPr>
                <w:rFonts w:ascii="Arial" w:cs="Arial" w:eastAsia="Arial" w:hAnsi="Arial"/>
                <w:sz w:val="8"/>
                <w:szCs w:val="8"/>
                <w:color w:val="auto"/>
              </w:rPr>
              <w:t>Third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51.0</w:t>
            </w:r>
          </w:p>
        </w:tc>
        <w:tc>
          <w:tcPr>
            <w:tcW w:w="600" w:type="dxa"/>
            <w:vAlign w:val="bottom"/>
          </w:tcPr>
          <w:p>
            <w:pPr>
              <w:jc w:val="center"/>
              <w:spacing w:after="0"/>
              <w:rPr>
                <w:sz w:val="20"/>
                <w:szCs w:val="20"/>
                <w:color w:val="auto"/>
              </w:rPr>
            </w:pPr>
            <w:r>
              <w:rPr>
                <w:rFonts w:ascii="Arial" w:cs="Arial" w:eastAsia="Arial" w:hAnsi="Arial"/>
                <w:sz w:val="8"/>
                <w:szCs w:val="8"/>
                <w:color w:val="auto"/>
              </w:rPr>
              <w:t>Feb 2040</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926,156</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$64,124</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$32,703</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2.1%</w:t>
            </w:r>
          </w:p>
        </w:tc>
        <w:tc>
          <w:tcPr>
            <w:tcW w:w="660" w:type="dxa"/>
            <w:vAlign w:val="bottom"/>
          </w:tcPr>
          <w:p>
            <w:pPr>
              <w:jc w:val="right"/>
              <w:spacing w:after="0"/>
              <w:rPr>
                <w:sz w:val="20"/>
                <w:szCs w:val="20"/>
                <w:color w:val="auto"/>
              </w:rPr>
            </w:pPr>
            <w:r>
              <w:rPr>
                <w:rFonts w:ascii="Arial" w:cs="Arial" w:eastAsia="Arial" w:hAnsi="Arial"/>
                <w:sz w:val="8"/>
                <w:szCs w:val="8"/>
                <w:color w:val="auto"/>
              </w:rPr>
              <w:t>$69.24</w:t>
            </w:r>
          </w:p>
        </w:tc>
        <w:tc>
          <w:tcPr>
            <w:tcW w:w="160" w:type="dxa"/>
            <w:vAlign w:val="bottom"/>
          </w:tcPr>
          <w:p>
            <w:pPr>
              <w:spacing w:after="0"/>
              <w:rPr>
                <w:sz w:val="11"/>
                <w:szCs w:val="11"/>
                <w:color w:val="auto"/>
              </w:rPr>
            </w:pPr>
          </w:p>
        </w:tc>
      </w:tr>
      <w:tr>
        <w:trPr>
          <w:trHeight w:val="167"/>
        </w:trPr>
        <w:tc>
          <w:tcPr>
            <w:tcW w:w="1600" w:type="dxa"/>
            <w:vAlign w:val="bottom"/>
          </w:tcPr>
          <w:p>
            <w:pPr>
              <w:spacing w:after="0"/>
              <w:rPr>
                <w:sz w:val="20"/>
                <w:szCs w:val="20"/>
                <w:color w:val="auto"/>
              </w:rPr>
            </w:pPr>
            <w:r>
              <w:rPr>
                <w:rFonts w:ascii="Arial" w:cs="Arial" w:eastAsia="Arial" w:hAnsi="Arial"/>
                <w:sz w:val="8"/>
                <w:szCs w:val="8"/>
                <w:color w:val="auto"/>
              </w:rPr>
              <w:t>McDermott Will &amp; Schulte LLP</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One Vanderbilt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55.0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Dec 2042</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169,586</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$31,544</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$17,349</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1.1%</w:t>
            </w:r>
          </w:p>
        </w:tc>
        <w:tc>
          <w:tcPr>
            <w:tcW w:w="660" w:type="dxa"/>
            <w:vAlign w:val="bottom"/>
          </w:tcPr>
          <w:p>
            <w:pPr>
              <w:jc w:val="right"/>
              <w:spacing w:after="0"/>
              <w:rPr>
                <w:sz w:val="20"/>
                <w:szCs w:val="20"/>
                <w:color w:val="auto"/>
              </w:rPr>
            </w:pPr>
            <w:r>
              <w:rPr>
                <w:rFonts w:ascii="Arial" w:cs="Arial" w:eastAsia="Arial" w:hAnsi="Arial"/>
                <w:sz w:val="8"/>
                <w:szCs w:val="8"/>
                <w:color w:val="auto"/>
              </w:rPr>
              <w:t>$186.01</w:t>
            </w:r>
          </w:p>
        </w:tc>
        <w:tc>
          <w:tcPr>
            <w:tcW w:w="160" w:type="dxa"/>
            <w:vAlign w:val="bottom"/>
          </w:tcPr>
          <w:p>
            <w:pPr>
              <w:spacing w:after="0"/>
              <w:rPr>
                <w:sz w:val="14"/>
                <w:szCs w:val="14"/>
                <w:color w:val="auto"/>
              </w:rPr>
            </w:pPr>
          </w:p>
        </w:tc>
      </w:tr>
      <w:tr>
        <w:trPr>
          <w:trHeight w:val="138"/>
        </w:trPr>
        <w:tc>
          <w:tcPr>
            <w:tcW w:w="1600" w:type="dxa"/>
            <w:vAlign w:val="bottom"/>
          </w:tcPr>
          <w:p>
            <w:pPr>
              <w:spacing w:after="0"/>
              <w:rPr>
                <w:sz w:val="11"/>
                <w:szCs w:val="11"/>
                <w:color w:val="auto"/>
              </w:rPr>
            </w:pPr>
          </w:p>
        </w:tc>
        <w:tc>
          <w:tcPr>
            <w:tcW w:w="260" w:type="dxa"/>
            <w:vAlign w:val="bottom"/>
          </w:tcPr>
          <w:p>
            <w:pPr>
              <w:ind w:left="100"/>
              <w:spacing w:after="0"/>
              <w:rPr>
                <w:sz w:val="20"/>
                <w:szCs w:val="20"/>
                <w:color w:val="auto"/>
              </w:rPr>
            </w:pPr>
            <w:r>
              <w:rPr>
                <w:rFonts w:ascii="Arial" w:cs="Arial" w:eastAsia="Arial" w:hAnsi="Arial"/>
                <w:sz w:val="8"/>
                <w:szCs w:val="8"/>
                <w:color w:val="auto"/>
              </w:rPr>
              <w:t>919</w:t>
            </w:r>
          </w:p>
        </w:tc>
        <w:tc>
          <w:tcPr>
            <w:tcW w:w="1120" w:type="dxa"/>
            <w:vAlign w:val="bottom"/>
          </w:tcPr>
          <w:p>
            <w:pPr>
              <w:spacing w:after="0"/>
              <w:rPr>
                <w:sz w:val="20"/>
                <w:szCs w:val="20"/>
                <w:color w:val="auto"/>
              </w:rPr>
            </w:pPr>
            <w:r>
              <w:rPr>
                <w:rFonts w:ascii="Arial" w:cs="Arial" w:eastAsia="Arial" w:hAnsi="Arial"/>
                <w:sz w:val="8"/>
                <w:szCs w:val="8"/>
                <w:color w:val="auto"/>
              </w:rPr>
              <w:t>Third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51.0</w:t>
            </w:r>
          </w:p>
        </w:tc>
        <w:tc>
          <w:tcPr>
            <w:tcW w:w="600" w:type="dxa"/>
            <w:vAlign w:val="bottom"/>
          </w:tcPr>
          <w:p>
            <w:pPr>
              <w:jc w:val="center"/>
              <w:spacing w:after="0"/>
              <w:rPr>
                <w:sz w:val="20"/>
                <w:szCs w:val="20"/>
                <w:color w:val="auto"/>
              </w:rPr>
            </w:pPr>
            <w:r>
              <w:rPr>
                <w:rFonts w:ascii="Arial" w:cs="Arial" w:eastAsia="Arial" w:hAnsi="Arial"/>
                <w:sz w:val="8"/>
                <w:szCs w:val="8"/>
                <w:color w:val="auto"/>
              </w:rPr>
              <w:t>Jun 2036</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283,894</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20,984</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10,702</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0.7%</w:t>
            </w:r>
          </w:p>
        </w:tc>
        <w:tc>
          <w:tcPr>
            <w:tcW w:w="660" w:type="dxa"/>
            <w:vAlign w:val="bottom"/>
          </w:tcPr>
          <w:p>
            <w:pPr>
              <w:jc w:val="right"/>
              <w:spacing w:after="0"/>
              <w:rPr>
                <w:sz w:val="20"/>
                <w:szCs w:val="20"/>
                <w:color w:val="auto"/>
              </w:rPr>
            </w:pPr>
            <w:r>
              <w:rPr>
                <w:rFonts w:ascii="Arial" w:cs="Arial" w:eastAsia="Arial" w:hAnsi="Arial"/>
                <w:sz w:val="8"/>
                <w:szCs w:val="8"/>
                <w:color w:val="auto"/>
              </w:rPr>
              <w:t>73.91</w:t>
            </w:r>
          </w:p>
        </w:tc>
        <w:tc>
          <w:tcPr>
            <w:tcW w:w="160" w:type="dxa"/>
            <w:vAlign w:val="bottom"/>
          </w:tcPr>
          <w:p>
            <w:pPr>
              <w:spacing w:after="0"/>
              <w:rPr>
                <w:sz w:val="11"/>
                <w:szCs w:val="11"/>
                <w:color w:val="auto"/>
              </w:rPr>
            </w:pPr>
          </w:p>
        </w:tc>
      </w:tr>
      <w:tr>
        <w:trPr>
          <w:trHeight w:val="155"/>
        </w:trPr>
        <w:tc>
          <w:tcPr>
            <w:tcW w:w="1600" w:type="dxa"/>
            <w:vAlign w:val="bottom"/>
          </w:tcPr>
          <w:p>
            <w:pPr>
              <w:spacing w:after="0"/>
              <w:rPr>
                <w:sz w:val="13"/>
                <w:szCs w:val="13"/>
                <w:color w:val="auto"/>
              </w:rPr>
            </w:pPr>
          </w:p>
        </w:tc>
        <w:tc>
          <w:tcPr>
            <w:tcW w:w="260" w:type="dxa"/>
            <w:vAlign w:val="bottom"/>
          </w:tcPr>
          <w:p>
            <w:pPr>
              <w:ind w:left="100"/>
              <w:spacing w:after="0"/>
              <w:rPr>
                <w:sz w:val="20"/>
                <w:szCs w:val="20"/>
                <w:color w:val="auto"/>
              </w:rPr>
            </w:pPr>
            <w:r>
              <w:rPr>
                <w:rFonts w:ascii="Arial" w:cs="Arial" w:eastAsia="Arial" w:hAnsi="Arial"/>
                <w:sz w:val="8"/>
                <w:szCs w:val="8"/>
                <w:color w:val="auto"/>
              </w:rPr>
              <w:t>420</w:t>
            </w:r>
          </w:p>
        </w:tc>
        <w:tc>
          <w:tcPr>
            <w:tcW w:w="1120" w:type="dxa"/>
            <w:vAlign w:val="bottom"/>
          </w:tcPr>
          <w:p>
            <w:pPr>
              <w:spacing w:after="0"/>
              <w:rPr>
                <w:sz w:val="20"/>
                <w:szCs w:val="20"/>
                <w:color w:val="auto"/>
              </w:rPr>
            </w:pPr>
            <w:r>
              <w:rPr>
                <w:rFonts w:ascii="Arial" w:cs="Arial" w:eastAsia="Arial" w:hAnsi="Arial"/>
                <w:sz w:val="8"/>
                <w:szCs w:val="8"/>
                <w:color w:val="auto"/>
              </w:rPr>
              <w:t>Lexington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w w:val="92"/>
              </w:rPr>
              <w:t>Oct 2026</w:t>
            </w: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8"/>
                <w:szCs w:val="8"/>
                <w:color w:val="auto"/>
              </w:rPr>
              <w:t>10,043</w:t>
            </w: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8"/>
                <w:szCs w:val="8"/>
                <w:color w:val="auto"/>
              </w:rPr>
              <w:t>642</w:t>
            </w: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8"/>
                <w:szCs w:val="8"/>
                <w:color w:val="auto"/>
              </w:rPr>
              <w:t>642</w:t>
            </w:r>
          </w:p>
        </w:tc>
        <w:tc>
          <w:tcPr>
            <w:tcW w:w="720" w:type="dxa"/>
            <w:vAlign w:val="bottom"/>
            <w:tcBorders>
              <w:bottom w:val="single" w:sz="8" w:color="auto"/>
            </w:tcBorders>
          </w:tcPr>
          <w:p>
            <w:pPr>
              <w:jc w:val="center"/>
              <w:ind w:right="81"/>
              <w:spacing w:after="0"/>
              <w:rPr>
                <w:sz w:val="20"/>
                <w:szCs w:val="20"/>
                <w:color w:val="auto"/>
              </w:rPr>
            </w:pPr>
            <w:r>
              <w:rPr>
                <w:rFonts w:ascii="Arial" w:cs="Arial" w:eastAsia="Arial" w:hAnsi="Arial"/>
                <w:sz w:val="8"/>
                <w:szCs w:val="8"/>
                <w:color w:val="auto"/>
                <w:w w:val="99"/>
              </w:rPr>
              <w:t>—</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63.93</w:t>
            </w:r>
          </w:p>
        </w:tc>
        <w:tc>
          <w:tcPr>
            <w:tcW w:w="160" w:type="dxa"/>
            <w:vAlign w:val="bottom"/>
          </w:tcPr>
          <w:p>
            <w:pPr>
              <w:spacing w:after="0"/>
              <w:rPr>
                <w:sz w:val="13"/>
                <w:szCs w:val="13"/>
                <w:color w:val="auto"/>
              </w:rPr>
            </w:pPr>
          </w:p>
        </w:tc>
      </w:tr>
      <w:tr>
        <w:trPr>
          <w:trHeight w:val="110"/>
        </w:trPr>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463,523</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$53,170</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$28,693</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1.8%</w:t>
            </w:r>
          </w:p>
        </w:tc>
        <w:tc>
          <w:tcPr>
            <w:tcW w:w="660" w:type="dxa"/>
            <w:vAlign w:val="bottom"/>
          </w:tcPr>
          <w:p>
            <w:pPr>
              <w:jc w:val="right"/>
              <w:spacing w:after="0"/>
              <w:rPr>
                <w:sz w:val="20"/>
                <w:szCs w:val="20"/>
                <w:color w:val="auto"/>
              </w:rPr>
            </w:pPr>
            <w:r>
              <w:rPr>
                <w:rFonts w:ascii="Arial" w:cs="Arial" w:eastAsia="Arial" w:hAnsi="Arial"/>
                <w:sz w:val="8"/>
                <w:szCs w:val="8"/>
                <w:color w:val="auto"/>
              </w:rPr>
              <w:t>$114.71</w:t>
            </w:r>
          </w:p>
        </w:tc>
        <w:tc>
          <w:tcPr>
            <w:tcW w:w="160" w:type="dxa"/>
            <w:vAlign w:val="bottom"/>
          </w:tcPr>
          <w:p>
            <w:pPr>
              <w:spacing w:after="0"/>
              <w:rPr>
                <w:sz w:val="9"/>
                <w:szCs w:val="9"/>
                <w:color w:val="auto"/>
              </w:rPr>
            </w:pPr>
          </w:p>
        </w:tc>
      </w:tr>
      <w:tr>
        <w:trPr>
          <w:trHeight w:val="187"/>
        </w:trPr>
        <w:tc>
          <w:tcPr>
            <w:tcW w:w="1600" w:type="dxa"/>
            <w:vAlign w:val="bottom"/>
          </w:tcPr>
          <w:p>
            <w:pPr>
              <w:spacing w:after="0"/>
              <w:rPr>
                <w:sz w:val="20"/>
                <w:szCs w:val="20"/>
                <w:color w:val="auto"/>
              </w:rPr>
            </w:pPr>
            <w:r>
              <w:rPr>
                <w:rFonts w:ascii="Arial" w:cs="Arial" w:eastAsia="Arial" w:hAnsi="Arial"/>
                <w:sz w:val="8"/>
                <w:szCs w:val="8"/>
                <w:color w:val="auto"/>
              </w:rPr>
              <w:t>Societe Generale</w:t>
            </w:r>
          </w:p>
        </w:tc>
        <w:tc>
          <w:tcPr>
            <w:tcW w:w="260" w:type="dxa"/>
            <w:vAlign w:val="bottom"/>
          </w:tcPr>
          <w:p>
            <w:pPr>
              <w:ind w:left="100"/>
              <w:spacing w:after="0"/>
              <w:rPr>
                <w:sz w:val="20"/>
                <w:szCs w:val="20"/>
                <w:color w:val="auto"/>
              </w:rPr>
            </w:pPr>
            <w:r>
              <w:rPr>
                <w:rFonts w:ascii="Arial" w:cs="Arial" w:eastAsia="Arial" w:hAnsi="Arial"/>
                <w:sz w:val="8"/>
                <w:szCs w:val="8"/>
                <w:color w:val="auto"/>
              </w:rPr>
              <w:t>245</w:t>
            </w:r>
          </w:p>
        </w:tc>
        <w:tc>
          <w:tcPr>
            <w:tcW w:w="1120" w:type="dxa"/>
            <w:vAlign w:val="bottom"/>
          </w:tcPr>
          <w:p>
            <w:pPr>
              <w:spacing w:after="0"/>
              <w:rPr>
                <w:sz w:val="20"/>
                <w:szCs w:val="20"/>
                <w:color w:val="auto"/>
              </w:rPr>
            </w:pPr>
            <w:r>
              <w:rPr>
                <w:rFonts w:ascii="Arial" w:cs="Arial" w:eastAsia="Arial" w:hAnsi="Arial"/>
                <w:sz w:val="8"/>
                <w:szCs w:val="8"/>
                <w:color w:val="auto"/>
              </w:rPr>
              <w:t>Park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50.1</w:t>
            </w:r>
          </w:p>
        </w:tc>
        <w:tc>
          <w:tcPr>
            <w:tcW w:w="600" w:type="dxa"/>
            <w:vAlign w:val="bottom"/>
          </w:tcPr>
          <w:p>
            <w:pPr>
              <w:jc w:val="center"/>
              <w:spacing w:after="0"/>
              <w:rPr>
                <w:sz w:val="20"/>
                <w:szCs w:val="20"/>
                <w:color w:val="auto"/>
              </w:rPr>
            </w:pPr>
            <w:r>
              <w:rPr>
                <w:rFonts w:ascii="Arial" w:cs="Arial" w:eastAsia="Arial" w:hAnsi="Arial"/>
                <w:sz w:val="8"/>
                <w:szCs w:val="8"/>
                <w:color w:val="auto"/>
                <w:w w:val="92"/>
              </w:rPr>
              <w:t>Oct 2032</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520,831</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$50,225</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$25,163</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1.6%</w:t>
            </w:r>
          </w:p>
        </w:tc>
        <w:tc>
          <w:tcPr>
            <w:tcW w:w="660" w:type="dxa"/>
            <w:vAlign w:val="bottom"/>
          </w:tcPr>
          <w:p>
            <w:pPr>
              <w:jc w:val="right"/>
              <w:spacing w:after="0"/>
              <w:rPr>
                <w:sz w:val="20"/>
                <w:szCs w:val="20"/>
                <w:color w:val="auto"/>
              </w:rPr>
            </w:pPr>
            <w:r>
              <w:rPr>
                <w:rFonts w:ascii="Arial" w:cs="Arial" w:eastAsia="Arial" w:hAnsi="Arial"/>
                <w:sz w:val="8"/>
                <w:szCs w:val="8"/>
                <w:color w:val="auto"/>
              </w:rPr>
              <w:t>$96.43</w:t>
            </w:r>
          </w:p>
        </w:tc>
        <w:tc>
          <w:tcPr>
            <w:tcW w:w="160" w:type="dxa"/>
            <w:vAlign w:val="bottom"/>
          </w:tcPr>
          <w:p>
            <w:pPr>
              <w:spacing w:after="0"/>
              <w:rPr>
                <w:sz w:val="16"/>
                <w:szCs w:val="16"/>
                <w:color w:val="auto"/>
              </w:rPr>
            </w:pPr>
          </w:p>
        </w:tc>
      </w:tr>
      <w:tr>
        <w:trPr>
          <w:trHeight w:val="128"/>
        </w:trPr>
        <w:tc>
          <w:tcPr>
            <w:tcW w:w="1600" w:type="dxa"/>
            <w:vAlign w:val="bottom"/>
          </w:tcPr>
          <w:p>
            <w:pPr>
              <w:spacing w:after="0"/>
              <w:rPr>
                <w:sz w:val="20"/>
                <w:szCs w:val="20"/>
                <w:color w:val="auto"/>
              </w:rPr>
            </w:pPr>
            <w:r>
              <w:rPr>
                <w:rFonts w:ascii="Arial" w:cs="Arial" w:eastAsia="Arial" w:hAnsi="Arial"/>
                <w:sz w:val="8"/>
                <w:szCs w:val="8"/>
                <w:color w:val="auto"/>
              </w:rPr>
              <w:t>The City of New York</w:t>
            </w:r>
          </w:p>
        </w:tc>
        <w:tc>
          <w:tcPr>
            <w:tcW w:w="260" w:type="dxa"/>
            <w:vAlign w:val="bottom"/>
          </w:tcPr>
          <w:p>
            <w:pPr>
              <w:ind w:left="100"/>
              <w:spacing w:after="0"/>
              <w:rPr>
                <w:sz w:val="20"/>
                <w:szCs w:val="20"/>
                <w:color w:val="auto"/>
              </w:rPr>
            </w:pPr>
            <w:r>
              <w:rPr>
                <w:rFonts w:ascii="Arial" w:cs="Arial" w:eastAsia="Arial" w:hAnsi="Arial"/>
                <w:sz w:val="8"/>
                <w:szCs w:val="8"/>
                <w:color w:val="auto"/>
              </w:rPr>
              <w:t>100</w:t>
            </w:r>
          </w:p>
        </w:tc>
        <w:tc>
          <w:tcPr>
            <w:tcW w:w="1120" w:type="dxa"/>
            <w:vAlign w:val="bottom"/>
          </w:tcPr>
          <w:p>
            <w:pPr>
              <w:spacing w:after="0"/>
              <w:rPr>
                <w:sz w:val="20"/>
                <w:szCs w:val="20"/>
                <w:color w:val="auto"/>
              </w:rPr>
            </w:pPr>
            <w:r>
              <w:rPr>
                <w:rFonts w:ascii="Arial" w:cs="Arial" w:eastAsia="Arial" w:hAnsi="Arial"/>
                <w:sz w:val="8"/>
                <w:szCs w:val="8"/>
                <w:color w:val="auto"/>
              </w:rPr>
              <w:t>Church Street</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rPr>
              <w:t>Mar 2034</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510,007</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$22,955</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$22,955</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1.5%</w:t>
            </w:r>
          </w:p>
        </w:tc>
        <w:tc>
          <w:tcPr>
            <w:tcW w:w="660" w:type="dxa"/>
            <w:vAlign w:val="bottom"/>
          </w:tcPr>
          <w:p>
            <w:pPr>
              <w:jc w:val="right"/>
              <w:spacing w:after="0"/>
              <w:rPr>
                <w:sz w:val="20"/>
                <w:szCs w:val="20"/>
                <w:color w:val="auto"/>
              </w:rPr>
            </w:pPr>
            <w:r>
              <w:rPr>
                <w:rFonts w:ascii="Arial" w:cs="Arial" w:eastAsia="Arial" w:hAnsi="Arial"/>
                <w:sz w:val="8"/>
                <w:szCs w:val="8"/>
                <w:color w:val="auto"/>
              </w:rPr>
              <w:t>$45.01</w:t>
            </w:r>
          </w:p>
        </w:tc>
        <w:tc>
          <w:tcPr>
            <w:tcW w:w="160" w:type="dxa"/>
            <w:vAlign w:val="bottom"/>
          </w:tcPr>
          <w:p>
            <w:pPr>
              <w:spacing w:after="0"/>
              <w:rPr>
                <w:sz w:val="11"/>
                <w:szCs w:val="11"/>
                <w:color w:val="auto"/>
              </w:rPr>
            </w:pPr>
          </w:p>
        </w:tc>
      </w:tr>
      <w:tr>
        <w:trPr>
          <w:trHeight w:val="177"/>
        </w:trPr>
        <w:tc>
          <w:tcPr>
            <w:tcW w:w="1600" w:type="dxa"/>
            <w:vAlign w:val="bottom"/>
          </w:tcPr>
          <w:p>
            <w:pPr>
              <w:spacing w:after="0"/>
              <w:rPr>
                <w:sz w:val="20"/>
                <w:szCs w:val="20"/>
                <w:color w:val="auto"/>
              </w:rPr>
            </w:pPr>
            <w:r>
              <w:rPr>
                <w:rFonts w:ascii="Arial" w:cs="Arial" w:eastAsia="Arial" w:hAnsi="Arial"/>
                <w:sz w:val="8"/>
                <w:szCs w:val="8"/>
                <w:color w:val="auto"/>
              </w:rPr>
              <w:t>Metro-North Commuter Railroad Company</w:t>
            </w:r>
          </w:p>
        </w:tc>
        <w:tc>
          <w:tcPr>
            <w:tcW w:w="260" w:type="dxa"/>
            <w:vAlign w:val="bottom"/>
          </w:tcPr>
          <w:p>
            <w:pPr>
              <w:ind w:left="100"/>
              <w:spacing w:after="0"/>
              <w:rPr>
                <w:sz w:val="20"/>
                <w:szCs w:val="20"/>
                <w:color w:val="auto"/>
              </w:rPr>
            </w:pPr>
            <w:r>
              <w:rPr>
                <w:rFonts w:ascii="Arial" w:cs="Arial" w:eastAsia="Arial" w:hAnsi="Arial"/>
                <w:sz w:val="8"/>
                <w:szCs w:val="8"/>
                <w:color w:val="auto"/>
              </w:rPr>
              <w:t>420</w:t>
            </w:r>
          </w:p>
        </w:tc>
        <w:tc>
          <w:tcPr>
            <w:tcW w:w="1120" w:type="dxa"/>
            <w:vAlign w:val="bottom"/>
          </w:tcPr>
          <w:p>
            <w:pPr>
              <w:spacing w:after="0"/>
              <w:rPr>
                <w:sz w:val="20"/>
                <w:szCs w:val="20"/>
                <w:color w:val="auto"/>
              </w:rPr>
            </w:pPr>
            <w:r>
              <w:rPr>
                <w:rFonts w:ascii="Arial" w:cs="Arial" w:eastAsia="Arial" w:hAnsi="Arial"/>
                <w:sz w:val="8"/>
                <w:szCs w:val="8"/>
                <w:color w:val="auto"/>
              </w:rPr>
              <w:t>Lexington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Nov 2034</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344,873</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$22,098</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$22,098</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1.4%</w:t>
            </w:r>
          </w:p>
        </w:tc>
        <w:tc>
          <w:tcPr>
            <w:tcW w:w="660" w:type="dxa"/>
            <w:vAlign w:val="bottom"/>
          </w:tcPr>
          <w:p>
            <w:pPr>
              <w:jc w:val="right"/>
              <w:spacing w:after="0"/>
              <w:rPr>
                <w:sz w:val="20"/>
                <w:szCs w:val="20"/>
                <w:color w:val="auto"/>
              </w:rPr>
            </w:pPr>
            <w:r>
              <w:rPr>
                <w:rFonts w:ascii="Arial" w:cs="Arial" w:eastAsia="Arial" w:hAnsi="Arial"/>
                <w:sz w:val="8"/>
                <w:szCs w:val="8"/>
                <w:color w:val="auto"/>
              </w:rPr>
              <w:t>$64.07</w:t>
            </w:r>
          </w:p>
        </w:tc>
        <w:tc>
          <w:tcPr>
            <w:tcW w:w="160" w:type="dxa"/>
            <w:vAlign w:val="bottom"/>
          </w:tcPr>
          <w:p>
            <w:pPr>
              <w:spacing w:after="0"/>
              <w:rPr>
                <w:sz w:val="15"/>
                <w:szCs w:val="15"/>
                <w:color w:val="auto"/>
              </w:rPr>
            </w:pPr>
          </w:p>
        </w:tc>
      </w:tr>
      <w:tr>
        <w:trPr>
          <w:trHeight w:val="138"/>
        </w:trPr>
        <w:tc>
          <w:tcPr>
            <w:tcW w:w="1600" w:type="dxa"/>
            <w:vAlign w:val="bottom"/>
          </w:tcPr>
          <w:p>
            <w:pPr>
              <w:spacing w:after="0"/>
              <w:rPr>
                <w:sz w:val="11"/>
                <w:szCs w:val="11"/>
                <w:color w:val="auto"/>
              </w:rPr>
            </w:pPr>
          </w:p>
        </w:tc>
        <w:tc>
          <w:tcPr>
            <w:tcW w:w="260" w:type="dxa"/>
            <w:vAlign w:val="bottom"/>
          </w:tcPr>
          <w:p>
            <w:pPr>
              <w:ind w:left="100"/>
              <w:spacing w:after="0"/>
              <w:rPr>
                <w:sz w:val="20"/>
                <w:szCs w:val="20"/>
                <w:color w:val="auto"/>
              </w:rPr>
            </w:pPr>
            <w:r>
              <w:rPr>
                <w:rFonts w:ascii="Arial" w:cs="Arial" w:eastAsia="Arial" w:hAnsi="Arial"/>
                <w:sz w:val="8"/>
                <w:szCs w:val="8"/>
                <w:color w:val="auto"/>
              </w:rPr>
              <w:t>420</w:t>
            </w:r>
          </w:p>
        </w:tc>
        <w:tc>
          <w:tcPr>
            <w:tcW w:w="1120" w:type="dxa"/>
            <w:vAlign w:val="bottom"/>
          </w:tcPr>
          <w:p>
            <w:pPr>
              <w:spacing w:after="0"/>
              <w:rPr>
                <w:sz w:val="20"/>
                <w:szCs w:val="20"/>
                <w:color w:val="auto"/>
              </w:rPr>
            </w:pPr>
            <w:r>
              <w:rPr>
                <w:rFonts w:ascii="Arial" w:cs="Arial" w:eastAsia="Arial" w:hAnsi="Arial"/>
                <w:sz w:val="8"/>
                <w:szCs w:val="8"/>
                <w:color w:val="auto"/>
              </w:rPr>
              <w:t>Lexington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rPr>
              <w:t>Jan 2027</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7,537</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454</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454</w:t>
            </w:r>
          </w:p>
        </w:tc>
        <w:tc>
          <w:tcPr>
            <w:tcW w:w="720" w:type="dxa"/>
            <w:vAlign w:val="bottom"/>
          </w:tcPr>
          <w:p>
            <w:pPr>
              <w:jc w:val="center"/>
              <w:ind w:right="81"/>
              <w:spacing w:after="0"/>
              <w:rPr>
                <w:sz w:val="20"/>
                <w:szCs w:val="20"/>
                <w:color w:val="auto"/>
              </w:rPr>
            </w:pPr>
            <w:r>
              <w:rPr>
                <w:rFonts w:ascii="Arial" w:cs="Arial" w:eastAsia="Arial" w:hAnsi="Arial"/>
                <w:sz w:val="8"/>
                <w:szCs w:val="8"/>
                <w:color w:val="auto"/>
                <w:w w:val="99"/>
              </w:rPr>
              <w:t>—</w:t>
            </w:r>
          </w:p>
        </w:tc>
        <w:tc>
          <w:tcPr>
            <w:tcW w:w="660" w:type="dxa"/>
            <w:vAlign w:val="bottom"/>
          </w:tcPr>
          <w:p>
            <w:pPr>
              <w:jc w:val="right"/>
              <w:spacing w:after="0"/>
              <w:rPr>
                <w:sz w:val="20"/>
                <w:szCs w:val="20"/>
                <w:color w:val="auto"/>
              </w:rPr>
            </w:pPr>
            <w:r>
              <w:rPr>
                <w:rFonts w:ascii="Arial" w:cs="Arial" w:eastAsia="Arial" w:hAnsi="Arial"/>
                <w:sz w:val="8"/>
                <w:szCs w:val="8"/>
                <w:color w:val="auto"/>
              </w:rPr>
              <w:t>60.20</w:t>
            </w:r>
          </w:p>
        </w:tc>
        <w:tc>
          <w:tcPr>
            <w:tcW w:w="160" w:type="dxa"/>
            <w:vAlign w:val="bottom"/>
          </w:tcPr>
          <w:p>
            <w:pPr>
              <w:spacing w:after="0"/>
              <w:rPr>
                <w:sz w:val="11"/>
                <w:szCs w:val="11"/>
                <w:color w:val="auto"/>
              </w:rPr>
            </w:pPr>
          </w:p>
        </w:tc>
      </w:tr>
      <w:tr>
        <w:trPr>
          <w:trHeight w:val="25"/>
        </w:trPr>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08"/>
        </w:trPr>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352,410</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$22,552</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$22,552</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1.4%</w:t>
            </w:r>
          </w:p>
        </w:tc>
        <w:tc>
          <w:tcPr>
            <w:tcW w:w="660" w:type="dxa"/>
            <w:vAlign w:val="bottom"/>
          </w:tcPr>
          <w:p>
            <w:pPr>
              <w:jc w:val="right"/>
              <w:spacing w:after="0"/>
              <w:rPr>
                <w:sz w:val="20"/>
                <w:szCs w:val="20"/>
                <w:color w:val="auto"/>
              </w:rPr>
            </w:pPr>
            <w:r>
              <w:rPr>
                <w:rFonts w:ascii="Arial" w:cs="Arial" w:eastAsia="Arial" w:hAnsi="Arial"/>
                <w:sz w:val="8"/>
                <w:szCs w:val="8"/>
                <w:color w:val="auto"/>
              </w:rPr>
              <w:t>$63.99</w:t>
            </w:r>
          </w:p>
        </w:tc>
        <w:tc>
          <w:tcPr>
            <w:tcW w:w="16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171"/>
        </w:trPr>
        <w:tc>
          <w:tcPr>
            <w:tcW w:w="1600" w:type="dxa"/>
            <w:vAlign w:val="bottom"/>
          </w:tcPr>
          <w:p>
            <w:pPr>
              <w:spacing w:after="0"/>
              <w:rPr>
                <w:sz w:val="20"/>
                <w:szCs w:val="20"/>
                <w:color w:val="auto"/>
              </w:rPr>
            </w:pPr>
            <w:r>
              <w:rPr>
                <w:rFonts w:ascii="Arial" w:cs="Arial" w:eastAsia="Arial" w:hAnsi="Arial"/>
                <w:sz w:val="8"/>
                <w:szCs w:val="8"/>
                <w:color w:val="auto"/>
              </w:rPr>
              <w:t>Nike Retail Services, Inc.</w:t>
            </w:r>
          </w:p>
        </w:tc>
        <w:tc>
          <w:tcPr>
            <w:tcW w:w="260" w:type="dxa"/>
            <w:vAlign w:val="bottom"/>
          </w:tcPr>
          <w:p>
            <w:pPr>
              <w:ind w:left="100"/>
              <w:spacing w:after="0"/>
              <w:rPr>
                <w:sz w:val="20"/>
                <w:szCs w:val="20"/>
                <w:color w:val="auto"/>
              </w:rPr>
            </w:pPr>
            <w:r>
              <w:rPr>
                <w:rFonts w:ascii="Arial" w:cs="Arial" w:eastAsia="Arial" w:hAnsi="Arial"/>
                <w:sz w:val="8"/>
                <w:szCs w:val="8"/>
                <w:color w:val="auto"/>
              </w:rPr>
              <w:t>650</w:t>
            </w:r>
          </w:p>
        </w:tc>
        <w:tc>
          <w:tcPr>
            <w:tcW w:w="1120" w:type="dxa"/>
            <w:vAlign w:val="bottom"/>
          </w:tcPr>
          <w:p>
            <w:pPr>
              <w:spacing w:after="0"/>
              <w:rPr>
                <w:sz w:val="20"/>
                <w:szCs w:val="20"/>
                <w:color w:val="auto"/>
              </w:rPr>
            </w:pPr>
            <w:r>
              <w:rPr>
                <w:rFonts w:ascii="Arial" w:cs="Arial" w:eastAsia="Arial" w:hAnsi="Arial"/>
                <w:sz w:val="8"/>
                <w:szCs w:val="8"/>
                <w:color w:val="auto"/>
              </w:rPr>
              <w:t>Fifth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50.0</w:t>
            </w:r>
          </w:p>
        </w:tc>
        <w:tc>
          <w:tcPr>
            <w:tcW w:w="600" w:type="dxa"/>
            <w:vAlign w:val="bottom"/>
          </w:tcPr>
          <w:p>
            <w:pPr>
              <w:jc w:val="center"/>
              <w:spacing w:after="0"/>
              <w:rPr>
                <w:sz w:val="20"/>
                <w:szCs w:val="20"/>
                <w:color w:val="auto"/>
              </w:rPr>
            </w:pPr>
            <w:r>
              <w:rPr>
                <w:rFonts w:ascii="Arial" w:cs="Arial" w:eastAsia="Arial" w:hAnsi="Arial"/>
                <w:sz w:val="8"/>
                <w:szCs w:val="8"/>
                <w:color w:val="auto"/>
              </w:rPr>
              <w:t>Jan 2033</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69,214</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$43,839</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$21,920</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1.4%</w:t>
            </w:r>
          </w:p>
        </w:tc>
        <w:tc>
          <w:tcPr>
            <w:tcW w:w="660" w:type="dxa"/>
            <w:vAlign w:val="bottom"/>
          </w:tcPr>
          <w:p>
            <w:pPr>
              <w:jc w:val="right"/>
              <w:spacing w:after="0"/>
              <w:rPr>
                <w:sz w:val="20"/>
                <w:szCs w:val="20"/>
                <w:color w:val="auto"/>
              </w:rPr>
            </w:pPr>
            <w:r>
              <w:rPr>
                <w:rFonts w:ascii="Arial" w:cs="Arial" w:eastAsia="Arial" w:hAnsi="Arial"/>
                <w:sz w:val="8"/>
                <w:szCs w:val="8"/>
                <w:color w:val="auto"/>
              </w:rPr>
              <w:t>$633.39</w:t>
            </w:r>
          </w:p>
        </w:tc>
        <w:tc>
          <w:tcPr>
            <w:tcW w:w="160" w:type="dxa"/>
            <w:vAlign w:val="bottom"/>
          </w:tcPr>
          <w:p>
            <w:pPr>
              <w:spacing w:after="0"/>
              <w:rPr>
                <w:sz w:val="14"/>
                <w:szCs w:val="14"/>
                <w:color w:val="auto"/>
              </w:rPr>
            </w:pPr>
          </w:p>
        </w:tc>
      </w:tr>
      <w:tr>
        <w:trPr>
          <w:trHeight w:val="177"/>
        </w:trPr>
        <w:tc>
          <w:tcPr>
            <w:tcW w:w="1600" w:type="dxa"/>
            <w:vAlign w:val="bottom"/>
          </w:tcPr>
          <w:p>
            <w:pPr>
              <w:spacing w:after="0"/>
              <w:rPr>
                <w:sz w:val="20"/>
                <w:szCs w:val="20"/>
                <w:color w:val="auto"/>
              </w:rPr>
            </w:pPr>
            <w:r>
              <w:rPr>
                <w:rFonts w:ascii="Arial" w:cs="Arial" w:eastAsia="Arial" w:hAnsi="Arial"/>
                <w:sz w:val="8"/>
                <w:szCs w:val="8"/>
                <w:color w:val="auto"/>
              </w:rPr>
              <w:t>WME IMG, LLC</w:t>
            </w:r>
          </w:p>
        </w:tc>
        <w:tc>
          <w:tcPr>
            <w:tcW w:w="260" w:type="dxa"/>
            <w:vAlign w:val="bottom"/>
          </w:tcPr>
          <w:p>
            <w:pPr>
              <w:ind w:left="100"/>
              <w:spacing w:after="0"/>
              <w:rPr>
                <w:sz w:val="20"/>
                <w:szCs w:val="20"/>
                <w:color w:val="auto"/>
              </w:rPr>
            </w:pPr>
            <w:r>
              <w:rPr>
                <w:rFonts w:ascii="Arial" w:cs="Arial" w:eastAsia="Arial" w:hAnsi="Arial"/>
                <w:sz w:val="8"/>
                <w:szCs w:val="8"/>
                <w:color w:val="auto"/>
              </w:rPr>
              <w:t>304</w:t>
            </w:r>
          </w:p>
        </w:tc>
        <w:tc>
          <w:tcPr>
            <w:tcW w:w="1120" w:type="dxa"/>
            <w:vAlign w:val="bottom"/>
          </w:tcPr>
          <w:p>
            <w:pPr>
              <w:spacing w:after="0"/>
              <w:rPr>
                <w:sz w:val="20"/>
                <w:szCs w:val="20"/>
                <w:color w:val="auto"/>
              </w:rPr>
            </w:pPr>
            <w:r>
              <w:rPr>
                <w:rFonts w:ascii="Arial" w:cs="Arial" w:eastAsia="Arial" w:hAnsi="Arial"/>
                <w:sz w:val="8"/>
                <w:szCs w:val="8"/>
                <w:color w:val="auto"/>
              </w:rPr>
              <w:t>Park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w w:val="92"/>
              </w:rPr>
              <w:t>Apr 2028</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174,069</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$14,225</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$14,226</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1.0%</w:t>
            </w:r>
          </w:p>
        </w:tc>
        <w:tc>
          <w:tcPr>
            <w:tcW w:w="660" w:type="dxa"/>
            <w:vAlign w:val="bottom"/>
          </w:tcPr>
          <w:p>
            <w:pPr>
              <w:jc w:val="right"/>
              <w:spacing w:after="0"/>
              <w:rPr>
                <w:sz w:val="20"/>
                <w:szCs w:val="20"/>
                <w:color w:val="auto"/>
              </w:rPr>
            </w:pPr>
            <w:r>
              <w:rPr>
                <w:rFonts w:ascii="Arial" w:cs="Arial" w:eastAsia="Arial" w:hAnsi="Arial"/>
                <w:sz w:val="8"/>
                <w:szCs w:val="8"/>
                <w:color w:val="auto"/>
              </w:rPr>
              <w:t>$81.73</w:t>
            </w:r>
          </w:p>
        </w:tc>
        <w:tc>
          <w:tcPr>
            <w:tcW w:w="160" w:type="dxa"/>
            <w:vAlign w:val="bottom"/>
          </w:tcPr>
          <w:p>
            <w:pPr>
              <w:spacing w:after="0"/>
              <w:rPr>
                <w:sz w:val="15"/>
                <w:szCs w:val="15"/>
                <w:color w:val="auto"/>
              </w:rPr>
            </w:pPr>
          </w:p>
        </w:tc>
      </w:tr>
      <w:tr>
        <w:trPr>
          <w:trHeight w:val="138"/>
        </w:trPr>
        <w:tc>
          <w:tcPr>
            <w:tcW w:w="1600" w:type="dxa"/>
            <w:vAlign w:val="bottom"/>
          </w:tcPr>
          <w:p>
            <w:pPr>
              <w:spacing w:after="0"/>
              <w:rPr>
                <w:sz w:val="11"/>
                <w:szCs w:val="11"/>
                <w:color w:val="auto"/>
              </w:rPr>
            </w:pP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11 Madison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60.0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Sep 2030</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104,618</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11,370</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6,822</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0.5%</w:t>
            </w:r>
          </w:p>
        </w:tc>
        <w:tc>
          <w:tcPr>
            <w:tcW w:w="660" w:type="dxa"/>
            <w:vAlign w:val="bottom"/>
          </w:tcPr>
          <w:p>
            <w:pPr>
              <w:jc w:val="right"/>
              <w:spacing w:after="0"/>
              <w:rPr>
                <w:sz w:val="20"/>
                <w:szCs w:val="20"/>
                <w:color w:val="auto"/>
              </w:rPr>
            </w:pPr>
            <w:r>
              <w:rPr>
                <w:rFonts w:ascii="Arial" w:cs="Arial" w:eastAsia="Arial" w:hAnsi="Arial"/>
                <w:sz w:val="8"/>
                <w:szCs w:val="8"/>
                <w:color w:val="auto"/>
              </w:rPr>
              <w:t>$108.68</w:t>
            </w:r>
          </w:p>
        </w:tc>
        <w:tc>
          <w:tcPr>
            <w:tcW w:w="160" w:type="dxa"/>
            <w:vAlign w:val="bottom"/>
          </w:tcPr>
          <w:p>
            <w:pPr>
              <w:spacing w:after="0"/>
              <w:rPr>
                <w:sz w:val="11"/>
                <w:szCs w:val="11"/>
                <w:color w:val="auto"/>
              </w:rPr>
            </w:pPr>
          </w:p>
        </w:tc>
      </w:tr>
      <w:tr>
        <w:trPr>
          <w:trHeight w:val="25"/>
        </w:trPr>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93"/>
        </w:trPr>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278,687</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$25,595</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$21,048</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1.5%</w:t>
            </w:r>
          </w:p>
        </w:tc>
        <w:tc>
          <w:tcPr>
            <w:tcW w:w="660" w:type="dxa"/>
            <w:vAlign w:val="bottom"/>
          </w:tcPr>
          <w:p>
            <w:pPr>
              <w:jc w:val="right"/>
              <w:spacing w:after="0"/>
              <w:rPr>
                <w:sz w:val="20"/>
                <w:szCs w:val="20"/>
                <w:color w:val="auto"/>
              </w:rPr>
            </w:pPr>
            <w:r>
              <w:rPr>
                <w:rFonts w:ascii="Arial" w:cs="Arial" w:eastAsia="Arial" w:hAnsi="Arial"/>
                <w:sz w:val="8"/>
                <w:szCs w:val="8"/>
                <w:color w:val="auto"/>
              </w:rPr>
              <w:t>$92.60</w:t>
            </w:r>
          </w:p>
        </w:tc>
        <w:tc>
          <w:tcPr>
            <w:tcW w:w="160" w:type="dxa"/>
            <w:vAlign w:val="bottom"/>
          </w:tcPr>
          <w:p>
            <w:pPr>
              <w:spacing w:after="0"/>
              <w:rPr>
                <w:sz w:val="8"/>
                <w:szCs w:val="8"/>
                <w:color w:val="auto"/>
              </w:rPr>
            </w:pPr>
          </w:p>
        </w:tc>
      </w:tr>
      <w:tr>
        <w:trPr>
          <w:trHeight w:val="281"/>
        </w:trPr>
        <w:tc>
          <w:tcPr>
            <w:tcW w:w="1600" w:type="dxa"/>
            <w:vAlign w:val="bottom"/>
          </w:tcPr>
          <w:p>
            <w:pPr>
              <w:spacing w:after="0"/>
              <w:rPr>
                <w:sz w:val="20"/>
                <w:szCs w:val="20"/>
                <w:color w:val="auto"/>
              </w:rPr>
            </w:pPr>
            <w:r>
              <w:rPr>
                <w:rFonts w:ascii="Arial" w:cs="Arial" w:eastAsia="Arial" w:hAnsi="Arial"/>
                <w:sz w:val="8"/>
                <w:szCs w:val="8"/>
                <w:color w:val="auto"/>
              </w:rPr>
              <w:t>TD Bank US Holding Company</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One Vanderbilt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55.0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Jul 2041</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193,159</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$26,247</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$14,436</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0.9%</w:t>
            </w:r>
          </w:p>
        </w:tc>
        <w:tc>
          <w:tcPr>
            <w:tcW w:w="660" w:type="dxa"/>
            <w:vAlign w:val="bottom"/>
          </w:tcPr>
          <w:p>
            <w:pPr>
              <w:jc w:val="right"/>
              <w:spacing w:after="0"/>
              <w:rPr>
                <w:sz w:val="20"/>
                <w:szCs w:val="20"/>
                <w:color w:val="auto"/>
              </w:rPr>
            </w:pPr>
            <w:r>
              <w:rPr>
                <w:rFonts w:ascii="Arial" w:cs="Arial" w:eastAsia="Arial" w:hAnsi="Arial"/>
                <w:sz w:val="8"/>
                <w:szCs w:val="8"/>
                <w:color w:val="auto"/>
              </w:rPr>
              <w:t>$135.88</w:t>
            </w:r>
          </w:p>
        </w:tc>
        <w:tc>
          <w:tcPr>
            <w:tcW w:w="16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142"/>
        </w:trPr>
        <w:tc>
          <w:tcPr>
            <w:tcW w:w="160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One Vanderbilt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55.0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Aug 2041</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6,843</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3,252</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1,789</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0.1%</w:t>
            </w: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475.20</w:t>
            </w:r>
          </w:p>
        </w:tc>
        <w:tc>
          <w:tcPr>
            <w:tcW w:w="160" w:type="dxa"/>
            <w:vAlign w:val="bottom"/>
          </w:tcPr>
          <w:p>
            <w:pPr>
              <w:spacing w:after="0"/>
              <w:rPr>
                <w:sz w:val="12"/>
                <w:szCs w:val="12"/>
                <w:color w:val="auto"/>
              </w:rPr>
            </w:pPr>
          </w:p>
        </w:tc>
      </w:tr>
      <w:tr>
        <w:trPr>
          <w:trHeight w:val="138"/>
        </w:trPr>
        <w:tc>
          <w:tcPr>
            <w:tcW w:w="1600" w:type="dxa"/>
            <w:vAlign w:val="bottom"/>
          </w:tcPr>
          <w:p>
            <w:pPr>
              <w:spacing w:after="0"/>
              <w:rPr>
                <w:sz w:val="11"/>
                <w:szCs w:val="11"/>
                <w:color w:val="auto"/>
              </w:rPr>
            </w:pPr>
          </w:p>
        </w:tc>
        <w:tc>
          <w:tcPr>
            <w:tcW w:w="260" w:type="dxa"/>
            <w:vAlign w:val="bottom"/>
          </w:tcPr>
          <w:p>
            <w:pPr>
              <w:ind w:left="100"/>
              <w:spacing w:after="0"/>
              <w:rPr>
                <w:sz w:val="20"/>
                <w:szCs w:val="20"/>
                <w:color w:val="auto"/>
              </w:rPr>
            </w:pPr>
            <w:r>
              <w:rPr>
                <w:rFonts w:ascii="Arial" w:cs="Arial" w:eastAsia="Arial" w:hAnsi="Arial"/>
                <w:sz w:val="8"/>
                <w:szCs w:val="8"/>
                <w:color w:val="auto"/>
              </w:rPr>
              <w:t>125</w:t>
            </w:r>
          </w:p>
        </w:tc>
        <w:tc>
          <w:tcPr>
            <w:tcW w:w="1120" w:type="dxa"/>
            <w:vAlign w:val="bottom"/>
          </w:tcPr>
          <w:p>
            <w:pPr>
              <w:spacing w:after="0"/>
              <w:rPr>
                <w:sz w:val="20"/>
                <w:szCs w:val="20"/>
                <w:color w:val="auto"/>
              </w:rPr>
            </w:pPr>
            <w:r>
              <w:rPr>
                <w:rFonts w:ascii="Arial" w:cs="Arial" w:eastAsia="Arial" w:hAnsi="Arial"/>
                <w:sz w:val="8"/>
                <w:szCs w:val="8"/>
                <w:color w:val="auto"/>
              </w:rPr>
              <w:t>Park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w w:val="92"/>
              </w:rPr>
              <w:t>Oct 2030</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26,536</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1,962</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1,962</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0.1%</w:t>
            </w:r>
          </w:p>
        </w:tc>
        <w:tc>
          <w:tcPr>
            <w:tcW w:w="660" w:type="dxa"/>
            <w:vAlign w:val="bottom"/>
          </w:tcPr>
          <w:p>
            <w:pPr>
              <w:jc w:val="right"/>
              <w:ind w:right="21"/>
              <w:spacing w:after="0"/>
              <w:rPr>
                <w:sz w:val="20"/>
                <w:szCs w:val="20"/>
                <w:color w:val="auto"/>
              </w:rPr>
            </w:pPr>
            <w:r>
              <w:rPr>
                <w:rFonts w:ascii="Arial" w:cs="Arial" w:eastAsia="Arial" w:hAnsi="Arial"/>
                <w:sz w:val="8"/>
                <w:szCs w:val="8"/>
                <w:color w:val="auto"/>
              </w:rPr>
              <w:t>73.94</w:t>
            </w:r>
          </w:p>
        </w:tc>
        <w:tc>
          <w:tcPr>
            <w:tcW w:w="160" w:type="dxa"/>
            <w:vAlign w:val="bottom"/>
          </w:tcPr>
          <w:p>
            <w:pPr>
              <w:spacing w:after="0"/>
              <w:rPr>
                <w:sz w:val="11"/>
                <w:szCs w:val="11"/>
                <w:color w:val="auto"/>
              </w:rPr>
            </w:pPr>
          </w:p>
        </w:tc>
      </w:tr>
      <w:tr>
        <w:trPr>
          <w:trHeight w:val="145"/>
        </w:trPr>
        <w:tc>
          <w:tcPr>
            <w:tcW w:w="1600" w:type="dxa"/>
            <w:vAlign w:val="bottom"/>
          </w:tcPr>
          <w:p>
            <w:pPr>
              <w:spacing w:after="0"/>
              <w:rPr>
                <w:sz w:val="12"/>
                <w:szCs w:val="12"/>
                <w:color w:val="auto"/>
              </w:rPr>
            </w:pPr>
          </w:p>
        </w:tc>
        <w:tc>
          <w:tcPr>
            <w:tcW w:w="260" w:type="dxa"/>
            <w:vAlign w:val="bottom"/>
          </w:tcPr>
          <w:p>
            <w:pPr>
              <w:ind w:left="100"/>
              <w:spacing w:after="0"/>
              <w:rPr>
                <w:sz w:val="20"/>
                <w:szCs w:val="20"/>
                <w:color w:val="auto"/>
              </w:rPr>
            </w:pPr>
            <w:r>
              <w:rPr>
                <w:rFonts w:ascii="Arial" w:cs="Arial" w:eastAsia="Arial" w:hAnsi="Arial"/>
                <w:sz w:val="8"/>
                <w:szCs w:val="8"/>
                <w:color w:val="auto"/>
              </w:rPr>
              <w:t>125</w:t>
            </w:r>
          </w:p>
        </w:tc>
        <w:tc>
          <w:tcPr>
            <w:tcW w:w="1120" w:type="dxa"/>
            <w:vAlign w:val="bottom"/>
          </w:tcPr>
          <w:p>
            <w:pPr>
              <w:spacing w:after="0"/>
              <w:rPr>
                <w:sz w:val="20"/>
                <w:szCs w:val="20"/>
                <w:color w:val="auto"/>
              </w:rPr>
            </w:pPr>
            <w:r>
              <w:rPr>
                <w:rFonts w:ascii="Arial" w:cs="Arial" w:eastAsia="Arial" w:hAnsi="Arial"/>
                <w:sz w:val="8"/>
                <w:szCs w:val="8"/>
                <w:color w:val="auto"/>
              </w:rPr>
              <w:t>Park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rPr>
              <w:t>Mar 2034</w:t>
            </w: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8"/>
                <w:szCs w:val="8"/>
                <w:color w:val="auto"/>
              </w:rPr>
              <w:t>25,171</w:t>
            </w: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8"/>
                <w:szCs w:val="8"/>
                <w:color w:val="auto"/>
              </w:rPr>
              <w:t>1,655</w:t>
            </w: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8"/>
                <w:szCs w:val="8"/>
                <w:color w:val="auto"/>
              </w:rPr>
              <w:t>1,655</w:t>
            </w:r>
          </w:p>
        </w:tc>
        <w:tc>
          <w:tcPr>
            <w:tcW w:w="720" w:type="dxa"/>
            <w:vAlign w:val="bottom"/>
            <w:tcBorders>
              <w:bottom w:val="single" w:sz="8" w:color="auto"/>
            </w:tcBorders>
          </w:tcPr>
          <w:p>
            <w:pPr>
              <w:jc w:val="center"/>
              <w:ind w:right="101"/>
              <w:spacing w:after="0"/>
              <w:rPr>
                <w:sz w:val="20"/>
                <w:szCs w:val="20"/>
                <w:color w:val="auto"/>
              </w:rPr>
            </w:pPr>
            <w:r>
              <w:rPr>
                <w:rFonts w:ascii="Arial" w:cs="Arial" w:eastAsia="Arial" w:hAnsi="Arial"/>
                <w:sz w:val="8"/>
                <w:szCs w:val="8"/>
                <w:color w:val="auto"/>
                <w:w w:val="98"/>
              </w:rPr>
              <w:t>0.1%</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65.77</w:t>
            </w:r>
          </w:p>
        </w:tc>
        <w:tc>
          <w:tcPr>
            <w:tcW w:w="160" w:type="dxa"/>
            <w:vAlign w:val="bottom"/>
          </w:tcPr>
          <w:p>
            <w:pPr>
              <w:spacing w:after="0"/>
              <w:rPr>
                <w:sz w:val="12"/>
                <w:szCs w:val="12"/>
                <w:color w:val="auto"/>
              </w:rPr>
            </w:pPr>
          </w:p>
        </w:tc>
      </w:tr>
      <w:tr>
        <w:trPr>
          <w:trHeight w:val="110"/>
        </w:trPr>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251,709</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$33,116</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$19,842</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1.2%</w:t>
            </w:r>
          </w:p>
        </w:tc>
        <w:tc>
          <w:tcPr>
            <w:tcW w:w="660" w:type="dxa"/>
            <w:vAlign w:val="bottom"/>
          </w:tcPr>
          <w:p>
            <w:pPr>
              <w:jc w:val="right"/>
              <w:spacing w:after="0"/>
              <w:rPr>
                <w:sz w:val="20"/>
                <w:szCs w:val="20"/>
                <w:color w:val="auto"/>
              </w:rPr>
            </w:pPr>
            <w:r>
              <w:rPr>
                <w:rFonts w:ascii="Arial" w:cs="Arial" w:eastAsia="Arial" w:hAnsi="Arial"/>
                <w:sz w:val="8"/>
                <w:szCs w:val="8"/>
                <w:color w:val="auto"/>
              </w:rPr>
              <w:t>$131.56</w:t>
            </w:r>
          </w:p>
        </w:tc>
        <w:tc>
          <w:tcPr>
            <w:tcW w:w="160" w:type="dxa"/>
            <w:vAlign w:val="bottom"/>
          </w:tcPr>
          <w:p>
            <w:pPr>
              <w:spacing w:after="0"/>
              <w:rPr>
                <w:sz w:val="9"/>
                <w:szCs w:val="9"/>
                <w:color w:val="auto"/>
              </w:rPr>
            </w:pPr>
          </w:p>
        </w:tc>
      </w:tr>
      <w:tr>
        <w:trPr>
          <w:trHeight w:val="177"/>
        </w:trPr>
        <w:tc>
          <w:tcPr>
            <w:tcW w:w="1600" w:type="dxa"/>
            <w:vAlign w:val="bottom"/>
          </w:tcPr>
          <w:p>
            <w:pPr>
              <w:spacing w:after="0"/>
              <w:rPr>
                <w:sz w:val="20"/>
                <w:szCs w:val="20"/>
                <w:color w:val="auto"/>
              </w:rPr>
            </w:pPr>
            <w:r>
              <w:rPr>
                <w:rFonts w:ascii="Arial" w:cs="Arial" w:eastAsia="Arial" w:hAnsi="Arial"/>
                <w:sz w:val="8"/>
                <w:szCs w:val="8"/>
                <w:color w:val="auto"/>
              </w:rPr>
              <w:t>Ares Management LLC</w:t>
            </w:r>
          </w:p>
        </w:tc>
        <w:tc>
          <w:tcPr>
            <w:tcW w:w="260" w:type="dxa"/>
            <w:vAlign w:val="bottom"/>
          </w:tcPr>
          <w:p>
            <w:pPr>
              <w:ind w:left="100"/>
              <w:spacing w:after="0"/>
              <w:rPr>
                <w:sz w:val="20"/>
                <w:szCs w:val="20"/>
                <w:color w:val="auto"/>
              </w:rPr>
            </w:pPr>
            <w:r>
              <w:rPr>
                <w:rFonts w:ascii="Arial" w:cs="Arial" w:eastAsia="Arial" w:hAnsi="Arial"/>
                <w:sz w:val="8"/>
                <w:szCs w:val="8"/>
                <w:color w:val="auto"/>
              </w:rPr>
              <w:t>245</w:t>
            </w:r>
          </w:p>
        </w:tc>
        <w:tc>
          <w:tcPr>
            <w:tcW w:w="1120" w:type="dxa"/>
            <w:vAlign w:val="bottom"/>
          </w:tcPr>
          <w:p>
            <w:pPr>
              <w:spacing w:after="0"/>
              <w:rPr>
                <w:sz w:val="20"/>
                <w:szCs w:val="20"/>
                <w:color w:val="auto"/>
              </w:rPr>
            </w:pPr>
            <w:r>
              <w:rPr>
                <w:rFonts w:ascii="Arial" w:cs="Arial" w:eastAsia="Arial" w:hAnsi="Arial"/>
                <w:sz w:val="8"/>
                <w:szCs w:val="8"/>
                <w:color w:val="auto"/>
              </w:rPr>
              <w:t>Park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50.1</w:t>
            </w:r>
          </w:p>
        </w:tc>
        <w:tc>
          <w:tcPr>
            <w:tcW w:w="600" w:type="dxa"/>
            <w:vAlign w:val="bottom"/>
          </w:tcPr>
          <w:p>
            <w:pPr>
              <w:jc w:val="center"/>
              <w:spacing w:after="0"/>
              <w:rPr>
                <w:sz w:val="20"/>
                <w:szCs w:val="20"/>
                <w:color w:val="auto"/>
              </w:rPr>
            </w:pPr>
            <w:r>
              <w:rPr>
                <w:rFonts w:ascii="Arial" w:cs="Arial" w:eastAsia="Arial" w:hAnsi="Arial"/>
                <w:sz w:val="8"/>
                <w:szCs w:val="8"/>
                <w:color w:val="auto"/>
              </w:rPr>
              <w:t>Jun 2043</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289,249</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$35,578</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$17,825</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1.2%</w:t>
            </w:r>
          </w:p>
        </w:tc>
        <w:tc>
          <w:tcPr>
            <w:tcW w:w="660" w:type="dxa"/>
            <w:vAlign w:val="bottom"/>
          </w:tcPr>
          <w:p>
            <w:pPr>
              <w:jc w:val="right"/>
              <w:spacing w:after="0"/>
              <w:rPr>
                <w:sz w:val="20"/>
                <w:szCs w:val="20"/>
                <w:color w:val="auto"/>
              </w:rPr>
            </w:pPr>
            <w:r>
              <w:rPr>
                <w:rFonts w:ascii="Arial" w:cs="Arial" w:eastAsia="Arial" w:hAnsi="Arial"/>
                <w:sz w:val="8"/>
                <w:szCs w:val="8"/>
                <w:color w:val="auto"/>
              </w:rPr>
              <w:t>$123.00</w:t>
            </w:r>
          </w:p>
        </w:tc>
        <w:tc>
          <w:tcPr>
            <w:tcW w:w="160" w:type="dxa"/>
            <w:vAlign w:val="bottom"/>
          </w:tcPr>
          <w:p>
            <w:pPr>
              <w:spacing w:after="0"/>
              <w:rPr>
                <w:sz w:val="15"/>
                <w:szCs w:val="15"/>
                <w:color w:val="auto"/>
              </w:rPr>
            </w:pPr>
          </w:p>
        </w:tc>
      </w:tr>
      <w:tr>
        <w:trPr>
          <w:trHeight w:val="138"/>
        </w:trPr>
        <w:tc>
          <w:tcPr>
            <w:tcW w:w="1600" w:type="dxa"/>
            <w:vAlign w:val="bottom"/>
          </w:tcPr>
          <w:p>
            <w:pPr>
              <w:spacing w:after="0"/>
              <w:rPr>
                <w:sz w:val="11"/>
                <w:szCs w:val="11"/>
                <w:color w:val="auto"/>
              </w:rPr>
            </w:pPr>
          </w:p>
        </w:tc>
        <w:tc>
          <w:tcPr>
            <w:tcW w:w="260" w:type="dxa"/>
            <w:vAlign w:val="bottom"/>
          </w:tcPr>
          <w:p>
            <w:pPr>
              <w:ind w:left="100"/>
              <w:spacing w:after="0"/>
              <w:rPr>
                <w:sz w:val="20"/>
                <w:szCs w:val="20"/>
                <w:color w:val="auto"/>
              </w:rPr>
            </w:pPr>
            <w:r>
              <w:rPr>
                <w:rFonts w:ascii="Arial" w:cs="Arial" w:eastAsia="Arial" w:hAnsi="Arial"/>
                <w:sz w:val="8"/>
                <w:szCs w:val="8"/>
                <w:color w:val="auto"/>
              </w:rPr>
              <w:t>245</w:t>
            </w:r>
          </w:p>
        </w:tc>
        <w:tc>
          <w:tcPr>
            <w:tcW w:w="1120" w:type="dxa"/>
            <w:vAlign w:val="bottom"/>
          </w:tcPr>
          <w:p>
            <w:pPr>
              <w:spacing w:after="0"/>
              <w:rPr>
                <w:sz w:val="20"/>
                <w:szCs w:val="20"/>
                <w:color w:val="auto"/>
              </w:rPr>
            </w:pPr>
            <w:r>
              <w:rPr>
                <w:rFonts w:ascii="Arial" w:cs="Arial" w:eastAsia="Arial" w:hAnsi="Arial"/>
                <w:sz w:val="8"/>
                <w:szCs w:val="8"/>
                <w:color w:val="auto"/>
              </w:rPr>
              <w:t>Park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50.1</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Dec 2028</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36,316</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3,741</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1,874</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0.1%</w:t>
            </w:r>
          </w:p>
        </w:tc>
        <w:tc>
          <w:tcPr>
            <w:tcW w:w="660" w:type="dxa"/>
            <w:vAlign w:val="bottom"/>
          </w:tcPr>
          <w:p>
            <w:pPr>
              <w:jc w:val="right"/>
              <w:spacing w:after="0"/>
              <w:rPr>
                <w:sz w:val="20"/>
                <w:szCs w:val="20"/>
                <w:color w:val="auto"/>
              </w:rPr>
            </w:pPr>
            <w:r>
              <w:rPr>
                <w:rFonts w:ascii="Arial" w:cs="Arial" w:eastAsia="Arial" w:hAnsi="Arial"/>
                <w:sz w:val="8"/>
                <w:szCs w:val="8"/>
                <w:color w:val="auto"/>
              </w:rPr>
              <w:t>$103.00</w:t>
            </w:r>
          </w:p>
        </w:tc>
        <w:tc>
          <w:tcPr>
            <w:tcW w:w="160" w:type="dxa"/>
            <w:vAlign w:val="bottom"/>
          </w:tcPr>
          <w:p>
            <w:pPr>
              <w:spacing w:after="0"/>
              <w:rPr>
                <w:sz w:val="11"/>
                <w:szCs w:val="11"/>
                <w:color w:val="auto"/>
              </w:rPr>
            </w:pPr>
          </w:p>
        </w:tc>
      </w:tr>
      <w:tr>
        <w:trPr>
          <w:trHeight w:val="25"/>
        </w:trPr>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02"/>
        </w:trPr>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325,565</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$39,319</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$19,699</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1.3%</w:t>
            </w:r>
          </w:p>
        </w:tc>
        <w:tc>
          <w:tcPr>
            <w:tcW w:w="660" w:type="dxa"/>
            <w:vAlign w:val="bottom"/>
          </w:tcPr>
          <w:p>
            <w:pPr>
              <w:jc w:val="right"/>
              <w:spacing w:after="0"/>
              <w:rPr>
                <w:sz w:val="20"/>
                <w:szCs w:val="20"/>
                <w:color w:val="auto"/>
              </w:rPr>
            </w:pPr>
            <w:r>
              <w:rPr>
                <w:rFonts w:ascii="Arial" w:cs="Arial" w:eastAsia="Arial" w:hAnsi="Arial"/>
                <w:sz w:val="8"/>
                <w:szCs w:val="8"/>
                <w:color w:val="auto"/>
              </w:rPr>
              <w:t>$120.77</w:t>
            </w:r>
          </w:p>
        </w:tc>
        <w:tc>
          <w:tcPr>
            <w:tcW w:w="160" w:type="dxa"/>
            <w:vAlign w:val="bottom"/>
          </w:tcPr>
          <w:p>
            <w:pPr>
              <w:spacing w:after="0"/>
              <w:rPr>
                <w:sz w:val="8"/>
                <w:szCs w:val="8"/>
                <w:color w:val="auto"/>
              </w:rPr>
            </w:pPr>
          </w:p>
        </w:tc>
      </w:tr>
      <w:tr>
        <w:trPr>
          <w:trHeight w:val="285"/>
        </w:trPr>
        <w:tc>
          <w:tcPr>
            <w:tcW w:w="1600" w:type="dxa"/>
            <w:vAlign w:val="bottom"/>
          </w:tcPr>
          <w:p>
            <w:pPr>
              <w:spacing w:after="0"/>
              <w:rPr>
                <w:sz w:val="20"/>
                <w:szCs w:val="20"/>
                <w:color w:val="auto"/>
              </w:rPr>
            </w:pPr>
            <w:r>
              <w:rPr>
                <w:rFonts w:ascii="Arial" w:cs="Arial" w:eastAsia="Arial" w:hAnsi="Arial"/>
                <w:sz w:val="8"/>
                <w:szCs w:val="8"/>
                <w:color w:val="auto"/>
              </w:rPr>
              <w:t>Franklin Templeton Companies LLC</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One Madison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25.5</w:t>
            </w:r>
          </w:p>
        </w:tc>
        <w:tc>
          <w:tcPr>
            <w:tcW w:w="600" w:type="dxa"/>
            <w:vAlign w:val="bottom"/>
          </w:tcPr>
          <w:p>
            <w:pPr>
              <w:jc w:val="center"/>
              <w:spacing w:after="0"/>
              <w:rPr>
                <w:sz w:val="20"/>
                <w:szCs w:val="20"/>
                <w:color w:val="auto"/>
              </w:rPr>
            </w:pPr>
            <w:r>
              <w:rPr>
                <w:rFonts w:ascii="Arial" w:cs="Arial" w:eastAsia="Arial" w:hAnsi="Arial"/>
                <w:sz w:val="8"/>
                <w:szCs w:val="8"/>
                <w:color w:val="auto"/>
                <w:w w:val="96"/>
              </w:rPr>
              <w:t>May 2040</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354,976</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$48,970</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$12,487</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0.8%</w:t>
            </w:r>
          </w:p>
        </w:tc>
        <w:tc>
          <w:tcPr>
            <w:tcW w:w="660" w:type="dxa"/>
            <w:vAlign w:val="bottom"/>
          </w:tcPr>
          <w:p>
            <w:pPr>
              <w:jc w:val="right"/>
              <w:spacing w:after="0"/>
              <w:rPr>
                <w:sz w:val="20"/>
                <w:szCs w:val="20"/>
                <w:color w:val="auto"/>
              </w:rPr>
            </w:pPr>
            <w:r>
              <w:rPr>
                <w:rFonts w:ascii="Arial" w:cs="Arial" w:eastAsia="Arial" w:hAnsi="Arial"/>
                <w:sz w:val="8"/>
                <w:szCs w:val="8"/>
                <w:color w:val="auto"/>
              </w:rPr>
              <w:t>$137.95</w:t>
            </w:r>
          </w:p>
        </w:tc>
        <w:tc>
          <w:tcPr>
            <w:tcW w:w="160" w:type="dxa"/>
            <w:vAlign w:val="bottom"/>
          </w:tcPr>
          <w:p>
            <w:pPr>
              <w:spacing w:after="0"/>
              <w:rPr>
                <w:sz w:val="24"/>
                <w:szCs w:val="24"/>
                <w:color w:val="auto"/>
              </w:rPr>
            </w:pPr>
          </w:p>
        </w:tc>
      </w:tr>
      <w:tr>
        <w:trPr>
          <w:trHeight w:val="138"/>
        </w:trPr>
        <w:tc>
          <w:tcPr>
            <w:tcW w:w="1600" w:type="dxa"/>
            <w:vAlign w:val="bottom"/>
          </w:tcPr>
          <w:p>
            <w:pPr>
              <w:spacing w:after="0"/>
              <w:rPr>
                <w:sz w:val="11"/>
                <w:szCs w:val="11"/>
                <w:color w:val="auto"/>
              </w:rPr>
            </w:pPr>
          </w:p>
        </w:tc>
        <w:tc>
          <w:tcPr>
            <w:tcW w:w="260" w:type="dxa"/>
            <w:vAlign w:val="bottom"/>
          </w:tcPr>
          <w:p>
            <w:pPr>
              <w:ind w:left="100"/>
              <w:spacing w:after="0"/>
              <w:rPr>
                <w:sz w:val="20"/>
                <w:szCs w:val="20"/>
                <w:color w:val="auto"/>
              </w:rPr>
            </w:pPr>
            <w:r>
              <w:rPr>
                <w:rFonts w:ascii="Arial" w:cs="Arial" w:eastAsia="Arial" w:hAnsi="Arial"/>
                <w:sz w:val="8"/>
                <w:szCs w:val="8"/>
                <w:color w:val="auto"/>
              </w:rPr>
              <w:t>280</w:t>
            </w:r>
          </w:p>
        </w:tc>
        <w:tc>
          <w:tcPr>
            <w:tcW w:w="1120" w:type="dxa"/>
            <w:vAlign w:val="bottom"/>
          </w:tcPr>
          <w:p>
            <w:pPr>
              <w:spacing w:after="0"/>
              <w:rPr>
                <w:sz w:val="20"/>
                <w:szCs w:val="20"/>
                <w:color w:val="auto"/>
              </w:rPr>
            </w:pPr>
            <w:r>
              <w:rPr>
                <w:rFonts w:ascii="Arial" w:cs="Arial" w:eastAsia="Arial" w:hAnsi="Arial"/>
                <w:sz w:val="8"/>
                <w:szCs w:val="8"/>
                <w:color w:val="auto"/>
              </w:rPr>
              <w:t>Park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50.0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Nov 2031</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128,993</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14,138</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7,069</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0.5%</w:t>
            </w:r>
          </w:p>
        </w:tc>
        <w:tc>
          <w:tcPr>
            <w:tcW w:w="660" w:type="dxa"/>
            <w:vAlign w:val="bottom"/>
          </w:tcPr>
          <w:p>
            <w:pPr>
              <w:jc w:val="right"/>
              <w:spacing w:after="0"/>
              <w:rPr>
                <w:sz w:val="20"/>
                <w:szCs w:val="20"/>
                <w:color w:val="auto"/>
              </w:rPr>
            </w:pPr>
            <w:r>
              <w:rPr>
                <w:rFonts w:ascii="Arial" w:cs="Arial" w:eastAsia="Arial" w:hAnsi="Arial"/>
                <w:sz w:val="8"/>
                <w:szCs w:val="8"/>
                <w:color w:val="auto"/>
              </w:rPr>
              <w:t>$109.60</w:t>
            </w:r>
          </w:p>
        </w:tc>
        <w:tc>
          <w:tcPr>
            <w:tcW w:w="160" w:type="dxa"/>
            <w:vAlign w:val="bottom"/>
          </w:tcPr>
          <w:p>
            <w:pPr>
              <w:spacing w:after="0"/>
              <w:rPr>
                <w:sz w:val="11"/>
                <w:szCs w:val="11"/>
                <w:color w:val="auto"/>
              </w:rPr>
            </w:pPr>
          </w:p>
        </w:tc>
      </w:tr>
      <w:tr>
        <w:trPr>
          <w:trHeight w:val="25"/>
        </w:trPr>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02"/>
        </w:trPr>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483,969</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$63,108</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$19,556</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1.3%</w:t>
            </w:r>
          </w:p>
        </w:tc>
        <w:tc>
          <w:tcPr>
            <w:tcW w:w="660" w:type="dxa"/>
            <w:vAlign w:val="bottom"/>
          </w:tcPr>
          <w:p>
            <w:pPr>
              <w:jc w:val="right"/>
              <w:spacing w:after="0"/>
              <w:rPr>
                <w:sz w:val="20"/>
                <w:szCs w:val="20"/>
                <w:color w:val="auto"/>
              </w:rPr>
            </w:pPr>
            <w:r>
              <w:rPr>
                <w:rFonts w:ascii="Arial" w:cs="Arial" w:eastAsia="Arial" w:hAnsi="Arial"/>
                <w:sz w:val="8"/>
                <w:szCs w:val="8"/>
                <w:color w:val="auto"/>
              </w:rPr>
              <w:t>$130.40</w:t>
            </w:r>
          </w:p>
        </w:tc>
        <w:tc>
          <w:tcPr>
            <w:tcW w:w="160" w:type="dxa"/>
            <w:vAlign w:val="bottom"/>
          </w:tcPr>
          <w:p>
            <w:pPr>
              <w:spacing w:after="0"/>
              <w:rPr>
                <w:sz w:val="8"/>
                <w:szCs w:val="8"/>
                <w:color w:val="auto"/>
              </w:rPr>
            </w:pPr>
          </w:p>
        </w:tc>
      </w:tr>
      <w:tr>
        <w:trPr>
          <w:trHeight w:val="291"/>
        </w:trPr>
        <w:tc>
          <w:tcPr>
            <w:tcW w:w="1600" w:type="dxa"/>
            <w:vAlign w:val="bottom"/>
          </w:tcPr>
          <w:p>
            <w:pPr>
              <w:spacing w:after="0"/>
              <w:rPr>
                <w:sz w:val="20"/>
                <w:szCs w:val="20"/>
                <w:color w:val="auto"/>
              </w:rPr>
            </w:pPr>
            <w:r>
              <w:rPr>
                <w:rFonts w:ascii="Arial" w:cs="Arial" w:eastAsia="Arial" w:hAnsi="Arial"/>
                <w:sz w:val="8"/>
                <w:szCs w:val="8"/>
                <w:color w:val="auto"/>
              </w:rPr>
              <w:t>Carlyle Investment Management LLC</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One Vanderbilt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55.0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Sep 2036</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194,702</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$34,794</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$19,137</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1.3%</w:t>
            </w:r>
          </w:p>
        </w:tc>
        <w:tc>
          <w:tcPr>
            <w:tcW w:w="660" w:type="dxa"/>
            <w:vAlign w:val="bottom"/>
          </w:tcPr>
          <w:p>
            <w:pPr>
              <w:jc w:val="right"/>
              <w:spacing w:after="0"/>
              <w:rPr>
                <w:sz w:val="20"/>
                <w:szCs w:val="20"/>
                <w:color w:val="auto"/>
              </w:rPr>
            </w:pPr>
            <w:r>
              <w:rPr>
                <w:rFonts w:ascii="Arial" w:cs="Arial" w:eastAsia="Arial" w:hAnsi="Arial"/>
                <w:sz w:val="8"/>
                <w:szCs w:val="8"/>
                <w:color w:val="auto"/>
              </w:rPr>
              <w:t>$178.70</w:t>
            </w:r>
          </w:p>
        </w:tc>
        <w:tc>
          <w:tcPr>
            <w:tcW w:w="16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132"/>
        </w:trPr>
        <w:tc>
          <w:tcPr>
            <w:tcW w:w="1600" w:type="dxa"/>
            <w:vAlign w:val="bottom"/>
          </w:tcPr>
          <w:p>
            <w:pPr>
              <w:spacing w:after="0"/>
              <w:rPr>
                <w:sz w:val="20"/>
                <w:szCs w:val="20"/>
                <w:color w:val="auto"/>
              </w:rPr>
            </w:pPr>
            <w:r>
              <w:rPr>
                <w:rFonts w:ascii="Arial" w:cs="Arial" w:eastAsia="Arial" w:hAnsi="Arial"/>
                <w:sz w:val="8"/>
                <w:szCs w:val="8"/>
                <w:color w:val="auto"/>
              </w:rPr>
              <w:t>Giorgio Armani Corporation</w:t>
            </w:r>
          </w:p>
        </w:tc>
        <w:tc>
          <w:tcPr>
            <w:tcW w:w="260" w:type="dxa"/>
            <w:vAlign w:val="bottom"/>
          </w:tcPr>
          <w:p>
            <w:pPr>
              <w:ind w:left="100"/>
              <w:spacing w:after="0"/>
              <w:rPr>
                <w:sz w:val="20"/>
                <w:szCs w:val="20"/>
                <w:color w:val="auto"/>
              </w:rPr>
            </w:pPr>
            <w:r>
              <w:rPr>
                <w:rFonts w:ascii="Arial" w:cs="Arial" w:eastAsia="Arial" w:hAnsi="Arial"/>
                <w:sz w:val="8"/>
                <w:szCs w:val="8"/>
                <w:color w:val="auto"/>
              </w:rPr>
              <w:t>760</w:t>
            </w:r>
          </w:p>
        </w:tc>
        <w:tc>
          <w:tcPr>
            <w:tcW w:w="1120" w:type="dxa"/>
            <w:vAlign w:val="bottom"/>
          </w:tcPr>
          <w:p>
            <w:pPr>
              <w:spacing w:after="0"/>
              <w:rPr>
                <w:sz w:val="20"/>
                <w:szCs w:val="20"/>
                <w:color w:val="auto"/>
              </w:rPr>
            </w:pPr>
            <w:r>
              <w:rPr>
                <w:rFonts w:ascii="Arial" w:cs="Arial" w:eastAsia="Arial" w:hAnsi="Arial"/>
                <w:sz w:val="8"/>
                <w:szCs w:val="8"/>
                <w:color w:val="auto"/>
              </w:rPr>
              <w:t>Madison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w w:val="92"/>
              </w:rPr>
              <w:t>Oct 2038</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22,648</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$18,558</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$18,558</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1.2%</w:t>
            </w:r>
          </w:p>
        </w:tc>
        <w:tc>
          <w:tcPr>
            <w:tcW w:w="660" w:type="dxa"/>
            <w:vAlign w:val="bottom"/>
          </w:tcPr>
          <w:p>
            <w:pPr>
              <w:jc w:val="right"/>
              <w:spacing w:after="0"/>
              <w:rPr>
                <w:sz w:val="20"/>
                <w:szCs w:val="20"/>
                <w:color w:val="auto"/>
              </w:rPr>
            </w:pPr>
            <w:r>
              <w:rPr>
                <w:rFonts w:ascii="Arial" w:cs="Arial" w:eastAsia="Arial" w:hAnsi="Arial"/>
                <w:sz w:val="8"/>
                <w:szCs w:val="8"/>
                <w:color w:val="auto"/>
              </w:rPr>
              <w:t>$819.43</w:t>
            </w:r>
          </w:p>
        </w:tc>
        <w:tc>
          <w:tcPr>
            <w:tcW w:w="160" w:type="dxa"/>
            <w:vAlign w:val="bottom"/>
          </w:tcPr>
          <w:p>
            <w:pPr>
              <w:spacing w:after="0"/>
              <w:rPr>
                <w:sz w:val="11"/>
                <w:szCs w:val="11"/>
                <w:color w:val="auto"/>
              </w:rPr>
            </w:pPr>
          </w:p>
        </w:tc>
      </w:tr>
      <w:tr>
        <w:trPr>
          <w:trHeight w:val="177"/>
        </w:trPr>
        <w:tc>
          <w:tcPr>
            <w:tcW w:w="1600" w:type="dxa"/>
            <w:vAlign w:val="bottom"/>
          </w:tcPr>
          <w:p>
            <w:pPr>
              <w:spacing w:after="0"/>
              <w:rPr>
                <w:sz w:val="20"/>
                <w:szCs w:val="20"/>
                <w:color w:val="auto"/>
              </w:rPr>
            </w:pPr>
            <w:r>
              <w:rPr>
                <w:rFonts w:ascii="Arial" w:cs="Arial" w:eastAsia="Arial" w:hAnsi="Arial"/>
                <w:sz w:val="8"/>
                <w:szCs w:val="8"/>
                <w:color w:val="auto"/>
              </w:rPr>
              <w:t>PJT Partners Holdings LP</w:t>
            </w:r>
          </w:p>
        </w:tc>
        <w:tc>
          <w:tcPr>
            <w:tcW w:w="260" w:type="dxa"/>
            <w:vAlign w:val="bottom"/>
          </w:tcPr>
          <w:p>
            <w:pPr>
              <w:ind w:left="100"/>
              <w:spacing w:after="0"/>
              <w:rPr>
                <w:sz w:val="20"/>
                <w:szCs w:val="20"/>
                <w:color w:val="auto"/>
              </w:rPr>
            </w:pPr>
            <w:r>
              <w:rPr>
                <w:rFonts w:ascii="Arial" w:cs="Arial" w:eastAsia="Arial" w:hAnsi="Arial"/>
                <w:sz w:val="8"/>
                <w:szCs w:val="8"/>
                <w:color w:val="auto"/>
              </w:rPr>
              <w:t>280</w:t>
            </w:r>
          </w:p>
        </w:tc>
        <w:tc>
          <w:tcPr>
            <w:tcW w:w="1120" w:type="dxa"/>
            <w:vAlign w:val="bottom"/>
          </w:tcPr>
          <w:p>
            <w:pPr>
              <w:spacing w:after="0"/>
              <w:rPr>
                <w:sz w:val="20"/>
                <w:szCs w:val="20"/>
                <w:color w:val="auto"/>
              </w:rPr>
            </w:pPr>
            <w:r>
              <w:rPr>
                <w:rFonts w:ascii="Arial" w:cs="Arial" w:eastAsia="Arial" w:hAnsi="Arial"/>
                <w:sz w:val="8"/>
                <w:szCs w:val="8"/>
                <w:color w:val="auto"/>
              </w:rPr>
              <w:t>Park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50.0</w:t>
            </w:r>
          </w:p>
        </w:tc>
        <w:tc>
          <w:tcPr>
            <w:tcW w:w="600" w:type="dxa"/>
            <w:vAlign w:val="bottom"/>
          </w:tcPr>
          <w:p>
            <w:pPr>
              <w:jc w:val="center"/>
              <w:spacing w:after="0"/>
              <w:rPr>
                <w:sz w:val="20"/>
                <w:szCs w:val="20"/>
                <w:color w:val="auto"/>
              </w:rPr>
            </w:pPr>
            <w:r>
              <w:rPr>
                <w:rFonts w:ascii="Arial" w:cs="Arial" w:eastAsia="Arial" w:hAnsi="Arial"/>
                <w:sz w:val="8"/>
                <w:szCs w:val="8"/>
                <w:color w:val="auto"/>
              </w:rPr>
              <w:t>Jun 2041</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281,388</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$33,099</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$16,549</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1.1%</w:t>
            </w:r>
          </w:p>
        </w:tc>
        <w:tc>
          <w:tcPr>
            <w:tcW w:w="660" w:type="dxa"/>
            <w:vAlign w:val="bottom"/>
          </w:tcPr>
          <w:p>
            <w:pPr>
              <w:jc w:val="right"/>
              <w:spacing w:after="0"/>
              <w:rPr>
                <w:sz w:val="20"/>
                <w:szCs w:val="20"/>
                <w:color w:val="auto"/>
              </w:rPr>
            </w:pPr>
            <w:r>
              <w:rPr>
                <w:rFonts w:ascii="Arial" w:cs="Arial" w:eastAsia="Arial" w:hAnsi="Arial"/>
                <w:sz w:val="8"/>
                <w:szCs w:val="8"/>
                <w:color w:val="auto"/>
              </w:rPr>
              <w:t>$117.63</w:t>
            </w:r>
          </w:p>
        </w:tc>
        <w:tc>
          <w:tcPr>
            <w:tcW w:w="160" w:type="dxa"/>
            <w:vAlign w:val="bottom"/>
          </w:tcPr>
          <w:p>
            <w:pPr>
              <w:spacing w:after="0"/>
              <w:rPr>
                <w:sz w:val="15"/>
                <w:szCs w:val="15"/>
                <w:color w:val="auto"/>
              </w:rPr>
            </w:pPr>
          </w:p>
        </w:tc>
      </w:tr>
      <w:tr>
        <w:trPr>
          <w:trHeight w:val="138"/>
        </w:trPr>
        <w:tc>
          <w:tcPr>
            <w:tcW w:w="1600" w:type="dxa"/>
            <w:vAlign w:val="bottom"/>
          </w:tcPr>
          <w:p>
            <w:pPr>
              <w:spacing w:after="0"/>
              <w:rPr>
                <w:sz w:val="20"/>
                <w:szCs w:val="20"/>
                <w:color w:val="auto"/>
              </w:rPr>
            </w:pPr>
            <w:r>
              <w:rPr>
                <w:rFonts w:ascii="Arial" w:cs="Arial" w:eastAsia="Arial" w:hAnsi="Arial"/>
                <w:sz w:val="8"/>
                <w:szCs w:val="8"/>
                <w:color w:val="auto"/>
              </w:rPr>
              <w:t>Hess Corp</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1185 Avenue of the Americas</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Dec 2027</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167,169</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$16,182</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$16,182</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1.1%</w:t>
            </w:r>
          </w:p>
        </w:tc>
        <w:tc>
          <w:tcPr>
            <w:tcW w:w="660" w:type="dxa"/>
            <w:vAlign w:val="bottom"/>
          </w:tcPr>
          <w:p>
            <w:pPr>
              <w:jc w:val="right"/>
              <w:spacing w:after="0"/>
              <w:rPr>
                <w:sz w:val="20"/>
                <w:szCs w:val="20"/>
                <w:color w:val="auto"/>
              </w:rPr>
            </w:pPr>
            <w:r>
              <w:rPr>
                <w:rFonts w:ascii="Arial" w:cs="Arial" w:eastAsia="Arial" w:hAnsi="Arial"/>
                <w:sz w:val="8"/>
                <w:szCs w:val="8"/>
                <w:color w:val="auto"/>
              </w:rPr>
              <w:t>$96.80</w:t>
            </w:r>
          </w:p>
        </w:tc>
        <w:tc>
          <w:tcPr>
            <w:tcW w:w="160" w:type="dxa"/>
            <w:vAlign w:val="bottom"/>
          </w:tcPr>
          <w:p>
            <w:pPr>
              <w:spacing w:after="0"/>
              <w:rPr>
                <w:sz w:val="11"/>
                <w:szCs w:val="11"/>
                <w:color w:val="auto"/>
              </w:rPr>
            </w:pPr>
          </w:p>
        </w:tc>
      </w:tr>
      <w:tr>
        <w:trPr>
          <w:trHeight w:val="183"/>
        </w:trPr>
        <w:tc>
          <w:tcPr>
            <w:tcW w:w="1600" w:type="dxa"/>
            <w:vAlign w:val="bottom"/>
          </w:tcPr>
          <w:p>
            <w:pPr>
              <w:spacing w:after="0"/>
              <w:rPr>
                <w:sz w:val="20"/>
                <w:szCs w:val="20"/>
                <w:color w:val="auto"/>
              </w:rPr>
            </w:pPr>
            <w:r>
              <w:rPr>
                <w:rFonts w:ascii="Arial" w:cs="Arial" w:eastAsia="Arial" w:hAnsi="Arial"/>
                <w:sz w:val="8"/>
                <w:szCs w:val="8"/>
                <w:color w:val="auto"/>
              </w:rPr>
              <w:t>The Toronto Dominion Bank</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One Vanderbilt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55.0</w:t>
            </w:r>
          </w:p>
        </w:tc>
        <w:tc>
          <w:tcPr>
            <w:tcW w:w="600" w:type="dxa"/>
            <w:vAlign w:val="bottom"/>
          </w:tcPr>
          <w:p>
            <w:pPr>
              <w:jc w:val="center"/>
              <w:spacing w:after="0"/>
              <w:rPr>
                <w:sz w:val="20"/>
                <w:szCs w:val="20"/>
                <w:color w:val="auto"/>
              </w:rPr>
            </w:pPr>
            <w:r>
              <w:rPr>
                <w:rFonts w:ascii="Arial" w:cs="Arial" w:eastAsia="Arial" w:hAnsi="Arial"/>
                <w:sz w:val="8"/>
                <w:szCs w:val="8"/>
                <w:color w:val="auto"/>
                <w:w w:val="92"/>
              </w:rPr>
              <w:t>Apr 2042</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142,892</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$21,366</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$11,751</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0.8%</w:t>
            </w:r>
          </w:p>
        </w:tc>
        <w:tc>
          <w:tcPr>
            <w:tcW w:w="660" w:type="dxa"/>
            <w:vAlign w:val="bottom"/>
          </w:tcPr>
          <w:p>
            <w:pPr>
              <w:jc w:val="right"/>
              <w:spacing w:after="0"/>
              <w:rPr>
                <w:sz w:val="20"/>
                <w:szCs w:val="20"/>
                <w:color w:val="auto"/>
              </w:rPr>
            </w:pPr>
            <w:r>
              <w:rPr>
                <w:rFonts w:ascii="Arial" w:cs="Arial" w:eastAsia="Arial" w:hAnsi="Arial"/>
                <w:sz w:val="8"/>
                <w:szCs w:val="8"/>
                <w:color w:val="auto"/>
              </w:rPr>
              <w:t>$149.53</w:t>
            </w:r>
          </w:p>
        </w:tc>
        <w:tc>
          <w:tcPr>
            <w:tcW w:w="16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132"/>
        </w:trPr>
        <w:tc>
          <w:tcPr>
            <w:tcW w:w="1600" w:type="dxa"/>
            <w:vAlign w:val="bottom"/>
          </w:tcPr>
          <w:p>
            <w:pPr>
              <w:spacing w:after="0"/>
              <w:rPr>
                <w:sz w:val="11"/>
                <w:szCs w:val="11"/>
                <w:color w:val="auto"/>
              </w:rPr>
            </w:pPr>
          </w:p>
        </w:tc>
        <w:tc>
          <w:tcPr>
            <w:tcW w:w="260" w:type="dxa"/>
            <w:vAlign w:val="bottom"/>
          </w:tcPr>
          <w:p>
            <w:pPr>
              <w:ind w:left="100"/>
              <w:spacing w:after="0"/>
              <w:rPr>
                <w:sz w:val="20"/>
                <w:szCs w:val="20"/>
                <w:color w:val="auto"/>
              </w:rPr>
            </w:pPr>
            <w:r>
              <w:rPr>
                <w:rFonts w:ascii="Arial" w:cs="Arial" w:eastAsia="Arial" w:hAnsi="Arial"/>
                <w:sz w:val="8"/>
                <w:szCs w:val="8"/>
                <w:color w:val="auto"/>
              </w:rPr>
              <w:t>125</w:t>
            </w:r>
          </w:p>
        </w:tc>
        <w:tc>
          <w:tcPr>
            <w:tcW w:w="1120" w:type="dxa"/>
            <w:vAlign w:val="bottom"/>
          </w:tcPr>
          <w:p>
            <w:pPr>
              <w:spacing w:after="0"/>
              <w:rPr>
                <w:sz w:val="20"/>
                <w:szCs w:val="20"/>
                <w:color w:val="auto"/>
              </w:rPr>
            </w:pPr>
            <w:r>
              <w:rPr>
                <w:rFonts w:ascii="Arial" w:cs="Arial" w:eastAsia="Arial" w:hAnsi="Arial"/>
                <w:sz w:val="8"/>
                <w:szCs w:val="8"/>
                <w:color w:val="auto"/>
              </w:rPr>
              <w:t>Park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w w:val="92"/>
              </w:rPr>
              <w:t>Apr 2042</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52,450</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3,877</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3,877</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0.3%</w:t>
            </w:r>
          </w:p>
        </w:tc>
        <w:tc>
          <w:tcPr>
            <w:tcW w:w="660" w:type="dxa"/>
            <w:vAlign w:val="bottom"/>
          </w:tcPr>
          <w:p>
            <w:pPr>
              <w:jc w:val="right"/>
              <w:spacing w:after="0"/>
              <w:rPr>
                <w:sz w:val="20"/>
                <w:szCs w:val="20"/>
                <w:color w:val="auto"/>
              </w:rPr>
            </w:pPr>
            <w:r>
              <w:rPr>
                <w:rFonts w:ascii="Arial" w:cs="Arial" w:eastAsia="Arial" w:hAnsi="Arial"/>
                <w:sz w:val="8"/>
                <w:szCs w:val="8"/>
                <w:color w:val="auto"/>
              </w:rPr>
              <w:t>$73.91</w:t>
            </w:r>
          </w:p>
        </w:tc>
        <w:tc>
          <w:tcPr>
            <w:tcW w:w="160" w:type="dxa"/>
            <w:vAlign w:val="bottom"/>
          </w:tcPr>
          <w:p>
            <w:pPr>
              <w:spacing w:after="0"/>
              <w:rPr>
                <w:sz w:val="11"/>
                <w:szCs w:val="11"/>
                <w:color w:val="auto"/>
              </w:rPr>
            </w:pPr>
          </w:p>
        </w:tc>
      </w:tr>
      <w:tr>
        <w:trPr>
          <w:trHeight w:val="25"/>
        </w:trPr>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02"/>
        </w:trPr>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195,342</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$25,243</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$15,628</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1.1%</w:t>
            </w:r>
          </w:p>
        </w:tc>
        <w:tc>
          <w:tcPr>
            <w:tcW w:w="660" w:type="dxa"/>
            <w:vAlign w:val="bottom"/>
          </w:tcPr>
          <w:p>
            <w:pPr>
              <w:jc w:val="right"/>
              <w:spacing w:after="0"/>
              <w:rPr>
                <w:sz w:val="20"/>
                <w:szCs w:val="20"/>
                <w:color w:val="auto"/>
              </w:rPr>
            </w:pPr>
            <w:r>
              <w:rPr>
                <w:rFonts w:ascii="Arial" w:cs="Arial" w:eastAsia="Arial" w:hAnsi="Arial"/>
                <w:sz w:val="8"/>
                <w:szCs w:val="8"/>
                <w:color w:val="auto"/>
              </w:rPr>
              <w:t>$129.22</w:t>
            </w:r>
          </w:p>
        </w:tc>
        <w:tc>
          <w:tcPr>
            <w:tcW w:w="160" w:type="dxa"/>
            <w:vAlign w:val="bottom"/>
          </w:tcPr>
          <w:p>
            <w:pPr>
              <w:spacing w:after="0"/>
              <w:rPr>
                <w:sz w:val="8"/>
                <w:szCs w:val="8"/>
                <w:color w:val="auto"/>
              </w:rPr>
            </w:pPr>
          </w:p>
        </w:tc>
      </w:tr>
      <w:tr>
        <w:trPr>
          <w:trHeight w:val="177"/>
        </w:trPr>
        <w:tc>
          <w:tcPr>
            <w:tcW w:w="1600" w:type="dxa"/>
            <w:vAlign w:val="bottom"/>
          </w:tcPr>
          <w:p>
            <w:pPr>
              <w:spacing w:after="0"/>
              <w:rPr>
                <w:sz w:val="20"/>
                <w:szCs w:val="20"/>
                <w:color w:val="auto"/>
              </w:rPr>
            </w:pPr>
            <w:r>
              <w:rPr>
                <w:rFonts w:ascii="Arial" w:cs="Arial" w:eastAsia="Arial" w:hAnsi="Arial"/>
                <w:sz w:val="8"/>
                <w:szCs w:val="8"/>
                <w:color w:val="auto"/>
              </w:rPr>
              <w:t>BMW of Manhattan, Inc.</w:t>
            </w:r>
          </w:p>
        </w:tc>
        <w:tc>
          <w:tcPr>
            <w:tcW w:w="260" w:type="dxa"/>
            <w:vAlign w:val="bottom"/>
          </w:tcPr>
          <w:p>
            <w:pPr>
              <w:ind w:left="100"/>
              <w:spacing w:after="0"/>
              <w:rPr>
                <w:sz w:val="20"/>
                <w:szCs w:val="20"/>
                <w:color w:val="auto"/>
              </w:rPr>
            </w:pPr>
            <w:r>
              <w:rPr>
                <w:rFonts w:ascii="Arial" w:cs="Arial" w:eastAsia="Arial" w:hAnsi="Arial"/>
                <w:sz w:val="8"/>
                <w:szCs w:val="8"/>
                <w:color w:val="auto"/>
              </w:rPr>
              <w:t>555</w:t>
            </w:r>
          </w:p>
        </w:tc>
        <w:tc>
          <w:tcPr>
            <w:tcW w:w="1120" w:type="dxa"/>
            <w:vAlign w:val="bottom"/>
          </w:tcPr>
          <w:p>
            <w:pPr>
              <w:spacing w:after="0"/>
              <w:rPr>
                <w:sz w:val="20"/>
                <w:szCs w:val="20"/>
                <w:color w:val="auto"/>
              </w:rPr>
            </w:pPr>
            <w:r>
              <w:rPr>
                <w:rFonts w:ascii="Arial" w:cs="Arial" w:eastAsia="Arial" w:hAnsi="Arial"/>
                <w:sz w:val="8"/>
                <w:szCs w:val="8"/>
                <w:color w:val="auto"/>
              </w:rPr>
              <w:t>West 57th Street</w:t>
            </w:r>
          </w:p>
        </w:tc>
        <w:tc>
          <w:tcPr>
            <w:tcW w:w="580" w:type="dxa"/>
            <w:vAlign w:val="bottom"/>
          </w:tcPr>
          <w:p>
            <w:pPr>
              <w:jc w:val="center"/>
              <w:ind w:left="21"/>
              <w:spacing w:after="0"/>
              <w:rPr>
                <w:sz w:val="20"/>
                <w:szCs w:val="20"/>
                <w:color w:val="auto"/>
              </w:rPr>
            </w:pPr>
            <w:r>
              <w:rPr>
                <w:rFonts w:ascii="Arial" w:cs="Arial" w:eastAsia="Arial" w:hAnsi="Arial"/>
                <w:sz w:val="8"/>
                <w:szCs w:val="8"/>
                <w:color w:val="auto"/>
                <w:w w:val="99"/>
              </w:rPr>
              <w:t>100.0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Jul 2032</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226,556</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$13,502</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$13,502</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0.9%</w:t>
            </w:r>
          </w:p>
        </w:tc>
        <w:tc>
          <w:tcPr>
            <w:tcW w:w="660" w:type="dxa"/>
            <w:vAlign w:val="bottom"/>
          </w:tcPr>
          <w:p>
            <w:pPr>
              <w:jc w:val="right"/>
              <w:spacing w:after="0"/>
              <w:rPr>
                <w:sz w:val="20"/>
                <w:szCs w:val="20"/>
                <w:color w:val="auto"/>
              </w:rPr>
            </w:pPr>
            <w:r>
              <w:rPr>
                <w:rFonts w:ascii="Arial" w:cs="Arial" w:eastAsia="Arial" w:hAnsi="Arial"/>
                <w:sz w:val="8"/>
                <w:szCs w:val="8"/>
                <w:color w:val="auto"/>
              </w:rPr>
              <w:t>$59.60</w:t>
            </w:r>
          </w:p>
        </w:tc>
        <w:tc>
          <w:tcPr>
            <w:tcW w:w="160" w:type="dxa"/>
            <w:vAlign w:val="bottom"/>
          </w:tcPr>
          <w:p>
            <w:pPr>
              <w:spacing w:after="0"/>
              <w:rPr>
                <w:sz w:val="15"/>
                <w:szCs w:val="15"/>
                <w:color w:val="auto"/>
              </w:rPr>
            </w:pPr>
          </w:p>
        </w:tc>
      </w:tr>
      <w:tr>
        <w:trPr>
          <w:trHeight w:val="138"/>
        </w:trPr>
        <w:tc>
          <w:tcPr>
            <w:tcW w:w="1600" w:type="dxa"/>
            <w:vAlign w:val="bottom"/>
          </w:tcPr>
          <w:p>
            <w:pPr>
              <w:spacing w:after="0"/>
              <w:rPr>
                <w:sz w:val="20"/>
                <w:szCs w:val="20"/>
                <w:color w:val="auto"/>
              </w:rPr>
            </w:pPr>
            <w:r>
              <w:rPr>
                <w:rFonts w:ascii="Arial" w:cs="Arial" w:eastAsia="Arial" w:hAnsi="Arial"/>
                <w:sz w:val="8"/>
                <w:szCs w:val="8"/>
                <w:color w:val="auto"/>
              </w:rPr>
              <w:t>Stone Ridge Holdings</w:t>
            </w:r>
          </w:p>
        </w:tc>
        <w:tc>
          <w:tcPr>
            <w:tcW w:w="1380" w:type="dxa"/>
            <w:vAlign w:val="bottom"/>
            <w:gridSpan w:val="2"/>
          </w:tcPr>
          <w:p>
            <w:pPr>
              <w:ind w:left="100"/>
              <w:spacing w:after="0"/>
              <w:rPr>
                <w:sz w:val="20"/>
                <w:szCs w:val="20"/>
                <w:color w:val="auto"/>
              </w:rPr>
            </w:pPr>
            <w:r>
              <w:rPr>
                <w:rFonts w:ascii="Arial" w:cs="Arial" w:eastAsia="Arial" w:hAnsi="Arial"/>
                <w:sz w:val="8"/>
                <w:szCs w:val="8"/>
                <w:color w:val="auto"/>
              </w:rPr>
              <w:t>One Vanderbilt Avenue</w:t>
            </w:r>
          </w:p>
        </w:tc>
        <w:tc>
          <w:tcPr>
            <w:tcW w:w="580" w:type="dxa"/>
            <w:vAlign w:val="bottom"/>
          </w:tcPr>
          <w:p>
            <w:pPr>
              <w:jc w:val="center"/>
              <w:ind w:left="21"/>
              <w:spacing w:after="0"/>
              <w:rPr>
                <w:sz w:val="20"/>
                <w:szCs w:val="20"/>
                <w:color w:val="auto"/>
              </w:rPr>
            </w:pPr>
            <w:r>
              <w:rPr>
                <w:rFonts w:ascii="Arial" w:cs="Arial" w:eastAsia="Arial" w:hAnsi="Arial"/>
                <w:sz w:val="8"/>
                <w:szCs w:val="8"/>
                <w:color w:val="auto"/>
              </w:rPr>
              <w:t>55.0</w:t>
            </w:r>
          </w:p>
        </w:tc>
        <w:tc>
          <w:tcPr>
            <w:tcW w:w="600" w:type="dxa"/>
            <w:vAlign w:val="bottom"/>
          </w:tcPr>
          <w:p>
            <w:pPr>
              <w:jc w:val="center"/>
              <w:spacing w:after="0"/>
              <w:rPr>
                <w:sz w:val="20"/>
                <w:szCs w:val="20"/>
                <w:color w:val="auto"/>
              </w:rPr>
            </w:pPr>
            <w:r>
              <w:rPr>
                <w:rFonts w:ascii="Arial" w:cs="Arial" w:eastAsia="Arial" w:hAnsi="Arial"/>
                <w:sz w:val="8"/>
                <w:szCs w:val="8"/>
                <w:color w:val="auto"/>
                <w:w w:val="99"/>
              </w:rPr>
              <w:t>Dec 2037</w:t>
            </w:r>
          </w:p>
        </w:tc>
        <w:tc>
          <w:tcPr>
            <w:tcW w:w="840" w:type="dxa"/>
            <w:vAlign w:val="bottom"/>
          </w:tcPr>
          <w:p>
            <w:pPr>
              <w:jc w:val="right"/>
              <w:ind w:right="141"/>
              <w:spacing w:after="0"/>
              <w:rPr>
                <w:sz w:val="20"/>
                <w:szCs w:val="20"/>
                <w:color w:val="auto"/>
              </w:rPr>
            </w:pPr>
            <w:r>
              <w:rPr>
                <w:rFonts w:ascii="Arial" w:cs="Arial" w:eastAsia="Arial" w:hAnsi="Arial"/>
                <w:sz w:val="8"/>
                <w:szCs w:val="8"/>
                <w:color w:val="auto"/>
              </w:rPr>
              <w:t>97,652</w:t>
            </w:r>
          </w:p>
        </w:tc>
        <w:tc>
          <w:tcPr>
            <w:tcW w:w="880" w:type="dxa"/>
            <w:vAlign w:val="bottom"/>
          </w:tcPr>
          <w:p>
            <w:pPr>
              <w:jc w:val="right"/>
              <w:ind w:right="361"/>
              <w:spacing w:after="0"/>
              <w:rPr>
                <w:sz w:val="20"/>
                <w:szCs w:val="20"/>
                <w:color w:val="auto"/>
              </w:rPr>
            </w:pPr>
            <w:r>
              <w:rPr>
                <w:rFonts w:ascii="Arial" w:cs="Arial" w:eastAsia="Arial" w:hAnsi="Arial"/>
                <w:sz w:val="8"/>
                <w:szCs w:val="8"/>
                <w:color w:val="auto"/>
              </w:rPr>
              <w:t>$23,343</w:t>
            </w:r>
          </w:p>
        </w:tc>
        <w:tc>
          <w:tcPr>
            <w:tcW w:w="880" w:type="dxa"/>
            <w:vAlign w:val="bottom"/>
          </w:tcPr>
          <w:p>
            <w:pPr>
              <w:jc w:val="right"/>
              <w:ind w:right="161"/>
              <w:spacing w:after="0"/>
              <w:rPr>
                <w:sz w:val="20"/>
                <w:szCs w:val="20"/>
                <w:color w:val="auto"/>
              </w:rPr>
            </w:pPr>
            <w:r>
              <w:rPr>
                <w:rFonts w:ascii="Arial" w:cs="Arial" w:eastAsia="Arial" w:hAnsi="Arial"/>
                <w:sz w:val="8"/>
                <w:szCs w:val="8"/>
                <w:color w:val="auto"/>
              </w:rPr>
              <w:t>$12,839</w:t>
            </w:r>
          </w:p>
        </w:tc>
        <w:tc>
          <w:tcPr>
            <w:tcW w:w="720" w:type="dxa"/>
            <w:vAlign w:val="bottom"/>
          </w:tcPr>
          <w:p>
            <w:pPr>
              <w:jc w:val="center"/>
              <w:ind w:right="101"/>
              <w:spacing w:after="0"/>
              <w:rPr>
                <w:sz w:val="20"/>
                <w:szCs w:val="20"/>
                <w:color w:val="auto"/>
              </w:rPr>
            </w:pPr>
            <w:r>
              <w:rPr>
                <w:rFonts w:ascii="Arial" w:cs="Arial" w:eastAsia="Arial" w:hAnsi="Arial"/>
                <w:sz w:val="8"/>
                <w:szCs w:val="8"/>
                <w:color w:val="auto"/>
                <w:w w:val="98"/>
              </w:rPr>
              <w:t>0.8%</w:t>
            </w:r>
          </w:p>
        </w:tc>
        <w:tc>
          <w:tcPr>
            <w:tcW w:w="660" w:type="dxa"/>
            <w:vAlign w:val="bottom"/>
          </w:tcPr>
          <w:p>
            <w:pPr>
              <w:jc w:val="right"/>
              <w:spacing w:after="0"/>
              <w:rPr>
                <w:sz w:val="20"/>
                <w:szCs w:val="20"/>
                <w:color w:val="auto"/>
              </w:rPr>
            </w:pPr>
            <w:r>
              <w:rPr>
                <w:rFonts w:ascii="Arial" w:cs="Arial" w:eastAsia="Arial" w:hAnsi="Arial"/>
                <w:sz w:val="8"/>
                <w:szCs w:val="8"/>
                <w:color w:val="auto"/>
              </w:rPr>
              <w:t>$239.05</w:t>
            </w: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8"/>
          <w:szCs w:val="8"/>
          <w:color w:val="auto"/>
        </w:rPr>
        <w:t>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8"/>
          <w:szCs w:val="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0"/>
        <w:spacing w:after="0"/>
        <w:rPr>
          <w:sz w:val="20"/>
          <w:szCs w:val="20"/>
          <w:color w:val="auto"/>
        </w:rPr>
      </w:pPr>
      <w:r>
        <w:rPr>
          <w:rFonts w:ascii="Arial" w:cs="Arial" w:eastAsia="Arial" w:hAnsi="Arial"/>
          <w:sz w:val="8"/>
          <w:szCs w:val="8"/>
          <w:color w:val="auto"/>
        </w:rPr>
        <w:t>A</w:t>
      </w:r>
    </w:p>
    <w:p>
      <w:pPr>
        <w:spacing w:after="0" w:line="46" w:lineRule="exact"/>
        <w:rPr>
          <w:sz w:val="20"/>
          <w:szCs w:val="20"/>
          <w:color w:val="auto"/>
        </w:rPr>
      </w:pPr>
    </w:p>
    <w:p>
      <w:pPr>
        <w:jc w:val="center"/>
        <w:ind w:right="300"/>
        <w:spacing w:after="0"/>
        <w:rPr>
          <w:sz w:val="20"/>
          <w:szCs w:val="20"/>
          <w:color w:val="auto"/>
        </w:rPr>
      </w:pPr>
      <w:r>
        <w:rPr>
          <w:rFonts w:ascii="Arial" w:cs="Arial" w:eastAsia="Arial" w:hAnsi="Arial"/>
          <w:sz w:val="7"/>
          <w:szCs w:val="7"/>
          <w:color w:val="auto"/>
        </w:rPr>
        <w:t>Aa2</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8"/>
          <w:szCs w:val="8"/>
          <w:color w:val="auto"/>
        </w:rPr>
        <w:t>A1</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8"/>
          <w:szCs w:val="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8"/>
          <w:szCs w:val="8"/>
          <w:color w:val="auto"/>
        </w:rPr>
        <w:t>A+</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8"/>
          <w:szCs w:val="8"/>
          <w:color w:val="auto"/>
        </w:rPr>
        <w:t>A-</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8"/>
          <w:szCs w:val="8"/>
          <w:color w:val="auto"/>
        </w:rPr>
        <w:t>A</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8"/>
          <w:szCs w:val="8"/>
          <w:color w:val="auto"/>
        </w:rPr>
        <w:t>A-</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7"/>
          <w:szCs w:val="7"/>
          <w:color w:val="auto"/>
        </w:rPr>
        <w:t>AA-</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8"/>
          <w:szCs w:val="8"/>
          <w:color w:val="auto"/>
        </w:rPr>
        <w:t>A+</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8"/>
          <w:szCs w:val="8"/>
          <w:color w:val="auto"/>
        </w:rPr>
        <w:t>A</w:t>
      </w:r>
    </w:p>
    <w:p>
      <w:pPr>
        <w:spacing w:after="0" w:line="191" w:lineRule="exact"/>
        <w:rPr>
          <w:sz w:val="20"/>
          <w:szCs w:val="20"/>
          <w:color w:val="auto"/>
        </w:rPr>
      </w:pPr>
    </w:p>
    <w:p>
      <w:pPr>
        <w:sectPr>
          <w:pgSz w:w="11900" w:h="16838" w:orient="portrait"/>
          <w:cols w:equalWidth="0" w:num="2">
            <w:col w:w="8320" w:space="320"/>
            <w:col w:w="440"/>
          </w:cols>
          <w:pgMar w:left="1400" w:top="304" w:right="1419" w:bottom="1440" w:gutter="0" w:footer="0" w:header="0"/>
          <w:type w:val="continuous"/>
        </w:sectPr>
      </w:pPr>
    </w:p>
    <w:tbl>
      <w:tblPr>
        <w:tblLayout w:type="fixed"/>
        <w:tblInd w:w="20" w:type="dxa"/>
        <w:tblCellMar>
          <w:top w:w="0" w:type="dxa"/>
          <w:left w:w="0" w:type="dxa"/>
          <w:bottom w:w="0" w:type="dxa"/>
          <w:right w:w="0" w:type="dxa"/>
        </w:tblCellMar>
      </w:tblPr>
      <w:tr>
        <w:trPr>
          <w:trHeight w:val="142"/>
        </w:trPr>
        <w:tc>
          <w:tcPr>
            <w:tcW w:w="4160" w:type="dxa"/>
            <w:vAlign w:val="bottom"/>
          </w:tcPr>
          <w:p>
            <w:pPr>
              <w:spacing w:after="0"/>
              <w:rPr>
                <w:sz w:val="20"/>
                <w:szCs w:val="20"/>
                <w:color w:val="auto"/>
              </w:rPr>
            </w:pPr>
            <w:r>
              <w:rPr>
                <w:rFonts w:ascii="Arial" w:cs="Arial" w:eastAsia="Arial" w:hAnsi="Arial"/>
                <w:sz w:val="8"/>
                <w:szCs w:val="8"/>
                <w:b w:val="1"/>
                <w:bCs w:val="1"/>
                <w:color w:val="auto"/>
              </w:rPr>
              <w:t>Total</w:t>
            </w:r>
          </w:p>
        </w:tc>
        <w:tc>
          <w:tcPr>
            <w:tcW w:w="8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8"/>
                <w:szCs w:val="8"/>
                <w:b w:val="1"/>
                <w:bCs w:val="1"/>
                <w:color w:val="auto"/>
              </w:rPr>
              <w:t>8,931,340</w:t>
            </w: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8"/>
                <w:szCs w:val="8"/>
                <w:b w:val="1"/>
                <w:bCs w:val="1"/>
                <w:color w:val="auto"/>
              </w:rPr>
              <w:t>844,181</w:t>
            </w:r>
          </w:p>
        </w:tc>
        <w:tc>
          <w:tcPr>
            <w:tcW w:w="88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8"/>
                <w:szCs w:val="8"/>
                <w:b w:val="1"/>
                <w:bCs w:val="1"/>
                <w:color w:val="auto"/>
              </w:rPr>
              <w:t>504,332</w:t>
            </w:r>
          </w:p>
        </w:tc>
        <w:tc>
          <w:tcPr>
            <w:tcW w:w="142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8"/>
                <w:szCs w:val="8"/>
                <w:b w:val="1"/>
                <w:bCs w:val="1"/>
                <w:color w:val="auto"/>
              </w:rPr>
              <w:t>33.0%</w:t>
            </w:r>
          </w:p>
        </w:tc>
      </w:tr>
    </w:tbl>
    <w:p>
      <w:pPr>
        <w:spacing w:after="0" w:line="152" w:lineRule="exact"/>
        <w:rPr>
          <w:sz w:val="20"/>
          <w:szCs w:val="20"/>
          <w:color w:val="auto"/>
        </w:rPr>
      </w:pPr>
    </w:p>
    <w:p>
      <w:pPr>
        <w:ind w:left="140" w:hanging="122"/>
        <w:spacing w:after="0"/>
        <w:tabs>
          <w:tab w:leader="none" w:pos="140" w:val="left"/>
        </w:tabs>
        <w:numPr>
          <w:ilvl w:val="0"/>
          <w:numId w:val="24"/>
        </w:numPr>
        <w:rPr>
          <w:rFonts w:ascii="Arial" w:cs="Arial" w:eastAsia="Arial" w:hAnsi="Arial"/>
          <w:sz w:val="8"/>
          <w:szCs w:val="8"/>
          <w:color w:val="auto"/>
        </w:rPr>
      </w:pPr>
      <w:r>
        <w:rPr>
          <w:rFonts w:ascii="Arial" w:cs="Arial" w:eastAsia="Arial" w:hAnsi="Arial"/>
          <w:sz w:val="8"/>
          <w:szCs w:val="8"/>
          <w:color w:val="auto"/>
        </w:rPr>
        <w:t>Based on commenced leases.</w:t>
      </w:r>
    </w:p>
    <w:p>
      <w:pPr>
        <w:spacing w:after="0" w:line="45" w:lineRule="exact"/>
        <w:rPr>
          <w:rFonts w:ascii="Arial" w:cs="Arial" w:eastAsia="Arial" w:hAnsi="Arial"/>
          <w:sz w:val="8"/>
          <w:szCs w:val="8"/>
          <w:color w:val="auto"/>
        </w:rPr>
      </w:pPr>
    </w:p>
    <w:p>
      <w:pPr>
        <w:ind w:left="140" w:hanging="122"/>
        <w:spacing w:after="0"/>
        <w:tabs>
          <w:tab w:leader="none" w:pos="140" w:val="left"/>
        </w:tabs>
        <w:numPr>
          <w:ilvl w:val="0"/>
          <w:numId w:val="24"/>
        </w:numPr>
        <w:rPr>
          <w:rFonts w:ascii="Arial" w:cs="Arial" w:eastAsia="Arial" w:hAnsi="Arial"/>
          <w:sz w:val="8"/>
          <w:szCs w:val="8"/>
          <w:color w:val="auto"/>
        </w:rPr>
      </w:pPr>
      <w:r>
        <w:rPr>
          <w:rFonts w:ascii="Arial" w:cs="Arial" w:eastAsia="Arial" w:hAnsi="Arial"/>
          <w:sz w:val="8"/>
          <w:szCs w:val="8"/>
          <w:color w:val="auto"/>
        </w:rPr>
        <w:t>Expiration of current lease term and does not reflect extension options.</w:t>
      </w:r>
    </w:p>
    <w:p>
      <w:pPr>
        <w:spacing w:after="0" w:line="45" w:lineRule="exact"/>
        <w:rPr>
          <w:rFonts w:ascii="Arial" w:cs="Arial" w:eastAsia="Arial" w:hAnsi="Arial"/>
          <w:sz w:val="8"/>
          <w:szCs w:val="8"/>
          <w:color w:val="auto"/>
        </w:rPr>
      </w:pPr>
    </w:p>
    <w:p>
      <w:pPr>
        <w:ind w:left="140" w:hanging="122"/>
        <w:spacing w:after="0"/>
        <w:tabs>
          <w:tab w:leader="none" w:pos="140" w:val="left"/>
        </w:tabs>
        <w:numPr>
          <w:ilvl w:val="0"/>
          <w:numId w:val="24"/>
        </w:numPr>
        <w:rPr>
          <w:rFonts w:ascii="Arial" w:cs="Arial" w:eastAsia="Arial" w:hAnsi="Arial"/>
          <w:sz w:val="8"/>
          <w:szCs w:val="8"/>
          <w:color w:val="auto"/>
        </w:rPr>
      </w:pPr>
      <w:r>
        <w:rPr>
          <w:rFonts w:ascii="Arial" w:cs="Arial" w:eastAsia="Arial" w:hAnsi="Arial"/>
          <w:sz w:val="8"/>
          <w:szCs w:val="8"/>
          <w:color w:val="auto"/>
        </w:rPr>
        <w:t>SLG Share of Annualized Cash Rent includes Manhattan, Suburban, Retail, Residential, Development / Redevelopment and Alternative Strategy Portfolio properties.</w:t>
      </w:r>
    </w:p>
    <w:p>
      <w:pPr>
        <w:spacing w:after="0" w:line="45" w:lineRule="exact"/>
        <w:rPr>
          <w:rFonts w:ascii="Arial" w:cs="Arial" w:eastAsia="Arial" w:hAnsi="Arial"/>
          <w:sz w:val="8"/>
          <w:szCs w:val="8"/>
          <w:color w:val="auto"/>
        </w:rPr>
      </w:pPr>
    </w:p>
    <w:p>
      <w:pPr>
        <w:ind w:left="140" w:hanging="122"/>
        <w:spacing w:after="0"/>
        <w:tabs>
          <w:tab w:leader="none" w:pos="140" w:val="left"/>
        </w:tabs>
        <w:numPr>
          <w:ilvl w:val="0"/>
          <w:numId w:val="24"/>
        </w:numPr>
        <w:rPr>
          <w:rFonts w:ascii="Arial" w:cs="Arial" w:eastAsia="Arial" w:hAnsi="Arial"/>
          <w:sz w:val="8"/>
          <w:szCs w:val="8"/>
          <w:color w:val="auto"/>
        </w:rPr>
      </w:pPr>
      <w:r>
        <w:rPr>
          <w:rFonts w:ascii="Arial" w:cs="Arial" w:eastAsia="Arial" w:hAnsi="Arial"/>
          <w:sz w:val="8"/>
          <w:szCs w:val="8"/>
          <w:color w:val="auto"/>
        </w:rPr>
        <w:t>Corporate or bond rating from S&amp;P, Fitch or Moody's.</w:t>
      </w:r>
    </w:p>
    <w:p>
      <w:pPr>
        <w:spacing w:after="0" w:line="45" w:lineRule="exact"/>
        <w:rPr>
          <w:rFonts w:ascii="Arial" w:cs="Arial" w:eastAsia="Arial" w:hAnsi="Arial"/>
          <w:sz w:val="8"/>
          <w:szCs w:val="8"/>
          <w:color w:val="auto"/>
        </w:rPr>
      </w:pPr>
    </w:p>
    <w:p>
      <w:pPr>
        <w:ind w:left="140" w:hanging="122"/>
        <w:spacing w:after="0"/>
        <w:tabs>
          <w:tab w:leader="none" w:pos="140" w:val="left"/>
        </w:tabs>
        <w:numPr>
          <w:ilvl w:val="0"/>
          <w:numId w:val="24"/>
        </w:numPr>
        <w:rPr>
          <w:rFonts w:ascii="Arial" w:cs="Arial" w:eastAsia="Arial" w:hAnsi="Arial"/>
          <w:sz w:val="8"/>
          <w:szCs w:val="8"/>
          <w:color w:val="auto"/>
        </w:rPr>
      </w:pPr>
      <w:r>
        <w:rPr>
          <w:rFonts w:ascii="Arial" w:cs="Arial" w:eastAsia="Arial" w:hAnsi="Arial"/>
          <w:sz w:val="8"/>
          <w:szCs w:val="8"/>
          <w:color w:val="auto"/>
        </w:rPr>
        <w:t>Tenant pays rent on a net basis. Rent PSF reflects gross rent equivalent.</w:t>
      </w:r>
    </w:p>
    <w:p>
      <w:pPr>
        <w:spacing w:after="0" w:line="373"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34</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304" w:right="14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TENANT DIVERSIFICATION - MANHATTAN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77659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-21590</wp:posOffset>
            </wp:positionV>
            <wp:extent cx="1136650" cy="324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577659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577659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868680</wp:posOffset>
            </wp:positionV>
            <wp:extent cx="5621020" cy="24980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21020" cy="249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35</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304" w:right="141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LEASING ACTIVITY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Available Space</w:t>
      </w:r>
    </w:p>
    <w:p>
      <w:pPr>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577659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577659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7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Activity</w:t>
            </w:r>
          </w:p>
        </w:tc>
        <w:tc>
          <w:tcPr>
            <w:tcW w:w="360" w:type="dxa"/>
            <w:vAlign w:val="bottom"/>
          </w:tcPr>
          <w:p>
            <w:pPr>
              <w:spacing w:after="0"/>
              <w:rPr>
                <w:sz w:val="8"/>
                <w:szCs w:val="8"/>
                <w:color w:val="auto"/>
              </w:rPr>
            </w:pPr>
          </w:p>
        </w:tc>
        <w:tc>
          <w:tcPr>
            <w:tcW w:w="3260" w:type="dxa"/>
            <w:vAlign w:val="bottom"/>
            <w:gridSpan w:val="4"/>
            <w:vMerge w:val="restart"/>
          </w:tcPr>
          <w:p>
            <w:pPr>
              <w:spacing w:after="0"/>
              <w:rPr>
                <w:sz w:val="20"/>
                <w:szCs w:val="20"/>
                <w:color w:val="auto"/>
              </w:rPr>
            </w:pPr>
            <w:r>
              <w:rPr>
                <w:rFonts w:ascii="Arial" w:cs="Arial" w:eastAsia="Arial" w:hAnsi="Arial"/>
                <w:sz w:val="9"/>
                <w:szCs w:val="9"/>
                <w:b w:val="1"/>
                <w:bCs w:val="1"/>
                <w:color w:val="auto"/>
              </w:rPr>
              <w:t>Building Address</w:t>
            </w:r>
          </w:p>
        </w:tc>
        <w:tc>
          <w:tcPr>
            <w:tcW w:w="1300" w:type="dxa"/>
            <w:vAlign w:val="bottom"/>
            <w:gridSpan w:val="3"/>
            <w:vMerge w:val="restart"/>
          </w:tcPr>
          <w:p>
            <w:pPr>
              <w:ind w:left="100"/>
              <w:spacing w:after="0"/>
              <w:rPr>
                <w:sz w:val="20"/>
                <w:szCs w:val="20"/>
                <w:color w:val="auto"/>
              </w:rPr>
            </w:pPr>
            <w:r>
              <w:rPr>
                <w:rFonts w:ascii="Arial" w:cs="Arial" w:eastAsia="Arial" w:hAnsi="Arial"/>
                <w:sz w:val="9"/>
                <w:szCs w:val="9"/>
                <w:b w:val="1"/>
                <w:bCs w:val="1"/>
                <w:color w:val="auto"/>
              </w:rPr>
              <w:t># of Leases</w:t>
            </w: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9"/>
                <w:szCs w:val="9"/>
                <w:b w:val="1"/>
                <w:bCs w:val="1"/>
                <w:color w:val="auto"/>
                <w:w w:val="98"/>
              </w:rPr>
              <w:t>Square Feet (1)</w:t>
            </w:r>
          </w:p>
        </w:tc>
        <w:tc>
          <w:tcPr>
            <w:tcW w:w="1100" w:type="dxa"/>
            <w:vAlign w:val="bottom"/>
            <w:gridSpan w:val="3"/>
            <w:vMerge w:val="restart"/>
          </w:tcPr>
          <w:p>
            <w:pPr>
              <w:ind w:left="420"/>
              <w:spacing w:after="0"/>
              <w:rPr>
                <w:sz w:val="20"/>
                <w:szCs w:val="20"/>
                <w:color w:val="auto"/>
              </w:rPr>
            </w:pPr>
            <w:r>
              <w:rPr>
                <w:rFonts w:ascii="Arial" w:cs="Arial" w:eastAsia="Arial" w:hAnsi="Arial"/>
                <w:sz w:val="9"/>
                <w:szCs w:val="9"/>
                <w:b w:val="1"/>
                <w:bCs w:val="1"/>
                <w:color w:val="auto"/>
              </w:rPr>
              <w:t>Rentable SF</w:t>
            </w:r>
          </w:p>
        </w:tc>
        <w:tc>
          <w:tcPr>
            <w:tcW w:w="1240" w:type="dxa"/>
            <w:vAlign w:val="bottom"/>
          </w:tcPr>
          <w:p>
            <w:pPr>
              <w:jc w:val="right"/>
              <w:spacing w:after="0"/>
              <w:rPr>
                <w:sz w:val="20"/>
                <w:szCs w:val="20"/>
                <w:color w:val="auto"/>
              </w:rPr>
            </w:pPr>
            <w:r>
              <w:rPr>
                <w:rFonts w:ascii="Arial" w:cs="Arial" w:eastAsia="Arial" w:hAnsi="Arial"/>
                <w:sz w:val="9"/>
                <w:szCs w:val="9"/>
                <w:b w:val="1"/>
                <w:bCs w:val="1"/>
                <w:color w:val="auto"/>
              </w:rPr>
              <w:t>Escalated</w:t>
            </w:r>
          </w:p>
        </w:tc>
        <w:tc>
          <w:tcPr>
            <w:tcW w:w="0" w:type="dxa"/>
            <w:vAlign w:val="bottom"/>
          </w:tcPr>
          <w:p>
            <w:pPr>
              <w:spacing w:after="0"/>
              <w:rPr>
                <w:sz w:val="1"/>
                <w:szCs w:val="1"/>
                <w:color w:val="auto"/>
              </w:rPr>
            </w:pPr>
          </w:p>
        </w:tc>
      </w:tr>
      <w:tr>
        <w:trPr>
          <w:trHeight w:val="101"/>
        </w:trPr>
        <w:tc>
          <w:tcPr>
            <w:tcW w:w="7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3260" w:type="dxa"/>
            <w:vAlign w:val="bottom"/>
            <w:gridSpan w:val="4"/>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240" w:type="dxa"/>
            <w:vAlign w:val="bottom"/>
          </w:tcPr>
          <w:p>
            <w:pPr>
              <w:jc w:val="right"/>
              <w:spacing w:after="0" w:line="101" w:lineRule="exact"/>
              <w:rPr>
                <w:sz w:val="20"/>
                <w:szCs w:val="20"/>
                <w:color w:val="auto"/>
              </w:rPr>
            </w:pPr>
            <w:r>
              <w:rPr>
                <w:rFonts w:ascii="Arial" w:cs="Arial" w:eastAsia="Arial" w:hAnsi="Arial"/>
                <w:sz w:val="9"/>
                <w:szCs w:val="9"/>
                <w:b w:val="1"/>
                <w:bCs w:val="1"/>
                <w:color w:val="auto"/>
              </w:rPr>
              <w:t>Rent/Rentable SF ($'s)(2)</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40" w:type="dxa"/>
            <w:vAlign w:val="bottom"/>
            <w:gridSpan w:val="5"/>
          </w:tcPr>
          <w:p>
            <w:pPr>
              <w:spacing w:after="0"/>
              <w:rPr>
                <w:sz w:val="20"/>
                <w:szCs w:val="20"/>
                <w:color w:val="auto"/>
              </w:rPr>
            </w:pPr>
            <w:r>
              <w:rPr>
                <w:rFonts w:ascii="Arial" w:cs="Arial" w:eastAsia="Arial" w:hAnsi="Arial"/>
                <w:sz w:val="9"/>
                <w:szCs w:val="9"/>
                <w:b w:val="1"/>
                <w:bCs w:val="1"/>
                <w:i w:val="1"/>
                <w:iCs w:val="1"/>
                <w:color w:val="auto"/>
              </w:rPr>
              <w:t>Available Space at 12/31/25</w:t>
            </w:r>
          </w:p>
        </w:tc>
        <w:tc>
          <w:tcPr>
            <w:tcW w:w="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2,402,166</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Add: Acquired</w:t>
            </w:r>
          </w:p>
        </w:tc>
        <w:tc>
          <w:tcPr>
            <w:tcW w:w="360" w:type="dxa"/>
            <w:vAlign w:val="bottom"/>
          </w:tcPr>
          <w:p>
            <w:pPr>
              <w:spacing w:after="0"/>
              <w:rPr>
                <w:sz w:val="13"/>
                <w:szCs w:val="13"/>
                <w:color w:val="auto"/>
              </w:rPr>
            </w:pPr>
          </w:p>
        </w:tc>
        <w:tc>
          <w:tcPr>
            <w:tcW w:w="3260" w:type="dxa"/>
            <w:vAlign w:val="bottom"/>
            <w:gridSpan w:val="4"/>
            <w:vMerge w:val="restart"/>
          </w:tcPr>
          <w:p>
            <w:pPr>
              <w:spacing w:after="0"/>
              <w:rPr>
                <w:sz w:val="20"/>
                <w:szCs w:val="20"/>
                <w:color w:val="auto"/>
              </w:rPr>
            </w:pPr>
            <w:r>
              <w:rPr>
                <w:rFonts w:ascii="Arial" w:cs="Arial" w:eastAsia="Arial" w:hAnsi="Arial"/>
                <w:sz w:val="9"/>
                <w:szCs w:val="9"/>
                <w:b w:val="1"/>
                <w:bCs w:val="1"/>
                <w:color w:val="auto"/>
              </w:rPr>
              <w:t>65 East 55th Street (Park Avenue Tower)</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32,474</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Vacancies</w:t>
            </w:r>
          </w:p>
        </w:tc>
        <w:tc>
          <w:tcPr>
            <w:tcW w:w="360" w:type="dxa"/>
            <w:vAlign w:val="bottom"/>
          </w:tcPr>
          <w:p>
            <w:pPr>
              <w:spacing w:after="0"/>
              <w:rPr>
                <w:sz w:val="10"/>
                <w:szCs w:val="10"/>
                <w:color w:val="auto"/>
              </w:rPr>
            </w:pPr>
          </w:p>
        </w:tc>
        <w:tc>
          <w:tcPr>
            <w:tcW w:w="32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340" w:type="dxa"/>
            <w:vAlign w:val="bottom"/>
            <w:tcBorders>
              <w:bottom w:val="single" w:sz="8" w:color="auto"/>
            </w:tcBorders>
            <w:gridSpan w:val="7"/>
          </w:tcPr>
          <w:p>
            <w:pPr>
              <w:spacing w:after="0"/>
              <w:rPr>
                <w:sz w:val="20"/>
                <w:szCs w:val="20"/>
                <w:color w:val="auto"/>
              </w:rPr>
            </w:pPr>
            <w:r>
              <w:rPr>
                <w:rFonts w:ascii="Arial" w:cs="Arial" w:eastAsia="Arial" w:hAnsi="Arial"/>
                <w:sz w:val="9"/>
                <w:szCs w:val="9"/>
                <w:b w:val="1"/>
                <w:bCs w:val="1"/>
                <w:i w:val="1"/>
                <w:iCs w:val="1"/>
                <w:color w:val="auto"/>
              </w:rPr>
              <w:t>Space which became available during the Quarter (3):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gridSpan w:val="3"/>
          </w:tcPr>
          <w:p>
            <w:pPr>
              <w:ind w:left="80"/>
              <w:spacing w:after="0"/>
              <w:rPr>
                <w:sz w:val="20"/>
                <w:szCs w:val="20"/>
                <w:color w:val="auto"/>
              </w:rPr>
            </w:pPr>
            <w:r>
              <w:rPr>
                <w:rFonts w:ascii="Arial" w:cs="Arial" w:eastAsia="Arial" w:hAnsi="Arial"/>
                <w:sz w:val="9"/>
                <w:szCs w:val="9"/>
                <w:b w:val="1"/>
                <w:bCs w:val="1"/>
                <w:i w:val="1"/>
                <w:iCs w:val="1"/>
                <w:color w:val="auto"/>
              </w:rPr>
              <w:t>Office</w:t>
            </w:r>
          </w:p>
        </w:tc>
        <w:tc>
          <w:tcPr>
            <w:tcW w:w="6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110 Greene Street</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1,471</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1,470</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$90.50</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220</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East 42nd Street</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2,020</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2,727</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67.25</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245</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Park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38,011</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36,883</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156.58</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280</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Park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8,599</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9,298</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113.59</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420</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Lexington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14</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28,667</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34,209</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68.35</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450</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Park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31,164</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31,164</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128.52</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485</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Lexington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13,827</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14,206</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74.40</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711 Third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4,975</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5,443</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78.88</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800</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3,728</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3,915</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64.50</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810</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Seventh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4</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29,628</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30,625</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68.30</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1185 Avenue of the Americas</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10,456</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9,400</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103.56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1350 Avenue of the Americas</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12,403</w:t>
            </w: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13,065</w:t>
            </w: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color w:val="auto"/>
              </w:rPr>
              <w:t>78.77</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00" w:type="dxa"/>
            <w:vAlign w:val="bottom"/>
          </w:tcPr>
          <w:p>
            <w:pPr>
              <w:ind w:left="1260"/>
              <w:spacing w:after="0"/>
              <w:rPr>
                <w:sz w:val="20"/>
                <w:szCs w:val="20"/>
                <w:color w:val="auto"/>
              </w:rPr>
            </w:pPr>
            <w:r>
              <w:rPr>
                <w:rFonts w:ascii="Arial" w:cs="Arial" w:eastAsia="Arial" w:hAnsi="Arial"/>
                <w:sz w:val="9"/>
                <w:szCs w:val="9"/>
                <w:b w:val="1"/>
                <w:bCs w:val="1"/>
                <w:i w:val="1"/>
                <w:iCs w:val="1"/>
                <w:color w:val="auto"/>
              </w:rPr>
              <w:t>Total/Weighted Average</w:t>
            </w:r>
          </w:p>
        </w:tc>
        <w:tc>
          <w:tcPr>
            <w:tcW w:w="600" w:type="dxa"/>
            <w:vAlign w:val="bottom"/>
            <w:gridSpan w:val="2"/>
          </w:tcPr>
          <w:p>
            <w:pPr>
              <w:jc w:val="right"/>
              <w:spacing w:after="0"/>
              <w:rPr>
                <w:sz w:val="20"/>
                <w:szCs w:val="20"/>
                <w:color w:val="auto"/>
              </w:rPr>
            </w:pPr>
            <w:r>
              <w:rPr>
                <w:rFonts w:ascii="Arial" w:cs="Arial" w:eastAsia="Arial" w:hAnsi="Arial"/>
                <w:sz w:val="9"/>
                <w:szCs w:val="9"/>
                <w:b w:val="1"/>
                <w:bCs w:val="1"/>
                <w:color w:val="auto"/>
              </w:rPr>
              <w:t>28</w:t>
            </w:r>
          </w:p>
        </w:tc>
        <w:tc>
          <w:tcPr>
            <w:tcW w:w="7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184,949</w:t>
            </w:r>
          </w:p>
        </w:tc>
        <w:tc>
          <w:tcPr>
            <w:tcW w:w="4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b w:val="1"/>
                <w:bCs w:val="1"/>
                <w:color w:val="auto"/>
              </w:rPr>
              <w:t>192,405</w:t>
            </w:r>
          </w:p>
        </w:tc>
        <w:tc>
          <w:tcPr>
            <w:tcW w:w="160" w:type="dxa"/>
            <w:vAlign w:val="bottom"/>
          </w:tcPr>
          <w:p>
            <w:pPr>
              <w:spacing w:after="0"/>
              <w:rPr>
                <w:sz w:val="11"/>
                <w:szCs w:val="11"/>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b w:val="1"/>
                <w:bCs w:val="1"/>
                <w:color w:val="auto"/>
              </w:rPr>
              <w:t>$100.44</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gridSpan w:val="3"/>
          </w:tcPr>
          <w:p>
            <w:pPr>
              <w:ind w:left="80"/>
              <w:spacing w:after="0"/>
              <w:rPr>
                <w:sz w:val="20"/>
                <w:szCs w:val="20"/>
                <w:color w:val="auto"/>
              </w:rPr>
            </w:pPr>
            <w:r>
              <w:rPr>
                <w:rFonts w:ascii="Arial" w:cs="Arial" w:eastAsia="Arial" w:hAnsi="Arial"/>
                <w:sz w:val="9"/>
                <w:szCs w:val="9"/>
                <w:b w:val="1"/>
                <w:bCs w:val="1"/>
                <w:i w:val="1"/>
                <w:iCs w:val="1"/>
                <w:color w:val="auto"/>
              </w:rPr>
              <w:t>Retail</w:t>
            </w:r>
          </w:p>
        </w:tc>
        <w:tc>
          <w:tcPr>
            <w:tcW w:w="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One Madison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14,826</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13,535</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$82.14</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100</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Church Street</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2,500</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2,570</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125.77</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ind w:left="360"/>
              <w:spacing w:after="0"/>
              <w:rPr>
                <w:sz w:val="20"/>
                <w:szCs w:val="20"/>
                <w:color w:val="auto"/>
              </w:rPr>
            </w:pPr>
            <w:r>
              <w:rPr>
                <w:rFonts w:ascii="Arial" w:cs="Arial" w:eastAsia="Arial" w:hAnsi="Arial"/>
                <w:sz w:val="9"/>
                <w:szCs w:val="9"/>
                <w:color w:val="auto"/>
                <w:w w:val="92"/>
              </w:rPr>
              <w:t>800</w:t>
            </w:r>
          </w:p>
        </w:tc>
        <w:tc>
          <w:tcPr>
            <w:tcW w:w="310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3,100</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color w:val="auto"/>
              </w:rPr>
              <w:t>2,800</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color w:val="auto"/>
              </w:rPr>
              <w:t>150.29</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60" w:type="dxa"/>
            <w:vAlign w:val="bottom"/>
            <w:gridSpan w:val="4"/>
          </w:tcPr>
          <w:p>
            <w:pPr>
              <w:spacing w:after="0"/>
              <w:rPr>
                <w:sz w:val="20"/>
                <w:szCs w:val="20"/>
                <w:color w:val="auto"/>
              </w:rPr>
            </w:pPr>
            <w:r>
              <w:rPr>
                <w:rFonts w:ascii="Arial" w:cs="Arial" w:eastAsia="Arial" w:hAnsi="Arial"/>
                <w:sz w:val="9"/>
                <w:szCs w:val="9"/>
                <w:color w:val="auto"/>
              </w:rPr>
              <w:t>1185 Avenue of the Americas</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w:t>
            </w: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7,000</w:t>
            </w: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7,141</w:t>
            </w: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color w:val="auto"/>
              </w:rPr>
              <w:t>113.04</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00" w:type="dxa"/>
            <w:vAlign w:val="bottom"/>
          </w:tcPr>
          <w:p>
            <w:pPr>
              <w:ind w:left="1260"/>
              <w:spacing w:after="0"/>
              <w:rPr>
                <w:sz w:val="20"/>
                <w:szCs w:val="20"/>
                <w:color w:val="auto"/>
              </w:rPr>
            </w:pPr>
            <w:r>
              <w:rPr>
                <w:rFonts w:ascii="Arial" w:cs="Arial" w:eastAsia="Arial" w:hAnsi="Arial"/>
                <w:sz w:val="9"/>
                <w:szCs w:val="9"/>
                <w:b w:val="1"/>
                <w:bCs w:val="1"/>
                <w:i w:val="1"/>
                <w:iCs w:val="1"/>
                <w:color w:val="auto"/>
              </w:rPr>
              <w:t>Total/Weighted Average</w:t>
            </w:r>
          </w:p>
        </w:tc>
        <w:tc>
          <w:tcPr>
            <w:tcW w:w="600" w:type="dxa"/>
            <w:vAlign w:val="bottom"/>
            <w:gridSpan w:val="2"/>
          </w:tcPr>
          <w:p>
            <w:pPr>
              <w:jc w:val="right"/>
              <w:spacing w:after="0"/>
              <w:rPr>
                <w:sz w:val="20"/>
                <w:szCs w:val="20"/>
                <w:color w:val="auto"/>
              </w:rPr>
            </w:pPr>
            <w:r>
              <w:rPr>
                <w:rFonts w:ascii="Arial" w:cs="Arial" w:eastAsia="Arial" w:hAnsi="Arial"/>
                <w:sz w:val="9"/>
                <w:szCs w:val="9"/>
                <w:b w:val="1"/>
                <w:bCs w:val="1"/>
                <w:color w:val="auto"/>
              </w:rPr>
              <w:t>4</w:t>
            </w:r>
          </w:p>
        </w:tc>
        <w:tc>
          <w:tcPr>
            <w:tcW w:w="7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27,426</w:t>
            </w:r>
          </w:p>
        </w:tc>
        <w:tc>
          <w:tcPr>
            <w:tcW w:w="4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b w:val="1"/>
                <w:bCs w:val="1"/>
                <w:color w:val="auto"/>
              </w:rPr>
              <w:t>26,046</w:t>
            </w:r>
          </w:p>
        </w:tc>
        <w:tc>
          <w:tcPr>
            <w:tcW w:w="160" w:type="dxa"/>
            <w:vAlign w:val="bottom"/>
          </w:tcPr>
          <w:p>
            <w:pPr>
              <w:spacing w:after="0"/>
              <w:rPr>
                <w:sz w:val="11"/>
                <w:szCs w:val="11"/>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b w:val="1"/>
                <w:bCs w:val="1"/>
                <w:color w:val="auto"/>
              </w:rPr>
              <w:t>$102.24</w:t>
            </w:r>
          </w:p>
        </w:tc>
        <w:tc>
          <w:tcPr>
            <w:tcW w:w="0" w:type="dxa"/>
            <w:vAlign w:val="bottom"/>
          </w:tcPr>
          <w:p>
            <w:pPr>
              <w:spacing w:after="0"/>
              <w:rPr>
                <w:sz w:val="1"/>
                <w:szCs w:val="1"/>
                <w:color w:val="auto"/>
              </w:rPr>
            </w:pPr>
          </w:p>
        </w:tc>
      </w:tr>
      <w:tr>
        <w:trPr>
          <w:trHeight w:val="376"/>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tcBorders>
              <w:bottom w:val="single" w:sz="8" w:color="auto"/>
            </w:tcBorders>
            <w:gridSpan w:val="4"/>
          </w:tcPr>
          <w:p>
            <w:pPr>
              <w:spacing w:after="0"/>
              <w:rPr>
                <w:sz w:val="20"/>
                <w:szCs w:val="20"/>
                <w:color w:val="auto"/>
              </w:rPr>
            </w:pPr>
            <w:r>
              <w:rPr>
                <w:rFonts w:ascii="Arial" w:cs="Arial" w:eastAsia="Arial" w:hAnsi="Arial"/>
                <w:sz w:val="9"/>
                <w:szCs w:val="9"/>
                <w:b w:val="1"/>
                <w:bCs w:val="1"/>
                <w:color w:val="auto"/>
              </w:rPr>
              <w:t>Total Space which became available during the Quarter</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00" w:type="dxa"/>
            <w:vAlign w:val="bottom"/>
          </w:tcPr>
          <w:p>
            <w:pPr>
              <w:jc w:val="center"/>
              <w:ind w:right="914"/>
              <w:spacing w:after="0"/>
              <w:rPr>
                <w:sz w:val="20"/>
                <w:szCs w:val="20"/>
                <w:color w:val="auto"/>
              </w:rPr>
            </w:pPr>
            <w:r>
              <w:rPr>
                <w:rFonts w:ascii="Arial" w:cs="Arial" w:eastAsia="Arial" w:hAnsi="Arial"/>
                <w:sz w:val="9"/>
                <w:szCs w:val="9"/>
                <w:b w:val="1"/>
                <w:bCs w:val="1"/>
                <w:i w:val="1"/>
                <w:iCs w:val="1"/>
                <w:color w:val="auto"/>
              </w:rPr>
              <w:t>Office</w:t>
            </w:r>
          </w:p>
        </w:tc>
        <w:tc>
          <w:tcPr>
            <w:tcW w:w="600" w:type="dxa"/>
            <w:vAlign w:val="bottom"/>
            <w:gridSpan w:val="2"/>
          </w:tcPr>
          <w:p>
            <w:pPr>
              <w:jc w:val="right"/>
              <w:spacing w:after="0"/>
              <w:rPr>
                <w:sz w:val="20"/>
                <w:szCs w:val="20"/>
                <w:color w:val="auto"/>
              </w:rPr>
            </w:pPr>
            <w:r>
              <w:rPr>
                <w:rFonts w:ascii="Arial" w:cs="Arial" w:eastAsia="Arial" w:hAnsi="Arial"/>
                <w:sz w:val="9"/>
                <w:szCs w:val="9"/>
                <w:b w:val="1"/>
                <w:bCs w:val="1"/>
                <w:color w:val="auto"/>
              </w:rPr>
              <w:t>28</w:t>
            </w:r>
          </w:p>
        </w:tc>
        <w:tc>
          <w:tcPr>
            <w:tcW w:w="7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184,949</w:t>
            </w:r>
          </w:p>
        </w:tc>
        <w:tc>
          <w:tcPr>
            <w:tcW w:w="42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b w:val="1"/>
                <w:bCs w:val="1"/>
                <w:color w:val="auto"/>
              </w:rPr>
              <w:t>192,405</w:t>
            </w:r>
          </w:p>
        </w:tc>
        <w:tc>
          <w:tcPr>
            <w:tcW w:w="160" w:type="dxa"/>
            <w:vAlign w:val="bottom"/>
          </w:tcPr>
          <w:p>
            <w:pPr>
              <w:spacing w:after="0"/>
              <w:rPr>
                <w:sz w:val="10"/>
                <w:szCs w:val="10"/>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b w:val="1"/>
                <w:bCs w:val="1"/>
                <w:color w:val="auto"/>
              </w:rPr>
              <w:t>$100.44</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00" w:type="dxa"/>
            <w:vAlign w:val="bottom"/>
          </w:tcPr>
          <w:p>
            <w:pPr>
              <w:jc w:val="center"/>
              <w:ind w:right="914"/>
              <w:spacing w:after="0"/>
              <w:rPr>
                <w:sz w:val="20"/>
                <w:szCs w:val="20"/>
                <w:color w:val="auto"/>
              </w:rPr>
            </w:pPr>
            <w:r>
              <w:rPr>
                <w:rFonts w:ascii="Arial" w:cs="Arial" w:eastAsia="Arial" w:hAnsi="Arial"/>
                <w:sz w:val="9"/>
                <w:szCs w:val="9"/>
                <w:b w:val="1"/>
                <w:bCs w:val="1"/>
                <w:i w:val="1"/>
                <w:iCs w:val="1"/>
                <w:color w:val="auto"/>
              </w:rPr>
              <w:t>Retail</w:t>
            </w:r>
          </w:p>
        </w:tc>
        <w:tc>
          <w:tcPr>
            <w:tcW w:w="600" w:type="dxa"/>
            <w:vAlign w:val="bottom"/>
            <w:gridSpan w:val="2"/>
          </w:tcPr>
          <w:p>
            <w:pPr>
              <w:jc w:val="right"/>
              <w:spacing w:after="0"/>
              <w:rPr>
                <w:sz w:val="20"/>
                <w:szCs w:val="20"/>
                <w:color w:val="auto"/>
              </w:rPr>
            </w:pPr>
            <w:r>
              <w:rPr>
                <w:rFonts w:ascii="Arial" w:cs="Arial" w:eastAsia="Arial" w:hAnsi="Arial"/>
                <w:sz w:val="9"/>
                <w:szCs w:val="9"/>
                <w:b w:val="1"/>
                <w:bCs w:val="1"/>
                <w:color w:val="auto"/>
              </w:rPr>
              <w:t>4</w:t>
            </w:r>
          </w:p>
        </w:tc>
        <w:tc>
          <w:tcPr>
            <w:tcW w:w="7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27,426</w:t>
            </w:r>
          </w:p>
        </w:tc>
        <w:tc>
          <w:tcPr>
            <w:tcW w:w="4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b w:val="1"/>
                <w:bCs w:val="1"/>
                <w:color w:val="auto"/>
              </w:rPr>
              <w:t>26,046</w:t>
            </w:r>
          </w:p>
        </w:tc>
        <w:tc>
          <w:tcPr>
            <w:tcW w:w="160" w:type="dxa"/>
            <w:vAlign w:val="bottom"/>
          </w:tcPr>
          <w:p>
            <w:pPr>
              <w:spacing w:after="0"/>
              <w:rPr>
                <w:sz w:val="12"/>
                <w:szCs w:val="12"/>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b w:val="1"/>
                <w:bCs w:val="1"/>
                <w:color w:val="auto"/>
              </w:rPr>
              <w:t>$102.24</w:t>
            </w: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00" w:type="dxa"/>
            <w:vAlign w:val="bottom"/>
          </w:tcPr>
          <w:p>
            <w:pPr>
              <w:jc w:val="center"/>
              <w:ind w:right="914"/>
              <w:spacing w:after="0"/>
              <w:rPr>
                <w:sz w:val="20"/>
                <w:szCs w:val="20"/>
                <w:color w:val="auto"/>
              </w:rPr>
            </w:pPr>
            <w:r>
              <w:rPr>
                <w:rFonts w:ascii="Arial" w:cs="Arial" w:eastAsia="Arial" w:hAnsi="Arial"/>
                <w:sz w:val="9"/>
                <w:szCs w:val="9"/>
                <w:b w:val="1"/>
                <w:bCs w:val="1"/>
                <w:i w:val="1"/>
                <w:iCs w:val="1"/>
                <w:color w:val="auto"/>
              </w:rPr>
              <w:t>Storage</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9"/>
                <w:szCs w:val="9"/>
                <w:b w:val="1"/>
                <w:bCs w:val="1"/>
                <w:color w:val="auto"/>
              </w:rPr>
              <w:t>—</w:t>
            </w:r>
          </w:p>
        </w:tc>
        <w:tc>
          <w:tcPr>
            <w:tcW w:w="10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9"/>
                <w:szCs w:val="9"/>
                <w:b w:val="1"/>
                <w:bCs w:val="1"/>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9"/>
                <w:szCs w:val="9"/>
                <w:b w:val="1"/>
                <w:bCs w:val="1"/>
                <w:color w:val="auto"/>
              </w:rPr>
              <w:t>32</w:t>
            </w:r>
          </w:p>
        </w:tc>
        <w:tc>
          <w:tcPr>
            <w:tcW w:w="7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212,375</w:t>
            </w:r>
          </w:p>
        </w:tc>
        <w:tc>
          <w:tcPr>
            <w:tcW w:w="42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Arial" w:cs="Arial" w:eastAsia="Arial" w:hAnsi="Arial"/>
                <w:sz w:val="9"/>
                <w:szCs w:val="9"/>
                <w:b w:val="1"/>
                <w:bCs w:val="1"/>
                <w:color w:val="auto"/>
              </w:rPr>
              <w:t>218,451</w:t>
            </w:r>
          </w:p>
        </w:tc>
        <w:tc>
          <w:tcPr>
            <w:tcW w:w="160" w:type="dxa"/>
            <w:vAlign w:val="bottom"/>
          </w:tcPr>
          <w:p>
            <w:pPr>
              <w:spacing w:after="0"/>
              <w:rPr>
                <w:sz w:val="10"/>
                <w:szCs w:val="10"/>
                <w:color w:val="auto"/>
              </w:rPr>
            </w:pPr>
          </w:p>
        </w:tc>
        <w:tc>
          <w:tcPr>
            <w:tcW w:w="1240" w:type="dxa"/>
            <w:vAlign w:val="bottom"/>
          </w:tcPr>
          <w:p>
            <w:pPr>
              <w:jc w:val="right"/>
              <w:ind w:right="14"/>
              <w:spacing w:after="0"/>
              <w:rPr>
                <w:sz w:val="20"/>
                <w:szCs w:val="20"/>
                <w:color w:val="auto"/>
              </w:rPr>
            </w:pPr>
            <w:r>
              <w:rPr>
                <w:rFonts w:ascii="Arial" w:cs="Arial" w:eastAsia="Arial" w:hAnsi="Arial"/>
                <w:sz w:val="9"/>
                <w:szCs w:val="9"/>
                <w:b w:val="1"/>
                <w:bCs w:val="1"/>
                <w:color w:val="auto"/>
              </w:rPr>
              <w:t>$100.65</w:t>
            </w:r>
          </w:p>
        </w:tc>
        <w:tc>
          <w:tcPr>
            <w:tcW w:w="0" w:type="dxa"/>
            <w:vAlign w:val="bottom"/>
          </w:tcPr>
          <w:p>
            <w:pPr>
              <w:spacing w:after="0"/>
              <w:rPr>
                <w:sz w:val="1"/>
                <w:szCs w:val="1"/>
                <w:color w:val="auto"/>
              </w:rPr>
            </w:pPr>
          </w:p>
        </w:tc>
      </w:tr>
      <w:tr>
        <w:trPr>
          <w:trHeight w:val="295"/>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00" w:type="dxa"/>
            <w:vAlign w:val="bottom"/>
          </w:tcPr>
          <w:p>
            <w:pPr>
              <w:jc w:val="center"/>
              <w:ind w:right="914"/>
              <w:spacing w:after="0"/>
              <w:rPr>
                <w:sz w:val="20"/>
                <w:szCs w:val="20"/>
                <w:color w:val="auto"/>
              </w:rPr>
            </w:pPr>
            <w:r>
              <w:rPr>
                <w:rFonts w:ascii="Arial" w:cs="Arial" w:eastAsia="Arial" w:hAnsi="Arial"/>
                <w:sz w:val="9"/>
                <w:szCs w:val="9"/>
                <w:b w:val="1"/>
                <w:bCs w:val="1"/>
                <w:i w:val="1"/>
                <w:iCs w:val="1"/>
                <w:color w:val="auto"/>
              </w:rPr>
              <w:t>Total Available Space</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2,647,015</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40" w:hanging="122"/>
        <w:spacing w:after="0"/>
        <w:tabs>
          <w:tab w:leader="none" w:pos="140" w:val="left"/>
        </w:tabs>
        <w:numPr>
          <w:ilvl w:val="0"/>
          <w:numId w:val="25"/>
        </w:numPr>
        <w:rPr>
          <w:rFonts w:ascii="Arial" w:cs="Arial" w:eastAsia="Arial" w:hAnsi="Arial"/>
          <w:sz w:val="8"/>
          <w:szCs w:val="8"/>
          <w:color w:val="auto"/>
        </w:rPr>
      </w:pPr>
      <w:r>
        <w:rPr>
          <w:rFonts w:ascii="Arial" w:cs="Arial" w:eastAsia="Arial" w:hAnsi="Arial"/>
          <w:sz w:val="8"/>
          <w:szCs w:val="8"/>
          <w:color w:val="auto"/>
        </w:rPr>
        <w:t>Represents the rentable square footage at the time the property was acquired.</w:t>
      </w:r>
    </w:p>
    <w:p>
      <w:pPr>
        <w:spacing w:after="0" w:line="55" w:lineRule="exact"/>
        <w:rPr>
          <w:rFonts w:ascii="Arial" w:cs="Arial" w:eastAsia="Arial" w:hAnsi="Arial"/>
          <w:sz w:val="8"/>
          <w:szCs w:val="8"/>
          <w:color w:val="auto"/>
        </w:rPr>
      </w:pPr>
    </w:p>
    <w:p>
      <w:pPr>
        <w:ind w:left="140" w:hanging="122"/>
        <w:spacing w:after="0"/>
        <w:tabs>
          <w:tab w:leader="none" w:pos="140" w:val="left"/>
        </w:tabs>
        <w:numPr>
          <w:ilvl w:val="0"/>
          <w:numId w:val="25"/>
        </w:numPr>
        <w:rPr>
          <w:rFonts w:ascii="Arial" w:cs="Arial" w:eastAsia="Arial" w:hAnsi="Arial"/>
          <w:sz w:val="8"/>
          <w:szCs w:val="8"/>
          <w:color w:val="auto"/>
        </w:rPr>
      </w:pPr>
      <w:r>
        <w:rPr>
          <w:rFonts w:ascii="Arial" w:cs="Arial" w:eastAsia="Arial" w:hAnsi="Arial"/>
          <w:sz w:val="8"/>
          <w:szCs w:val="8"/>
          <w:color w:val="auto"/>
        </w:rPr>
        <w:t>Escalated cash rent includes base rent plus all additional amounts paid by the tenant in the form of real estate taxes, operating expenses, porters wage or a consumer price index (CPI) adjustment, excluding concessions.</w:t>
      </w:r>
    </w:p>
    <w:p>
      <w:pPr>
        <w:spacing w:after="0" w:line="55" w:lineRule="exact"/>
        <w:rPr>
          <w:rFonts w:ascii="Arial" w:cs="Arial" w:eastAsia="Arial" w:hAnsi="Arial"/>
          <w:sz w:val="8"/>
          <w:szCs w:val="8"/>
          <w:color w:val="auto"/>
        </w:rPr>
      </w:pPr>
    </w:p>
    <w:p>
      <w:pPr>
        <w:ind w:left="140" w:hanging="122"/>
        <w:spacing w:after="0"/>
        <w:tabs>
          <w:tab w:leader="none" w:pos="140" w:val="left"/>
        </w:tabs>
        <w:numPr>
          <w:ilvl w:val="0"/>
          <w:numId w:val="25"/>
        </w:numPr>
        <w:rPr>
          <w:rFonts w:ascii="Arial" w:cs="Arial" w:eastAsia="Arial" w:hAnsi="Arial"/>
          <w:sz w:val="8"/>
          <w:szCs w:val="8"/>
          <w:color w:val="auto"/>
        </w:rPr>
      </w:pPr>
      <w:r>
        <w:rPr>
          <w:rFonts w:ascii="Arial" w:cs="Arial" w:eastAsia="Arial" w:hAnsi="Arial"/>
          <w:sz w:val="8"/>
          <w:szCs w:val="8"/>
          <w:color w:val="auto"/>
        </w:rPr>
        <w:t>Includes expiring space, relocating tenants and move-outs where tenants vacated. Excludes lease expirations where tenants heldover.</w:t>
      </w:r>
    </w:p>
    <w:p>
      <w:pPr>
        <w:spacing w:after="0" w:line="366"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36</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7" w:right="141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LEASING ACTIVITY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Commenced Leasing</w:t>
      </w:r>
    </w:p>
    <w:p>
      <w:pPr>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577659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577659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580" w:type="dxa"/>
            <w:vAlign w:val="bottom"/>
            <w:vMerge w:val="restart"/>
          </w:tcPr>
          <w:p>
            <w:pPr>
              <w:spacing w:after="0"/>
              <w:rPr>
                <w:sz w:val="20"/>
                <w:szCs w:val="20"/>
                <w:color w:val="auto"/>
              </w:rPr>
            </w:pPr>
            <w:r>
              <w:rPr>
                <w:rFonts w:ascii="Arial" w:cs="Arial" w:eastAsia="Arial" w:hAnsi="Arial"/>
                <w:sz w:val="7"/>
                <w:szCs w:val="7"/>
                <w:b w:val="1"/>
                <w:bCs w:val="1"/>
                <w:color w:val="auto"/>
              </w:rPr>
              <w:t>Activity</w:t>
            </w:r>
          </w:p>
        </w:tc>
        <w:tc>
          <w:tcPr>
            <w:tcW w:w="2380" w:type="dxa"/>
            <w:vAlign w:val="bottom"/>
            <w:gridSpan w:val="2"/>
            <w:vMerge w:val="restart"/>
          </w:tcPr>
          <w:p>
            <w:pPr>
              <w:ind w:left="360"/>
              <w:spacing w:after="0"/>
              <w:rPr>
                <w:sz w:val="20"/>
                <w:szCs w:val="20"/>
                <w:color w:val="auto"/>
              </w:rPr>
            </w:pPr>
            <w:r>
              <w:rPr>
                <w:rFonts w:ascii="Arial" w:cs="Arial" w:eastAsia="Arial" w:hAnsi="Arial"/>
                <w:sz w:val="7"/>
                <w:szCs w:val="7"/>
                <w:b w:val="1"/>
                <w:bCs w:val="1"/>
                <w:color w:val="auto"/>
              </w:rPr>
              <w:t>Building Address</w:t>
            </w:r>
          </w:p>
        </w:tc>
        <w:tc>
          <w:tcPr>
            <w:tcW w:w="680" w:type="dxa"/>
            <w:vAlign w:val="bottom"/>
            <w:gridSpan w:val="2"/>
            <w:vMerge w:val="restart"/>
          </w:tcPr>
          <w:p>
            <w:pPr>
              <w:ind w:left="200"/>
              <w:spacing w:after="0"/>
              <w:rPr>
                <w:sz w:val="20"/>
                <w:szCs w:val="20"/>
                <w:color w:val="auto"/>
              </w:rPr>
            </w:pPr>
            <w:r>
              <w:rPr>
                <w:rFonts w:ascii="Arial" w:cs="Arial" w:eastAsia="Arial" w:hAnsi="Arial"/>
                <w:sz w:val="7"/>
                <w:szCs w:val="7"/>
                <w:b w:val="1"/>
                <w:bCs w:val="1"/>
                <w:color w:val="auto"/>
              </w:rPr>
              <w:t># of Leases</w:t>
            </w:r>
          </w:p>
        </w:tc>
        <w:tc>
          <w:tcPr>
            <w:tcW w:w="660" w:type="dxa"/>
            <w:vAlign w:val="bottom"/>
            <w:gridSpan w:val="2"/>
            <w:vMerge w:val="restart"/>
          </w:tcPr>
          <w:p>
            <w:pPr>
              <w:ind w:left="220"/>
              <w:spacing w:after="0"/>
              <w:rPr>
                <w:sz w:val="20"/>
                <w:szCs w:val="20"/>
                <w:color w:val="auto"/>
              </w:rPr>
            </w:pPr>
            <w:r>
              <w:rPr>
                <w:rFonts w:ascii="Arial" w:cs="Arial" w:eastAsia="Arial" w:hAnsi="Arial"/>
                <w:sz w:val="7"/>
                <w:szCs w:val="7"/>
                <w:b w:val="1"/>
                <w:bCs w:val="1"/>
                <w:color w:val="auto"/>
              </w:rPr>
              <w:t>Term (Yrs)</w:t>
            </w:r>
          </w:p>
        </w:tc>
        <w:tc>
          <w:tcPr>
            <w:tcW w:w="740" w:type="dxa"/>
            <w:vAlign w:val="bottom"/>
            <w:gridSpan w:val="2"/>
            <w:vMerge w:val="restart"/>
          </w:tcPr>
          <w:p>
            <w:pPr>
              <w:ind w:left="160"/>
              <w:spacing w:after="0"/>
              <w:rPr>
                <w:sz w:val="20"/>
                <w:szCs w:val="20"/>
                <w:color w:val="auto"/>
              </w:rPr>
            </w:pPr>
            <w:r>
              <w:rPr>
                <w:rFonts w:ascii="Arial" w:cs="Arial" w:eastAsia="Arial" w:hAnsi="Arial"/>
                <w:sz w:val="7"/>
                <w:szCs w:val="7"/>
                <w:b w:val="1"/>
                <w:bCs w:val="1"/>
                <w:color w:val="auto"/>
              </w:rPr>
              <w:t>Square Feet (1)</w:t>
            </w:r>
          </w:p>
        </w:tc>
        <w:tc>
          <w:tcPr>
            <w:tcW w:w="780" w:type="dxa"/>
            <w:vAlign w:val="bottom"/>
            <w:gridSpan w:val="2"/>
            <w:vMerge w:val="restart"/>
          </w:tcPr>
          <w:p>
            <w:pPr>
              <w:ind w:left="280"/>
              <w:spacing w:after="0"/>
              <w:rPr>
                <w:sz w:val="20"/>
                <w:szCs w:val="20"/>
                <w:color w:val="auto"/>
              </w:rPr>
            </w:pPr>
            <w:r>
              <w:rPr>
                <w:rFonts w:ascii="Arial" w:cs="Arial" w:eastAsia="Arial" w:hAnsi="Arial"/>
                <w:sz w:val="7"/>
                <w:szCs w:val="7"/>
                <w:b w:val="1"/>
                <w:bCs w:val="1"/>
                <w:color w:val="auto"/>
              </w:rPr>
              <w:t>Rentable SF</w:t>
            </w:r>
          </w:p>
        </w:tc>
        <w:tc>
          <w:tcPr>
            <w:tcW w:w="88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New Cash Rent /</w:t>
            </w:r>
          </w:p>
        </w:tc>
        <w:tc>
          <w:tcPr>
            <w:tcW w:w="96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Prev. Escalated Rent/</w:t>
            </w:r>
          </w:p>
        </w:tc>
        <w:tc>
          <w:tcPr>
            <w:tcW w:w="800" w:type="dxa"/>
            <w:vAlign w:val="bottom"/>
            <w:gridSpan w:val="2"/>
            <w:vMerge w:val="restart"/>
          </w:tcPr>
          <w:p>
            <w:pPr>
              <w:ind w:left="180"/>
              <w:spacing w:after="0"/>
              <w:rPr>
                <w:sz w:val="20"/>
                <w:szCs w:val="20"/>
                <w:color w:val="auto"/>
              </w:rPr>
            </w:pPr>
            <w:r>
              <w:rPr>
                <w:rFonts w:ascii="Arial" w:cs="Arial" w:eastAsia="Arial" w:hAnsi="Arial"/>
                <w:sz w:val="7"/>
                <w:szCs w:val="7"/>
                <w:b w:val="1"/>
                <w:bCs w:val="1"/>
                <w:color w:val="auto"/>
              </w:rPr>
              <w:t>TI / Rentable SF</w:t>
            </w: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Free Rent</w:t>
            </w: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8"/>
                <w:szCs w:val="8"/>
                <w:color w:val="auto"/>
              </w:rPr>
            </w:pPr>
          </w:p>
        </w:tc>
        <w:tc>
          <w:tcPr>
            <w:tcW w:w="2380" w:type="dxa"/>
            <w:vAlign w:val="bottom"/>
            <w:tcBorders>
              <w:bottom w:val="single" w:sz="8" w:color="auto"/>
            </w:tcBorders>
            <w:gridSpan w:val="2"/>
            <w:vMerge w:val="continue"/>
          </w:tcPr>
          <w:p>
            <w:pPr>
              <w:spacing w:after="0"/>
              <w:rPr>
                <w:sz w:val="8"/>
                <w:szCs w:val="8"/>
                <w:color w:val="auto"/>
              </w:rPr>
            </w:pPr>
          </w:p>
        </w:tc>
        <w:tc>
          <w:tcPr>
            <w:tcW w:w="680" w:type="dxa"/>
            <w:vAlign w:val="bottom"/>
            <w:tcBorders>
              <w:bottom w:val="single" w:sz="8" w:color="auto"/>
            </w:tcBorders>
            <w:gridSpan w:val="2"/>
            <w:vMerge w:val="continue"/>
          </w:tcPr>
          <w:p>
            <w:pPr>
              <w:spacing w:after="0"/>
              <w:rPr>
                <w:sz w:val="8"/>
                <w:szCs w:val="8"/>
                <w:color w:val="auto"/>
              </w:rPr>
            </w:pPr>
          </w:p>
        </w:tc>
        <w:tc>
          <w:tcPr>
            <w:tcW w:w="660" w:type="dxa"/>
            <w:vAlign w:val="bottom"/>
            <w:tcBorders>
              <w:bottom w:val="single" w:sz="8" w:color="auto"/>
            </w:tcBorders>
            <w:gridSpan w:val="2"/>
            <w:vMerge w:val="continue"/>
          </w:tcPr>
          <w:p>
            <w:pPr>
              <w:spacing w:after="0"/>
              <w:rPr>
                <w:sz w:val="8"/>
                <w:szCs w:val="8"/>
                <w:color w:val="auto"/>
              </w:rPr>
            </w:pPr>
          </w:p>
        </w:tc>
        <w:tc>
          <w:tcPr>
            <w:tcW w:w="740" w:type="dxa"/>
            <w:vAlign w:val="bottom"/>
            <w:tcBorders>
              <w:bottom w:val="single" w:sz="8" w:color="auto"/>
            </w:tcBorders>
            <w:gridSpan w:val="2"/>
            <w:vMerge w:val="continue"/>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7"/>
                <w:szCs w:val="7"/>
                <w:b w:val="1"/>
                <w:bCs w:val="1"/>
                <w:color w:val="auto"/>
              </w:rPr>
              <w:t>Rentable SF(2)</w:t>
            </w: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7"/>
                <w:szCs w:val="7"/>
                <w:b w:val="1"/>
                <w:bCs w:val="1"/>
                <w:color w:val="auto"/>
              </w:rPr>
              <w:t>Rentable SF(3)</w:t>
            </w:r>
          </w:p>
        </w:tc>
        <w:tc>
          <w:tcPr>
            <w:tcW w:w="800" w:type="dxa"/>
            <w:vAlign w:val="bottom"/>
            <w:tcBorders>
              <w:bottom w:val="single" w:sz="8" w:color="auto"/>
            </w:tcBorders>
            <w:gridSpan w:val="2"/>
            <w:vMerge w:val="continue"/>
          </w:tcPr>
          <w:p>
            <w:pPr>
              <w:spacing w:after="0"/>
              <w:rPr>
                <w:sz w:val="8"/>
                <w:szCs w:val="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 of Months</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20"/>
                <w:szCs w:val="20"/>
                <w:color w:val="auto"/>
              </w:rPr>
            </w:pPr>
            <w:r>
              <w:rPr>
                <w:rFonts w:ascii="Arial" w:cs="Arial" w:eastAsia="Arial" w:hAnsi="Arial"/>
                <w:sz w:val="7"/>
                <w:szCs w:val="7"/>
                <w:b w:val="1"/>
                <w:bCs w:val="1"/>
                <w:color w:val="auto"/>
              </w:rPr>
              <w:t>Available Space</w:t>
            </w:r>
          </w:p>
        </w:tc>
        <w:tc>
          <w:tcPr>
            <w:tcW w:w="4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b w:val="1"/>
                <w:bCs w:val="1"/>
                <w:color w:val="auto"/>
              </w:rPr>
              <w:t>2,647,015</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5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580" w:type="dxa"/>
            <w:vAlign w:val="bottom"/>
          </w:tcPr>
          <w:p>
            <w:pPr>
              <w:spacing w:after="0"/>
              <w:rPr>
                <w:sz w:val="7"/>
                <w:szCs w:val="7"/>
                <w:color w:val="auto"/>
              </w:rPr>
            </w:pPr>
          </w:p>
        </w:tc>
        <w:tc>
          <w:tcPr>
            <w:tcW w:w="480" w:type="dxa"/>
            <w:vAlign w:val="bottom"/>
          </w:tcPr>
          <w:p>
            <w:pPr>
              <w:jc w:val="right"/>
              <w:ind w:right="107"/>
              <w:spacing w:after="0"/>
              <w:rPr>
                <w:sz w:val="20"/>
                <w:szCs w:val="20"/>
                <w:color w:val="auto"/>
              </w:rPr>
            </w:pPr>
            <w:r>
              <w:rPr>
                <w:rFonts w:ascii="Arial" w:cs="Arial" w:eastAsia="Arial" w:hAnsi="Arial"/>
                <w:sz w:val="7"/>
                <w:szCs w:val="7"/>
                <w:b w:val="1"/>
                <w:bCs w:val="1"/>
                <w:color w:val="auto"/>
              </w:rPr>
              <w:t>Office</w:t>
            </w:r>
          </w:p>
        </w:tc>
        <w:tc>
          <w:tcPr>
            <w:tcW w:w="1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color w:val="auto"/>
              </w:rPr>
              <w:t>One Madison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10.9</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92,663</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92,663</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$108.00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$150.00</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15.0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color w:val="auto"/>
              </w:rPr>
              <w:t>10 East 53rd Street</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7.5</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4,940</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5,407</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87.50</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90.12</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74.00</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3.4</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color w:val="auto"/>
              </w:rPr>
              <w:t>11 Madison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11.6</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80,802</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82,390</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105.50</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102.93</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145.00</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17.0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100</w:t>
            </w:r>
          </w:p>
        </w:tc>
        <w:tc>
          <w:tcPr>
            <w:tcW w:w="1900" w:type="dxa"/>
            <w:vAlign w:val="bottom"/>
          </w:tcPr>
          <w:p>
            <w:pPr>
              <w:ind w:left="20"/>
              <w:spacing w:after="0"/>
              <w:rPr>
                <w:sz w:val="20"/>
                <w:szCs w:val="20"/>
                <w:color w:val="auto"/>
              </w:rPr>
            </w:pPr>
            <w:r>
              <w:rPr>
                <w:rFonts w:ascii="Arial" w:cs="Arial" w:eastAsia="Arial" w:hAnsi="Arial"/>
                <w:sz w:val="7"/>
                <w:szCs w:val="7"/>
                <w:color w:val="auto"/>
              </w:rPr>
              <w:t>Church Street</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10.8</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4,718</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5,147</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44.00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20.43</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10.0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color w:val="auto"/>
              </w:rPr>
              <w:t>110 Greene Street</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3</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2.6</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5,940</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5,940</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90.63</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93.89</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5.74</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1.6</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220</w:t>
            </w:r>
          </w:p>
        </w:tc>
        <w:tc>
          <w:tcPr>
            <w:tcW w:w="190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11.9</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5,112</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6,417</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60.00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157.60</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11.0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245</w:t>
            </w:r>
          </w:p>
        </w:tc>
        <w:tc>
          <w:tcPr>
            <w:tcW w:w="1900" w:type="dxa"/>
            <w:vAlign w:val="bottom"/>
          </w:tcPr>
          <w:p>
            <w:pPr>
              <w:ind w:left="20"/>
              <w:spacing w:after="0"/>
              <w:rPr>
                <w:sz w:val="20"/>
                <w:szCs w:val="20"/>
                <w:color w:val="auto"/>
              </w:rPr>
            </w:pPr>
            <w:r>
              <w:rPr>
                <w:rFonts w:ascii="Arial" w:cs="Arial" w:eastAsia="Arial" w:hAnsi="Arial"/>
                <w:sz w:val="7"/>
                <w:szCs w:val="7"/>
                <w:color w:val="auto"/>
              </w:rPr>
              <w:t>Park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2</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14.0</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77,160</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76,061</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158.49</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151.68</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172.51</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18.5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280</w:t>
            </w:r>
          </w:p>
        </w:tc>
        <w:tc>
          <w:tcPr>
            <w:tcW w:w="1900" w:type="dxa"/>
            <w:vAlign w:val="bottom"/>
          </w:tcPr>
          <w:p>
            <w:pPr>
              <w:ind w:left="20"/>
              <w:spacing w:after="0"/>
              <w:rPr>
                <w:sz w:val="20"/>
                <w:szCs w:val="20"/>
                <w:color w:val="auto"/>
              </w:rPr>
            </w:pPr>
            <w:r>
              <w:rPr>
                <w:rFonts w:ascii="Arial" w:cs="Arial" w:eastAsia="Arial" w:hAnsi="Arial"/>
                <w:sz w:val="7"/>
                <w:szCs w:val="7"/>
                <w:color w:val="auto"/>
              </w:rPr>
              <w:t>Park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6</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9.2</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50,650</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53,034</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123.77</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104.61</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54.25</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7.6</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420</w:t>
            </w:r>
          </w:p>
        </w:tc>
        <w:tc>
          <w:tcPr>
            <w:tcW w:w="190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17</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5.1</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29,603</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40,443</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66.76</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65.65</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63.77</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4.0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450</w:t>
            </w:r>
          </w:p>
        </w:tc>
        <w:tc>
          <w:tcPr>
            <w:tcW w:w="1900" w:type="dxa"/>
            <w:vAlign w:val="bottom"/>
          </w:tcPr>
          <w:p>
            <w:pPr>
              <w:ind w:left="20"/>
              <w:spacing w:after="0"/>
              <w:rPr>
                <w:sz w:val="20"/>
                <w:szCs w:val="20"/>
                <w:color w:val="auto"/>
              </w:rPr>
            </w:pPr>
            <w:r>
              <w:rPr>
                <w:rFonts w:ascii="Arial" w:cs="Arial" w:eastAsia="Arial" w:hAnsi="Arial"/>
                <w:sz w:val="7"/>
                <w:szCs w:val="7"/>
                <w:color w:val="auto"/>
              </w:rPr>
              <w:t>Park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10.9</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10,790</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10,820</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152.00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195.00</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11.0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color w:val="auto"/>
              </w:rPr>
              <w:t>711 Third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3.0</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19,166</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20,862</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66.00</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65.75</w:t>
            </w:r>
          </w:p>
        </w:tc>
        <w:tc>
          <w:tcPr>
            <w:tcW w:w="120" w:type="dxa"/>
            <w:vAlign w:val="bottom"/>
          </w:tcPr>
          <w:p>
            <w:pPr>
              <w:spacing w:after="0"/>
              <w:rPr>
                <w:sz w:val="9"/>
                <w:szCs w:val="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9.0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800</w:t>
            </w:r>
          </w:p>
        </w:tc>
        <w:tc>
          <w:tcPr>
            <w:tcW w:w="190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3</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9.7</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16,493</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17,527</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63.32</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78.94</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125.03</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8.9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810</w:t>
            </w:r>
          </w:p>
        </w:tc>
        <w:tc>
          <w:tcPr>
            <w:tcW w:w="1900" w:type="dxa"/>
            <w:vAlign w:val="bottom"/>
          </w:tcPr>
          <w:p>
            <w:pPr>
              <w:ind w:left="20"/>
              <w:spacing w:after="0"/>
              <w:rPr>
                <w:sz w:val="20"/>
                <w:szCs w:val="20"/>
                <w:color w:val="auto"/>
              </w:rPr>
            </w:pPr>
            <w:r>
              <w:rPr>
                <w:rFonts w:ascii="Arial" w:cs="Arial" w:eastAsia="Arial" w:hAnsi="Arial"/>
                <w:sz w:val="7"/>
                <w:szCs w:val="7"/>
                <w:color w:val="auto"/>
              </w:rPr>
              <w:t>Seventh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4</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9.8</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23,991</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24,482</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65.93</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65.51</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89.87</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5.4</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885</w:t>
            </w:r>
          </w:p>
        </w:tc>
        <w:tc>
          <w:tcPr>
            <w:tcW w:w="190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5.0</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6,487</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6,957</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86.59</w:t>
            </w:r>
          </w:p>
        </w:tc>
        <w:tc>
          <w:tcPr>
            <w:tcW w:w="120" w:type="dxa"/>
            <w:vAlign w:val="bottom"/>
          </w:tcPr>
          <w:p>
            <w:pPr>
              <w:spacing w:after="0"/>
              <w:rPr>
                <w:sz w:val="9"/>
                <w:szCs w:val="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99.94</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5.0</w:t>
            </w: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color w:val="auto"/>
              </w:rPr>
              <w:t>1185 Avenue of the Americas</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3</w:t>
            </w: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15.1</w:t>
            </w:r>
          </w:p>
        </w:tc>
        <w:tc>
          <w:tcPr>
            <w:tcW w:w="120" w:type="dxa"/>
            <w:vAlign w:val="bottom"/>
          </w:tcPr>
          <w:p>
            <w:pPr>
              <w:spacing w:after="0"/>
              <w:rPr>
                <w:sz w:val="10"/>
                <w:szCs w:val="10"/>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37,330</w:t>
            </w:r>
          </w:p>
        </w:tc>
        <w:tc>
          <w:tcPr>
            <w:tcW w:w="100" w:type="dxa"/>
            <w:vAlign w:val="bottom"/>
          </w:tcPr>
          <w:p>
            <w:pPr>
              <w:spacing w:after="0"/>
              <w:rPr>
                <w:sz w:val="10"/>
                <w:szCs w:val="10"/>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40,492</w:t>
            </w:r>
          </w:p>
        </w:tc>
        <w:tc>
          <w:tcPr>
            <w:tcW w:w="120" w:type="dxa"/>
            <w:vAlign w:val="bottom"/>
          </w:tcPr>
          <w:p>
            <w:pPr>
              <w:spacing w:after="0"/>
              <w:rPr>
                <w:sz w:val="10"/>
                <w:szCs w:val="10"/>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61.18</w:t>
            </w:r>
          </w:p>
        </w:tc>
        <w:tc>
          <w:tcPr>
            <w:tcW w:w="120" w:type="dxa"/>
            <w:vAlign w:val="bottom"/>
          </w:tcPr>
          <w:p>
            <w:pPr>
              <w:spacing w:after="0"/>
              <w:rPr>
                <w:sz w:val="10"/>
                <w:szCs w:val="1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138.90</w:t>
            </w:r>
          </w:p>
        </w:tc>
        <w:tc>
          <w:tcPr>
            <w:tcW w:w="120" w:type="dxa"/>
            <w:vAlign w:val="bottom"/>
          </w:tcPr>
          <w:p>
            <w:pPr>
              <w:spacing w:after="0"/>
              <w:rPr>
                <w:sz w:val="10"/>
                <w:szCs w:val="10"/>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7.2</w:t>
            </w: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jc w:val="right"/>
              <w:ind w:right="107"/>
              <w:spacing w:after="0"/>
              <w:rPr>
                <w:sz w:val="20"/>
                <w:szCs w:val="20"/>
                <w:color w:val="auto"/>
              </w:rPr>
            </w:pPr>
            <w:r>
              <w:rPr>
                <w:rFonts w:ascii="Arial" w:cs="Arial" w:eastAsia="Arial" w:hAnsi="Arial"/>
                <w:sz w:val="7"/>
                <w:szCs w:val="7"/>
                <w:b w:val="1"/>
                <w:bCs w:val="1"/>
                <w:i w:val="1"/>
                <w:iCs w:val="1"/>
                <w:color w:val="auto"/>
              </w:rPr>
              <w:t>Total/Weighted Average</w:t>
            </w: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46</w:t>
            </w:r>
          </w:p>
        </w:tc>
        <w:tc>
          <w:tcPr>
            <w:tcW w:w="120" w:type="dxa"/>
            <w:vAlign w:val="bottom"/>
          </w:tcPr>
          <w:p>
            <w:pPr>
              <w:spacing w:after="0"/>
              <w:rPr>
                <w:sz w:val="8"/>
                <w:szCs w:val="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10.5</w:t>
            </w:r>
          </w:p>
        </w:tc>
        <w:tc>
          <w:tcPr>
            <w:tcW w:w="120" w:type="dxa"/>
            <w:vAlign w:val="bottom"/>
          </w:tcPr>
          <w:p>
            <w:pPr>
              <w:spacing w:after="0"/>
              <w:rPr>
                <w:sz w:val="8"/>
                <w:szCs w:val="8"/>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465,845</w:t>
            </w:r>
          </w:p>
        </w:tc>
        <w:tc>
          <w:tcPr>
            <w:tcW w:w="100" w:type="dxa"/>
            <w:vAlign w:val="bottom"/>
          </w:tcPr>
          <w:p>
            <w:pPr>
              <w:spacing w:after="0"/>
              <w:rPr>
                <w:sz w:val="8"/>
                <w:szCs w:val="8"/>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488,642</w:t>
            </w:r>
          </w:p>
        </w:tc>
        <w:tc>
          <w:tcPr>
            <w:tcW w:w="120" w:type="dxa"/>
            <w:vAlign w:val="bottom"/>
          </w:tcPr>
          <w:p>
            <w:pPr>
              <w:spacing w:after="0"/>
              <w:rPr>
                <w:sz w:val="8"/>
                <w:szCs w:val="8"/>
                <w:color w:val="auto"/>
              </w:rPr>
            </w:pPr>
          </w:p>
        </w:tc>
        <w:tc>
          <w:tcPr>
            <w:tcW w:w="76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$103.28</w:t>
            </w:r>
          </w:p>
        </w:tc>
        <w:tc>
          <w:tcPr>
            <w:tcW w:w="120" w:type="dxa"/>
            <w:vAlign w:val="bottom"/>
          </w:tcPr>
          <w:p>
            <w:pPr>
              <w:spacing w:after="0"/>
              <w:rPr>
                <w:sz w:val="8"/>
                <w:szCs w:val="8"/>
                <w:color w:val="auto"/>
              </w:rPr>
            </w:pPr>
          </w:p>
        </w:tc>
        <w:tc>
          <w:tcPr>
            <w:tcW w:w="840" w:type="dxa"/>
            <w:vAlign w:val="bottom"/>
            <w:tcBorders>
              <w:top w:val="single" w:sz="8" w:color="auto"/>
            </w:tcBorders>
          </w:tcPr>
          <w:p>
            <w:pPr>
              <w:jc w:val="right"/>
              <w:ind w:right="27"/>
              <w:spacing w:after="0"/>
              <w:rPr>
                <w:sz w:val="20"/>
                <w:szCs w:val="20"/>
                <w:color w:val="auto"/>
              </w:rPr>
            </w:pPr>
            <w:r>
              <w:rPr>
                <w:rFonts w:ascii="Arial" w:cs="Arial" w:eastAsia="Arial" w:hAnsi="Arial"/>
                <w:sz w:val="7"/>
                <w:szCs w:val="7"/>
                <w:b w:val="1"/>
                <w:bCs w:val="1"/>
                <w:color w:val="auto"/>
              </w:rPr>
              <w:t>$101.67</w:t>
            </w:r>
          </w:p>
        </w:tc>
        <w:tc>
          <w:tcPr>
            <w:tcW w:w="120" w:type="dxa"/>
            <w:vAlign w:val="bottom"/>
          </w:tcPr>
          <w:p>
            <w:pPr>
              <w:spacing w:after="0"/>
              <w:rPr>
                <w:sz w:val="8"/>
                <w:szCs w:val="8"/>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$120.32</w:t>
            </w:r>
          </w:p>
        </w:tc>
        <w:tc>
          <w:tcPr>
            <w:tcW w:w="120" w:type="dxa"/>
            <w:vAlign w:val="bottom"/>
          </w:tcPr>
          <w:p>
            <w:pPr>
              <w:spacing w:after="0"/>
              <w:rPr>
                <w:sz w:val="8"/>
                <w:szCs w:val="8"/>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11.9</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7"/>
                <w:szCs w:val="7"/>
                <w:b w:val="1"/>
                <w:bCs w:val="1"/>
                <w:color w:val="auto"/>
              </w:rPr>
              <w:t>Retail</w:t>
            </w:r>
          </w:p>
        </w:tc>
        <w:tc>
          <w:tcPr>
            <w:tcW w:w="1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245</w:t>
            </w:r>
          </w:p>
        </w:tc>
        <w:tc>
          <w:tcPr>
            <w:tcW w:w="1900" w:type="dxa"/>
            <w:vAlign w:val="bottom"/>
          </w:tcPr>
          <w:p>
            <w:pPr>
              <w:ind w:left="20"/>
              <w:spacing w:after="0"/>
              <w:rPr>
                <w:sz w:val="20"/>
                <w:szCs w:val="20"/>
                <w:color w:val="auto"/>
              </w:rPr>
            </w:pPr>
            <w:r>
              <w:rPr>
                <w:rFonts w:ascii="Arial" w:cs="Arial" w:eastAsia="Arial" w:hAnsi="Arial"/>
                <w:sz w:val="7"/>
                <w:szCs w:val="7"/>
                <w:color w:val="auto"/>
              </w:rPr>
              <w:t>Park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2</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19.9</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10,882</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11,317</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$115.30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$579.66</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15.1</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800</w:t>
            </w:r>
          </w:p>
        </w:tc>
        <w:tc>
          <w:tcPr>
            <w:tcW w:w="190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5.0</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3,100</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2,800</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142.86</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150.29</w:t>
            </w:r>
          </w:p>
        </w:tc>
        <w:tc>
          <w:tcPr>
            <w:tcW w:w="120" w:type="dxa"/>
            <w:vAlign w:val="bottom"/>
          </w:tcPr>
          <w:p>
            <w:pPr>
              <w:spacing w:after="0"/>
              <w:rPr>
                <w:sz w:val="9"/>
                <w:szCs w:val="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color w:val="auto"/>
              </w:rPr>
              <w:t>1185 Avenue of the Americas</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1.0</w:t>
            </w:r>
          </w:p>
        </w:tc>
        <w:tc>
          <w:tcPr>
            <w:tcW w:w="120" w:type="dxa"/>
            <w:vAlign w:val="bottom"/>
          </w:tcPr>
          <w:p>
            <w:pPr>
              <w:spacing w:after="0"/>
              <w:rPr>
                <w:sz w:val="10"/>
                <w:szCs w:val="10"/>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7,000</w:t>
            </w:r>
          </w:p>
        </w:tc>
        <w:tc>
          <w:tcPr>
            <w:tcW w:w="100" w:type="dxa"/>
            <w:vAlign w:val="bottom"/>
          </w:tcPr>
          <w:p>
            <w:pPr>
              <w:spacing w:after="0"/>
              <w:rPr>
                <w:sz w:val="10"/>
                <w:szCs w:val="10"/>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7,141</w:t>
            </w:r>
          </w:p>
        </w:tc>
        <w:tc>
          <w:tcPr>
            <w:tcW w:w="120" w:type="dxa"/>
            <w:vAlign w:val="bottom"/>
          </w:tcPr>
          <w:p>
            <w:pPr>
              <w:spacing w:after="0"/>
              <w:rPr>
                <w:sz w:val="10"/>
                <w:szCs w:val="10"/>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50.41</w:t>
            </w:r>
          </w:p>
        </w:tc>
        <w:tc>
          <w:tcPr>
            <w:tcW w:w="120" w:type="dxa"/>
            <w:vAlign w:val="bottom"/>
          </w:tcPr>
          <w:p>
            <w:pPr>
              <w:spacing w:after="0"/>
              <w:rPr>
                <w:sz w:val="10"/>
                <w:szCs w:val="10"/>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113.04</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jc w:val="right"/>
              <w:ind w:right="107"/>
              <w:spacing w:after="0"/>
              <w:rPr>
                <w:sz w:val="20"/>
                <w:szCs w:val="20"/>
                <w:color w:val="auto"/>
              </w:rPr>
            </w:pPr>
            <w:r>
              <w:rPr>
                <w:rFonts w:ascii="Arial" w:cs="Arial" w:eastAsia="Arial" w:hAnsi="Arial"/>
                <w:sz w:val="7"/>
                <w:szCs w:val="7"/>
                <w:b w:val="1"/>
                <w:bCs w:val="1"/>
                <w:i w:val="1"/>
                <w:iCs w:val="1"/>
                <w:color w:val="auto"/>
              </w:rPr>
              <w:t>Total/Weighted Average</w:t>
            </w: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4</w:t>
            </w:r>
          </w:p>
        </w:tc>
        <w:tc>
          <w:tcPr>
            <w:tcW w:w="120" w:type="dxa"/>
            <w:vAlign w:val="bottom"/>
          </w:tcPr>
          <w:p>
            <w:pPr>
              <w:spacing w:after="0"/>
              <w:rPr>
                <w:sz w:val="8"/>
                <w:szCs w:val="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11.6</w:t>
            </w:r>
          </w:p>
        </w:tc>
        <w:tc>
          <w:tcPr>
            <w:tcW w:w="120" w:type="dxa"/>
            <w:vAlign w:val="bottom"/>
          </w:tcPr>
          <w:p>
            <w:pPr>
              <w:spacing w:after="0"/>
              <w:rPr>
                <w:sz w:val="8"/>
                <w:szCs w:val="8"/>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20,982</w:t>
            </w:r>
          </w:p>
        </w:tc>
        <w:tc>
          <w:tcPr>
            <w:tcW w:w="100" w:type="dxa"/>
            <w:vAlign w:val="bottom"/>
          </w:tcPr>
          <w:p>
            <w:pPr>
              <w:spacing w:after="0"/>
              <w:rPr>
                <w:sz w:val="8"/>
                <w:szCs w:val="8"/>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21,258</w:t>
            </w:r>
          </w:p>
        </w:tc>
        <w:tc>
          <w:tcPr>
            <w:tcW w:w="120" w:type="dxa"/>
            <w:vAlign w:val="bottom"/>
          </w:tcPr>
          <w:p>
            <w:pPr>
              <w:spacing w:after="0"/>
              <w:rPr>
                <w:sz w:val="8"/>
                <w:szCs w:val="8"/>
                <w:color w:val="auto"/>
              </w:rPr>
            </w:pPr>
          </w:p>
        </w:tc>
        <w:tc>
          <w:tcPr>
            <w:tcW w:w="76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$97.13</w:t>
            </w:r>
          </w:p>
        </w:tc>
        <w:tc>
          <w:tcPr>
            <w:tcW w:w="120" w:type="dxa"/>
            <w:vAlign w:val="bottom"/>
          </w:tcPr>
          <w:p>
            <w:pPr>
              <w:spacing w:after="0"/>
              <w:rPr>
                <w:sz w:val="8"/>
                <w:szCs w:val="8"/>
                <w:color w:val="auto"/>
              </w:rPr>
            </w:pPr>
          </w:p>
        </w:tc>
        <w:tc>
          <w:tcPr>
            <w:tcW w:w="840" w:type="dxa"/>
            <w:vAlign w:val="bottom"/>
            <w:tcBorders>
              <w:top w:val="single" w:sz="8" w:color="auto"/>
            </w:tcBorders>
          </w:tcPr>
          <w:p>
            <w:pPr>
              <w:jc w:val="right"/>
              <w:ind w:right="27"/>
              <w:spacing w:after="0"/>
              <w:rPr>
                <w:sz w:val="20"/>
                <w:szCs w:val="20"/>
                <w:color w:val="auto"/>
              </w:rPr>
            </w:pPr>
            <w:r>
              <w:rPr>
                <w:rFonts w:ascii="Arial" w:cs="Arial" w:eastAsia="Arial" w:hAnsi="Arial"/>
                <w:sz w:val="7"/>
                <w:szCs w:val="7"/>
                <w:b w:val="1"/>
                <w:bCs w:val="1"/>
                <w:color w:val="auto"/>
              </w:rPr>
              <w:t>$123.53</w:t>
            </w:r>
          </w:p>
        </w:tc>
        <w:tc>
          <w:tcPr>
            <w:tcW w:w="120" w:type="dxa"/>
            <w:vAlign w:val="bottom"/>
          </w:tcPr>
          <w:p>
            <w:pPr>
              <w:spacing w:after="0"/>
              <w:rPr>
                <w:sz w:val="8"/>
                <w:szCs w:val="8"/>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$308.59</w:t>
            </w:r>
          </w:p>
        </w:tc>
        <w:tc>
          <w:tcPr>
            <w:tcW w:w="120" w:type="dxa"/>
            <w:vAlign w:val="bottom"/>
          </w:tcPr>
          <w:p>
            <w:pPr>
              <w:spacing w:after="0"/>
              <w:rPr>
                <w:sz w:val="8"/>
                <w:szCs w:val="8"/>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8.1</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7"/>
                <w:szCs w:val="7"/>
                <w:b w:val="1"/>
                <w:bCs w:val="1"/>
                <w:color w:val="auto"/>
              </w:rPr>
              <w:t>Storage</w:t>
            </w:r>
          </w:p>
        </w:tc>
        <w:tc>
          <w:tcPr>
            <w:tcW w:w="1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420</w:t>
            </w:r>
          </w:p>
        </w:tc>
        <w:tc>
          <w:tcPr>
            <w:tcW w:w="190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12.5</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392</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466</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$30.00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3.0</w:t>
            </w: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color w:val="auto"/>
              </w:rPr>
              <w:t>800 Third Avenue</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2.8</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right"/>
              <w:ind w:right="27"/>
              <w:spacing w:after="0"/>
              <w:rPr>
                <w:sz w:val="20"/>
                <w:szCs w:val="20"/>
                <w:color w:val="auto"/>
              </w:rPr>
            </w:pPr>
            <w:r>
              <w:rPr>
                <w:rFonts w:ascii="Arial" w:cs="Arial" w:eastAsia="Arial" w:hAnsi="Arial"/>
                <w:sz w:val="7"/>
                <w:szCs w:val="7"/>
                <w:color w:val="auto"/>
              </w:rPr>
              <w:t>200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261</w:t>
            </w:r>
          </w:p>
        </w:tc>
        <w:tc>
          <w:tcPr>
            <w:tcW w:w="120" w:type="dxa"/>
            <w:vAlign w:val="bottom"/>
          </w:tcPr>
          <w:p>
            <w:pPr>
              <w:spacing w:after="0"/>
              <w:rPr>
                <w:sz w:val="10"/>
                <w:szCs w:val="10"/>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35.00</w:t>
            </w:r>
          </w:p>
        </w:tc>
        <w:tc>
          <w:tcPr>
            <w:tcW w:w="120" w:type="dxa"/>
            <w:vAlign w:val="bottom"/>
          </w:tcPr>
          <w:p>
            <w:pPr>
              <w:spacing w:after="0"/>
              <w:rPr>
                <w:sz w:val="10"/>
                <w:szCs w:val="10"/>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jc w:val="right"/>
              <w:ind w:right="107"/>
              <w:spacing w:after="0"/>
              <w:rPr>
                <w:sz w:val="20"/>
                <w:szCs w:val="20"/>
                <w:color w:val="auto"/>
              </w:rPr>
            </w:pPr>
            <w:r>
              <w:rPr>
                <w:rFonts w:ascii="Arial" w:cs="Arial" w:eastAsia="Arial" w:hAnsi="Arial"/>
                <w:sz w:val="7"/>
                <w:szCs w:val="7"/>
                <w:b w:val="1"/>
                <w:bCs w:val="1"/>
                <w:i w:val="1"/>
                <w:iCs w:val="1"/>
                <w:color w:val="auto"/>
              </w:rPr>
              <w:t>Total/Weighted Average</w:t>
            </w:r>
          </w:p>
        </w:tc>
        <w:tc>
          <w:tcPr>
            <w:tcW w:w="560" w:type="dxa"/>
            <w:vAlign w:val="bottom"/>
          </w:tcPr>
          <w:p>
            <w:pPr>
              <w:jc w:val="right"/>
              <w:ind w:right="7"/>
              <w:spacing w:after="0"/>
              <w:rPr>
                <w:sz w:val="20"/>
                <w:szCs w:val="20"/>
                <w:color w:val="auto"/>
              </w:rPr>
            </w:pPr>
            <w:r>
              <w:rPr>
                <w:rFonts w:ascii="Arial" w:cs="Arial" w:eastAsia="Arial" w:hAnsi="Arial"/>
                <w:sz w:val="7"/>
                <w:szCs w:val="7"/>
                <w:b w:val="1"/>
                <w:bCs w:val="1"/>
                <w:color w:val="auto"/>
              </w:rPr>
              <w:t>2</w:t>
            </w: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9.0</w:t>
            </w:r>
          </w:p>
        </w:tc>
        <w:tc>
          <w:tcPr>
            <w:tcW w:w="120" w:type="dxa"/>
            <w:vAlign w:val="bottom"/>
          </w:tcPr>
          <w:p>
            <w:pPr>
              <w:spacing w:after="0"/>
              <w:rPr>
                <w:sz w:val="8"/>
                <w:szCs w:val="8"/>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b w:val="1"/>
                <w:bCs w:val="1"/>
                <w:color w:val="auto"/>
              </w:rPr>
              <w:t>592</w:t>
            </w:r>
          </w:p>
        </w:tc>
        <w:tc>
          <w:tcPr>
            <w:tcW w:w="100" w:type="dxa"/>
            <w:vAlign w:val="bottom"/>
          </w:tcPr>
          <w:p>
            <w:pPr>
              <w:spacing w:after="0"/>
              <w:rPr>
                <w:sz w:val="8"/>
                <w:szCs w:val="8"/>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b w:val="1"/>
                <w:bCs w:val="1"/>
                <w:color w:val="auto"/>
              </w:rPr>
              <w:t>727</w:t>
            </w:r>
          </w:p>
        </w:tc>
        <w:tc>
          <w:tcPr>
            <w:tcW w:w="120" w:type="dxa"/>
            <w:vAlign w:val="bottom"/>
          </w:tcPr>
          <w:p>
            <w:pPr>
              <w:spacing w:after="0"/>
              <w:rPr>
                <w:sz w:val="8"/>
                <w:szCs w:val="8"/>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b w:val="1"/>
                <w:bCs w:val="1"/>
                <w:color w:val="auto"/>
              </w:rPr>
              <w:t>$31.80</w:t>
            </w:r>
          </w:p>
        </w:tc>
        <w:tc>
          <w:tcPr>
            <w:tcW w:w="120" w:type="dxa"/>
            <w:vAlign w:val="bottom"/>
          </w:tcPr>
          <w:p>
            <w:pPr>
              <w:spacing w:after="0"/>
              <w:rPr>
                <w:sz w:val="8"/>
                <w:szCs w:val="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1.9</w:t>
            </w:r>
          </w:p>
        </w:tc>
        <w:tc>
          <w:tcPr>
            <w:tcW w:w="0" w:type="dxa"/>
            <w:vAlign w:val="bottom"/>
          </w:tcPr>
          <w:p>
            <w:pPr>
              <w:spacing w:after="0"/>
              <w:rPr>
                <w:sz w:val="1"/>
                <w:szCs w:val="1"/>
                <w:color w:val="auto"/>
              </w:rPr>
            </w:pPr>
          </w:p>
        </w:tc>
      </w:tr>
      <w:tr>
        <w:trPr>
          <w:trHeight w:val="155"/>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Leased Space</w:t>
            </w:r>
          </w:p>
        </w:tc>
        <w:tc>
          <w:tcPr>
            <w:tcW w:w="4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580" w:type="dxa"/>
            <w:vAlign w:val="bottom"/>
          </w:tcPr>
          <w:p>
            <w:pPr>
              <w:spacing w:after="0"/>
              <w:rPr>
                <w:sz w:val="7"/>
                <w:szCs w:val="7"/>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b w:val="1"/>
                <w:bCs w:val="1"/>
                <w:i w:val="1"/>
                <w:iCs w:val="1"/>
                <w:color w:val="auto"/>
              </w:rPr>
              <w:t>Office (4)</w:t>
            </w:r>
          </w:p>
        </w:tc>
        <w:tc>
          <w:tcPr>
            <w:tcW w:w="560" w:type="dxa"/>
            <w:vAlign w:val="bottom"/>
          </w:tcPr>
          <w:p>
            <w:pPr>
              <w:jc w:val="right"/>
              <w:ind w:right="7"/>
              <w:spacing w:after="0"/>
              <w:rPr>
                <w:sz w:val="20"/>
                <w:szCs w:val="20"/>
                <w:color w:val="auto"/>
              </w:rPr>
            </w:pPr>
            <w:r>
              <w:rPr>
                <w:rFonts w:ascii="Arial" w:cs="Arial" w:eastAsia="Arial" w:hAnsi="Arial"/>
                <w:sz w:val="7"/>
                <w:szCs w:val="7"/>
                <w:b w:val="1"/>
                <w:bCs w:val="1"/>
                <w:color w:val="auto"/>
              </w:rPr>
              <w:t>46</w:t>
            </w:r>
          </w:p>
        </w:tc>
        <w:tc>
          <w:tcPr>
            <w:tcW w:w="12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10.5</w:t>
            </w:r>
          </w:p>
        </w:tc>
        <w:tc>
          <w:tcPr>
            <w:tcW w:w="120" w:type="dxa"/>
            <w:vAlign w:val="bottom"/>
          </w:tcPr>
          <w:p>
            <w:pPr>
              <w:spacing w:after="0"/>
              <w:rPr>
                <w:sz w:val="7"/>
                <w:szCs w:val="7"/>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465,845</w:t>
            </w:r>
          </w:p>
        </w:tc>
        <w:tc>
          <w:tcPr>
            <w:tcW w:w="100" w:type="dxa"/>
            <w:vAlign w:val="bottom"/>
          </w:tcPr>
          <w:p>
            <w:pPr>
              <w:spacing w:after="0"/>
              <w:rPr>
                <w:sz w:val="7"/>
                <w:szCs w:val="7"/>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b w:val="1"/>
                <w:bCs w:val="1"/>
                <w:color w:val="auto"/>
              </w:rPr>
              <w:t>488,642</w:t>
            </w:r>
          </w:p>
        </w:tc>
        <w:tc>
          <w:tcPr>
            <w:tcW w:w="120" w:type="dxa"/>
            <w:vAlign w:val="bottom"/>
          </w:tcPr>
          <w:p>
            <w:pPr>
              <w:spacing w:after="0"/>
              <w:rPr>
                <w:sz w:val="7"/>
                <w:szCs w:val="7"/>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b w:val="1"/>
                <w:bCs w:val="1"/>
                <w:color w:val="auto"/>
              </w:rPr>
              <w:t>$103.28</w:t>
            </w:r>
          </w:p>
        </w:tc>
        <w:tc>
          <w:tcPr>
            <w:tcW w:w="120" w:type="dxa"/>
            <w:vAlign w:val="bottom"/>
          </w:tcPr>
          <w:p>
            <w:pPr>
              <w:spacing w:after="0"/>
              <w:rPr>
                <w:sz w:val="7"/>
                <w:szCs w:val="7"/>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b w:val="1"/>
                <w:bCs w:val="1"/>
                <w:color w:val="auto"/>
              </w:rPr>
              <w:t>$101.67</w:t>
            </w:r>
          </w:p>
        </w:tc>
        <w:tc>
          <w:tcPr>
            <w:tcW w:w="120" w:type="dxa"/>
            <w:vAlign w:val="bottom"/>
          </w:tcPr>
          <w:p>
            <w:pPr>
              <w:spacing w:after="0"/>
              <w:rPr>
                <w:sz w:val="7"/>
                <w:szCs w:val="7"/>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b w:val="1"/>
                <w:bCs w:val="1"/>
                <w:color w:val="auto"/>
              </w:rPr>
              <w:t>$120.32</w:t>
            </w:r>
          </w:p>
        </w:tc>
        <w:tc>
          <w:tcPr>
            <w:tcW w:w="120" w:type="dxa"/>
            <w:vAlign w:val="bottom"/>
          </w:tcPr>
          <w:p>
            <w:pPr>
              <w:spacing w:after="0"/>
              <w:rPr>
                <w:sz w:val="7"/>
                <w:szCs w:val="7"/>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11.9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b w:val="1"/>
                <w:bCs w:val="1"/>
                <w:i w:val="1"/>
                <w:iCs w:val="1"/>
                <w:color w:val="auto"/>
              </w:rPr>
              <w:t>Retail</w:t>
            </w:r>
          </w:p>
        </w:tc>
        <w:tc>
          <w:tcPr>
            <w:tcW w:w="560" w:type="dxa"/>
            <w:vAlign w:val="bottom"/>
          </w:tcPr>
          <w:p>
            <w:pPr>
              <w:jc w:val="right"/>
              <w:ind w:right="7"/>
              <w:spacing w:after="0"/>
              <w:rPr>
                <w:sz w:val="20"/>
                <w:szCs w:val="20"/>
                <w:color w:val="auto"/>
              </w:rPr>
            </w:pPr>
            <w:r>
              <w:rPr>
                <w:rFonts w:ascii="Arial" w:cs="Arial" w:eastAsia="Arial" w:hAnsi="Arial"/>
                <w:sz w:val="7"/>
                <w:szCs w:val="7"/>
                <w:b w:val="1"/>
                <w:bCs w:val="1"/>
                <w:color w:val="auto"/>
              </w:rPr>
              <w:t>4</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11.6</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20,982</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b w:val="1"/>
                <w:bCs w:val="1"/>
                <w:color w:val="auto"/>
              </w:rPr>
              <w:t>21,258</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b w:val="1"/>
                <w:bCs w:val="1"/>
                <w:color w:val="auto"/>
              </w:rPr>
              <w:t>$97.13</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b w:val="1"/>
                <w:bCs w:val="1"/>
                <w:color w:val="auto"/>
              </w:rPr>
              <w:t>$123.53</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b w:val="1"/>
                <w:bCs w:val="1"/>
                <w:color w:val="auto"/>
              </w:rPr>
              <w:t>$308.59</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8.1</w:t>
            </w:r>
          </w:p>
        </w:tc>
        <w:tc>
          <w:tcPr>
            <w:tcW w:w="0" w:type="dxa"/>
            <w:vAlign w:val="bottom"/>
          </w:tcPr>
          <w:p>
            <w:pPr>
              <w:spacing w:after="0"/>
              <w:rPr>
                <w:sz w:val="1"/>
                <w:szCs w:val="1"/>
                <w:color w:val="auto"/>
              </w:rPr>
            </w:pPr>
          </w:p>
        </w:tc>
      </w:tr>
      <w:tr>
        <w:trPr>
          <w:trHeight w:val="113"/>
        </w:trPr>
        <w:tc>
          <w:tcPr>
            <w:tcW w:w="580" w:type="dxa"/>
            <w:vAlign w:val="bottom"/>
          </w:tcPr>
          <w:p>
            <w:pPr>
              <w:spacing w:after="0"/>
              <w:rPr>
                <w:sz w:val="9"/>
                <w:szCs w:val="9"/>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b w:val="1"/>
                <w:bCs w:val="1"/>
                <w:i w:val="1"/>
                <w:iCs w:val="1"/>
                <w:color w:val="auto"/>
              </w:rPr>
              <w:t>Storage</w:t>
            </w:r>
          </w:p>
        </w:tc>
        <w:tc>
          <w:tcPr>
            <w:tcW w:w="560" w:type="dxa"/>
            <w:vAlign w:val="bottom"/>
          </w:tcPr>
          <w:p>
            <w:pPr>
              <w:jc w:val="right"/>
              <w:ind w:right="7"/>
              <w:spacing w:after="0"/>
              <w:rPr>
                <w:sz w:val="20"/>
                <w:szCs w:val="20"/>
                <w:color w:val="auto"/>
              </w:rPr>
            </w:pPr>
            <w:r>
              <w:rPr>
                <w:rFonts w:ascii="Arial" w:cs="Arial" w:eastAsia="Arial" w:hAnsi="Arial"/>
                <w:sz w:val="7"/>
                <w:szCs w:val="7"/>
                <w:b w:val="1"/>
                <w:bCs w:val="1"/>
                <w:color w:val="auto"/>
              </w:rPr>
              <w:t>2</w:t>
            </w:r>
          </w:p>
        </w:tc>
        <w:tc>
          <w:tcPr>
            <w:tcW w:w="120" w:type="dxa"/>
            <w:vAlign w:val="bottom"/>
          </w:tcPr>
          <w:p>
            <w:pPr>
              <w:spacing w:after="0"/>
              <w:rPr>
                <w:sz w:val="9"/>
                <w:szCs w:val="9"/>
                <w:color w:val="auto"/>
              </w:rPr>
            </w:pPr>
          </w:p>
        </w:tc>
        <w:tc>
          <w:tcPr>
            <w:tcW w:w="540" w:type="dxa"/>
            <w:vAlign w:val="bottom"/>
          </w:tcPr>
          <w:p>
            <w:pPr>
              <w:jc w:val="right"/>
              <w:ind w:right="7"/>
              <w:spacing w:after="0"/>
              <w:rPr>
                <w:sz w:val="20"/>
                <w:szCs w:val="20"/>
                <w:color w:val="auto"/>
              </w:rPr>
            </w:pPr>
            <w:r>
              <w:rPr>
                <w:rFonts w:ascii="Arial" w:cs="Arial" w:eastAsia="Arial" w:hAnsi="Arial"/>
                <w:sz w:val="7"/>
                <w:szCs w:val="7"/>
                <w:b w:val="1"/>
                <w:bCs w:val="1"/>
                <w:color w:val="auto"/>
              </w:rPr>
              <w:t>9.0</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b w:val="1"/>
                <w:bCs w:val="1"/>
                <w:color w:val="auto"/>
              </w:rPr>
              <w:t>592</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b w:val="1"/>
                <w:bCs w:val="1"/>
                <w:color w:val="auto"/>
              </w:rPr>
              <w:t>727</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b w:val="1"/>
                <w:bCs w:val="1"/>
                <w:color w:val="auto"/>
              </w:rPr>
              <w:t>$31.80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1.9</w:t>
            </w: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jc w:val="right"/>
              <w:ind w:right="107"/>
              <w:spacing w:after="0"/>
              <w:rPr>
                <w:sz w:val="20"/>
                <w:szCs w:val="20"/>
                <w:color w:val="auto"/>
              </w:rPr>
            </w:pPr>
            <w:r>
              <w:rPr>
                <w:rFonts w:ascii="Arial" w:cs="Arial" w:eastAsia="Arial" w:hAnsi="Arial"/>
                <w:sz w:val="7"/>
                <w:szCs w:val="7"/>
                <w:b w:val="1"/>
                <w:bCs w:val="1"/>
                <w:i w:val="1"/>
                <w:iCs w:val="1"/>
                <w:color w:val="auto"/>
              </w:rPr>
              <w:t>Total</w:t>
            </w:r>
          </w:p>
        </w:tc>
        <w:tc>
          <w:tcPr>
            <w:tcW w:w="5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52</w:t>
            </w:r>
          </w:p>
        </w:tc>
        <w:tc>
          <w:tcPr>
            <w:tcW w:w="12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10.6</w:t>
            </w:r>
          </w:p>
        </w:tc>
        <w:tc>
          <w:tcPr>
            <w:tcW w:w="12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487,419</w:t>
            </w:r>
          </w:p>
        </w:tc>
        <w:tc>
          <w:tcPr>
            <w:tcW w:w="10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510,627</w:t>
            </w:r>
          </w:p>
        </w:tc>
        <w:tc>
          <w:tcPr>
            <w:tcW w:w="12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$102.92</w:t>
            </w:r>
          </w:p>
        </w:tc>
        <w:tc>
          <w:tcPr>
            <w:tcW w:w="12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7"/>
                <w:szCs w:val="7"/>
                <w:b w:val="1"/>
                <w:bCs w:val="1"/>
                <w:color w:val="auto"/>
              </w:rPr>
              <w:t>$102.66</w:t>
            </w:r>
          </w:p>
        </w:tc>
        <w:tc>
          <w:tcPr>
            <w:tcW w:w="12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$127.99</w:t>
            </w:r>
          </w:p>
        </w:tc>
        <w:tc>
          <w:tcPr>
            <w:tcW w:w="12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11.8</w:t>
            </w:r>
          </w:p>
        </w:tc>
        <w:tc>
          <w:tcPr>
            <w:tcW w:w="0" w:type="dxa"/>
            <w:vAlign w:val="bottom"/>
          </w:tcPr>
          <w:p>
            <w:pPr>
              <w:spacing w:after="0"/>
              <w:rPr>
                <w:sz w:val="1"/>
                <w:szCs w:val="1"/>
                <w:color w:val="auto"/>
              </w:rPr>
            </w:pPr>
          </w:p>
        </w:tc>
      </w:tr>
      <w:tr>
        <w:trPr>
          <w:trHeight w:val="120"/>
        </w:trPr>
        <w:tc>
          <w:tcPr>
            <w:tcW w:w="2960" w:type="dxa"/>
            <w:vAlign w:val="bottom"/>
            <w:gridSpan w:val="3"/>
          </w:tcPr>
          <w:p>
            <w:pPr>
              <w:spacing w:after="0"/>
              <w:rPr>
                <w:sz w:val="20"/>
                <w:szCs w:val="20"/>
                <w:color w:val="auto"/>
              </w:rPr>
            </w:pPr>
            <w:r>
              <w:rPr>
                <w:rFonts w:ascii="Arial" w:cs="Arial" w:eastAsia="Arial" w:hAnsi="Arial"/>
                <w:sz w:val="7"/>
                <w:szCs w:val="7"/>
                <w:b w:val="1"/>
                <w:bCs w:val="1"/>
                <w:i w:val="1"/>
                <w:iCs w:val="1"/>
                <w:color w:val="auto"/>
              </w:rPr>
              <w:t>Total Available Space as of 3/31/26</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b w:val="1"/>
                <w:bCs w:val="1"/>
                <w:color w:val="auto"/>
              </w:rPr>
              <w:t>2,159,596</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auto"/>
            </w:tcBorders>
          </w:tcPr>
          <w:p>
            <w:pPr>
              <w:spacing w:after="0"/>
              <w:rPr>
                <w:sz w:val="20"/>
                <w:szCs w:val="20"/>
                <w:color w:val="auto"/>
              </w:rPr>
            </w:pPr>
            <w:r>
              <w:rPr>
                <w:rFonts w:ascii="Arial" w:cs="Arial" w:eastAsia="Arial" w:hAnsi="Arial"/>
                <w:sz w:val="7"/>
                <w:szCs w:val="7"/>
                <w:b w:val="1"/>
                <w:bCs w:val="1"/>
                <w:i w:val="1"/>
                <w:iCs w:val="1"/>
                <w:color w:val="auto"/>
              </w:rPr>
              <w:t>Early Renewals</w:t>
            </w:r>
          </w:p>
        </w:tc>
        <w:tc>
          <w:tcPr>
            <w:tcW w:w="4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80" w:type="dxa"/>
            <w:vAlign w:val="bottom"/>
          </w:tcPr>
          <w:p>
            <w:pPr>
              <w:spacing w:after="0"/>
              <w:rPr>
                <w:sz w:val="7"/>
                <w:szCs w:val="7"/>
                <w:color w:val="auto"/>
              </w:rPr>
            </w:pPr>
          </w:p>
        </w:tc>
        <w:tc>
          <w:tcPr>
            <w:tcW w:w="480" w:type="dxa"/>
            <w:vAlign w:val="bottom"/>
          </w:tcPr>
          <w:p>
            <w:pPr>
              <w:jc w:val="right"/>
              <w:ind w:right="107"/>
              <w:spacing w:after="0"/>
              <w:rPr>
                <w:sz w:val="20"/>
                <w:szCs w:val="20"/>
                <w:color w:val="auto"/>
              </w:rPr>
            </w:pPr>
            <w:r>
              <w:rPr>
                <w:rFonts w:ascii="Arial" w:cs="Arial" w:eastAsia="Arial" w:hAnsi="Arial"/>
                <w:sz w:val="7"/>
                <w:szCs w:val="7"/>
                <w:b w:val="1"/>
                <w:bCs w:val="1"/>
                <w:color w:val="auto"/>
              </w:rPr>
              <w:t>Office</w:t>
            </w:r>
          </w:p>
        </w:tc>
        <w:tc>
          <w:tcPr>
            <w:tcW w:w="1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420</w:t>
            </w:r>
          </w:p>
        </w:tc>
        <w:tc>
          <w:tcPr>
            <w:tcW w:w="190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2</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5.2</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6,563</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10,720</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$69.19</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$71.05</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$33.58</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1.9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450</w:t>
            </w:r>
          </w:p>
        </w:tc>
        <w:tc>
          <w:tcPr>
            <w:tcW w:w="1900" w:type="dxa"/>
            <w:vAlign w:val="bottom"/>
          </w:tcPr>
          <w:p>
            <w:pPr>
              <w:ind w:left="20"/>
              <w:spacing w:after="0"/>
              <w:rPr>
                <w:sz w:val="20"/>
                <w:szCs w:val="20"/>
                <w:color w:val="auto"/>
              </w:rPr>
            </w:pPr>
            <w:r>
              <w:rPr>
                <w:rFonts w:ascii="Arial" w:cs="Arial" w:eastAsia="Arial" w:hAnsi="Arial"/>
                <w:sz w:val="7"/>
                <w:szCs w:val="7"/>
                <w:color w:val="auto"/>
              </w:rPr>
              <w:t>Park Avenue</w:t>
            </w:r>
          </w:p>
        </w:tc>
        <w:tc>
          <w:tcPr>
            <w:tcW w:w="560" w:type="dxa"/>
            <w:vAlign w:val="bottom"/>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5.4</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color w:val="auto"/>
              </w:rPr>
              <w:t>21,447</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color w:val="auto"/>
              </w:rPr>
              <w:t>21,640</w:t>
            </w:r>
          </w:p>
        </w:tc>
        <w:tc>
          <w:tcPr>
            <w:tcW w:w="120" w:type="dxa"/>
            <w:vAlign w:val="bottom"/>
          </w:tcPr>
          <w:p>
            <w:pPr>
              <w:spacing w:after="0"/>
              <w:rPr>
                <w:sz w:val="9"/>
                <w:szCs w:val="9"/>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color w:val="auto"/>
              </w:rPr>
              <w:t>152.00</w:t>
            </w:r>
          </w:p>
        </w:tc>
        <w:tc>
          <w:tcPr>
            <w:tcW w:w="120" w:type="dxa"/>
            <w:vAlign w:val="bottom"/>
          </w:tcPr>
          <w:p>
            <w:pPr>
              <w:spacing w:after="0"/>
              <w:rPr>
                <w:sz w:val="9"/>
                <w:szCs w:val="9"/>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color w:val="auto"/>
              </w:rPr>
              <w:t>118.48</w:t>
            </w:r>
          </w:p>
        </w:tc>
        <w:tc>
          <w:tcPr>
            <w:tcW w:w="120" w:type="dxa"/>
            <w:vAlign w:val="bottom"/>
          </w:tcPr>
          <w:p>
            <w:pPr>
              <w:spacing w:after="0"/>
              <w:rPr>
                <w:sz w:val="9"/>
                <w:szCs w:val="9"/>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color w:val="auto"/>
              </w:rPr>
              <w:t>30.00</w:t>
            </w:r>
          </w:p>
        </w:tc>
        <w:tc>
          <w:tcPr>
            <w:tcW w:w="12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color w:val="auto"/>
              </w:rPr>
              <w:t>5.0</w:t>
            </w: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380" w:type="dxa"/>
            <w:vAlign w:val="bottom"/>
            <w:gridSpan w:val="2"/>
          </w:tcPr>
          <w:p>
            <w:pPr>
              <w:ind w:left="360"/>
              <w:spacing w:after="0"/>
              <w:rPr>
                <w:sz w:val="20"/>
                <w:szCs w:val="20"/>
                <w:color w:val="auto"/>
              </w:rPr>
            </w:pPr>
            <w:r>
              <w:rPr>
                <w:rFonts w:ascii="Arial" w:cs="Arial" w:eastAsia="Arial" w:hAnsi="Arial"/>
                <w:sz w:val="7"/>
                <w:szCs w:val="7"/>
                <w:color w:val="auto"/>
              </w:rPr>
              <w:t>711 Third Avenue</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9.9</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right"/>
              <w:ind w:right="27"/>
              <w:spacing w:after="0"/>
              <w:rPr>
                <w:sz w:val="20"/>
                <w:szCs w:val="20"/>
                <w:color w:val="auto"/>
              </w:rPr>
            </w:pPr>
            <w:r>
              <w:rPr>
                <w:rFonts w:ascii="Arial" w:cs="Arial" w:eastAsia="Arial" w:hAnsi="Arial"/>
                <w:sz w:val="7"/>
                <w:szCs w:val="7"/>
                <w:color w:val="auto"/>
              </w:rPr>
              <w:t>14,600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19,025</w:t>
            </w:r>
          </w:p>
        </w:tc>
        <w:tc>
          <w:tcPr>
            <w:tcW w:w="120" w:type="dxa"/>
            <w:vAlign w:val="bottom"/>
          </w:tcPr>
          <w:p>
            <w:pPr>
              <w:spacing w:after="0"/>
              <w:rPr>
                <w:sz w:val="10"/>
                <w:szCs w:val="10"/>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68.96</w:t>
            </w:r>
          </w:p>
        </w:tc>
        <w:tc>
          <w:tcPr>
            <w:tcW w:w="120" w:type="dxa"/>
            <w:vAlign w:val="bottom"/>
          </w:tcPr>
          <w:p>
            <w:pPr>
              <w:spacing w:after="0"/>
              <w:rPr>
                <w:sz w:val="10"/>
                <w:szCs w:val="10"/>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7"/>
                <w:szCs w:val="7"/>
                <w:color w:val="auto"/>
              </w:rPr>
              <w:t>68.96</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50.00</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jc w:val="right"/>
              <w:ind w:right="107"/>
              <w:spacing w:after="0"/>
              <w:rPr>
                <w:sz w:val="20"/>
                <w:szCs w:val="20"/>
                <w:color w:val="auto"/>
              </w:rPr>
            </w:pPr>
            <w:r>
              <w:rPr>
                <w:rFonts w:ascii="Arial" w:cs="Arial" w:eastAsia="Arial" w:hAnsi="Arial"/>
                <w:sz w:val="7"/>
                <w:szCs w:val="7"/>
                <w:b w:val="1"/>
                <w:bCs w:val="1"/>
                <w:i w:val="1"/>
                <w:iCs w:val="1"/>
                <w:color w:val="auto"/>
              </w:rPr>
              <w:t>Total/Weighted Average</w:t>
            </w:r>
          </w:p>
        </w:tc>
        <w:tc>
          <w:tcPr>
            <w:tcW w:w="560" w:type="dxa"/>
            <w:vAlign w:val="bottom"/>
          </w:tcPr>
          <w:p>
            <w:pPr>
              <w:jc w:val="right"/>
              <w:ind w:right="7"/>
              <w:spacing w:after="0"/>
              <w:rPr>
                <w:sz w:val="20"/>
                <w:szCs w:val="20"/>
                <w:color w:val="auto"/>
              </w:rPr>
            </w:pPr>
            <w:r>
              <w:rPr>
                <w:rFonts w:ascii="Arial" w:cs="Arial" w:eastAsia="Arial" w:hAnsi="Arial"/>
                <w:sz w:val="7"/>
                <w:szCs w:val="7"/>
                <w:b w:val="1"/>
                <w:bCs w:val="1"/>
                <w:color w:val="auto"/>
              </w:rPr>
              <w:t>4</w:t>
            </w: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7.0</w:t>
            </w:r>
          </w:p>
        </w:tc>
        <w:tc>
          <w:tcPr>
            <w:tcW w:w="120" w:type="dxa"/>
            <w:vAlign w:val="bottom"/>
          </w:tcPr>
          <w:p>
            <w:pPr>
              <w:spacing w:after="0"/>
              <w:rPr>
                <w:sz w:val="8"/>
                <w:szCs w:val="8"/>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42,610</w:t>
            </w:r>
          </w:p>
        </w:tc>
        <w:tc>
          <w:tcPr>
            <w:tcW w:w="100" w:type="dxa"/>
            <w:vAlign w:val="bottom"/>
          </w:tcPr>
          <w:p>
            <w:pPr>
              <w:spacing w:after="0"/>
              <w:rPr>
                <w:sz w:val="8"/>
                <w:szCs w:val="8"/>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b w:val="1"/>
                <w:bCs w:val="1"/>
                <w:color w:val="auto"/>
              </w:rPr>
              <w:t>51,385</w:t>
            </w:r>
          </w:p>
        </w:tc>
        <w:tc>
          <w:tcPr>
            <w:tcW w:w="120" w:type="dxa"/>
            <w:vAlign w:val="bottom"/>
          </w:tcPr>
          <w:p>
            <w:pPr>
              <w:spacing w:after="0"/>
              <w:rPr>
                <w:sz w:val="8"/>
                <w:szCs w:val="8"/>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b w:val="1"/>
                <w:bCs w:val="1"/>
                <w:color w:val="auto"/>
              </w:rPr>
              <w:t>$103.98</w:t>
            </w:r>
          </w:p>
        </w:tc>
        <w:tc>
          <w:tcPr>
            <w:tcW w:w="120" w:type="dxa"/>
            <w:vAlign w:val="bottom"/>
          </w:tcPr>
          <w:p>
            <w:pPr>
              <w:spacing w:after="0"/>
              <w:rPr>
                <w:sz w:val="8"/>
                <w:szCs w:val="8"/>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b w:val="1"/>
                <w:bCs w:val="1"/>
                <w:color w:val="auto"/>
              </w:rPr>
              <w:t>$90.25</w:t>
            </w:r>
          </w:p>
        </w:tc>
        <w:tc>
          <w:tcPr>
            <w:tcW w:w="120" w:type="dxa"/>
            <w:vAlign w:val="bottom"/>
          </w:tcPr>
          <w:p>
            <w:pPr>
              <w:spacing w:after="0"/>
              <w:rPr>
                <w:sz w:val="8"/>
                <w:szCs w:val="8"/>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b w:val="1"/>
                <w:bCs w:val="1"/>
                <w:color w:val="auto"/>
              </w:rPr>
              <w:t>$38.15</w:t>
            </w:r>
          </w:p>
        </w:tc>
        <w:tc>
          <w:tcPr>
            <w:tcW w:w="120" w:type="dxa"/>
            <w:vAlign w:val="bottom"/>
          </w:tcPr>
          <w:p>
            <w:pPr>
              <w:spacing w:after="0"/>
              <w:rPr>
                <w:sz w:val="8"/>
                <w:szCs w:val="8"/>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2.5</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7"/>
                <w:szCs w:val="7"/>
                <w:b w:val="1"/>
                <w:bCs w:val="1"/>
                <w:color w:val="auto"/>
              </w:rPr>
              <w:t>Retail</w:t>
            </w:r>
          </w:p>
        </w:tc>
        <w:tc>
          <w:tcPr>
            <w:tcW w:w="1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80" w:type="dxa"/>
            <w:vAlign w:val="bottom"/>
          </w:tcPr>
          <w:p>
            <w:pPr>
              <w:spacing w:after="0"/>
              <w:rPr>
                <w:sz w:val="9"/>
                <w:szCs w:val="9"/>
                <w:color w:val="auto"/>
              </w:rPr>
            </w:pPr>
          </w:p>
        </w:tc>
        <w:tc>
          <w:tcPr>
            <w:tcW w:w="480" w:type="dxa"/>
            <w:vAlign w:val="bottom"/>
          </w:tcPr>
          <w:p>
            <w:pPr>
              <w:ind w:left="360"/>
              <w:spacing w:after="0"/>
              <w:rPr>
                <w:sz w:val="20"/>
                <w:szCs w:val="20"/>
                <w:color w:val="auto"/>
              </w:rPr>
            </w:pPr>
            <w:r>
              <w:rPr>
                <w:rFonts w:ascii="Arial" w:cs="Arial" w:eastAsia="Arial" w:hAnsi="Arial"/>
                <w:sz w:val="7"/>
                <w:szCs w:val="7"/>
                <w:color w:val="auto"/>
                <w:w w:val="85"/>
              </w:rPr>
              <w:t>304</w:t>
            </w:r>
          </w:p>
        </w:tc>
        <w:tc>
          <w:tcPr>
            <w:tcW w:w="1900" w:type="dxa"/>
            <w:vAlign w:val="bottom"/>
          </w:tcPr>
          <w:p>
            <w:pPr>
              <w:ind w:left="20"/>
              <w:spacing w:after="0"/>
              <w:rPr>
                <w:sz w:val="20"/>
                <w:szCs w:val="20"/>
                <w:color w:val="auto"/>
              </w:rPr>
            </w:pPr>
            <w:r>
              <w:rPr>
                <w:rFonts w:ascii="Arial" w:cs="Arial" w:eastAsia="Arial" w:hAnsi="Arial"/>
                <w:sz w:val="7"/>
                <w:szCs w:val="7"/>
                <w:color w:val="auto"/>
              </w:rPr>
              <w:t>Park Avenue South</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15.0</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ind w:right="27"/>
              <w:spacing w:after="0"/>
              <w:rPr>
                <w:sz w:val="20"/>
                <w:szCs w:val="20"/>
                <w:color w:val="auto"/>
              </w:rPr>
            </w:pPr>
            <w:r>
              <w:rPr>
                <w:rFonts w:ascii="Arial" w:cs="Arial" w:eastAsia="Arial" w:hAnsi="Arial"/>
                <w:sz w:val="7"/>
                <w:szCs w:val="7"/>
                <w:color w:val="auto"/>
              </w:rPr>
              <w:t>9,848</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9,848</w:t>
            </w:r>
          </w:p>
        </w:tc>
        <w:tc>
          <w:tcPr>
            <w:tcW w:w="120" w:type="dxa"/>
            <w:vAlign w:val="bottom"/>
          </w:tcPr>
          <w:p>
            <w:pPr>
              <w:spacing w:after="0"/>
              <w:rPr>
                <w:sz w:val="9"/>
                <w:szCs w:val="9"/>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$73.61</w:t>
            </w:r>
          </w:p>
        </w:tc>
        <w:tc>
          <w:tcPr>
            <w:tcW w:w="120" w:type="dxa"/>
            <w:vAlign w:val="bottom"/>
          </w:tcPr>
          <w:p>
            <w:pPr>
              <w:spacing w:after="0"/>
              <w:rPr>
                <w:sz w:val="9"/>
                <w:szCs w:val="9"/>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7"/>
                <w:szCs w:val="7"/>
                <w:color w:val="auto"/>
              </w:rPr>
              <w:t>$68.01</w:t>
            </w:r>
          </w:p>
        </w:tc>
        <w:tc>
          <w:tcPr>
            <w:tcW w:w="120" w:type="dxa"/>
            <w:vAlign w:val="bottom"/>
          </w:tcPr>
          <w:p>
            <w:pPr>
              <w:spacing w:after="0"/>
              <w:rPr>
                <w:sz w:val="9"/>
                <w:szCs w:val="9"/>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jc w:val="right"/>
              <w:ind w:right="107"/>
              <w:spacing w:after="0"/>
              <w:rPr>
                <w:sz w:val="20"/>
                <w:szCs w:val="20"/>
                <w:color w:val="auto"/>
              </w:rPr>
            </w:pPr>
            <w:r>
              <w:rPr>
                <w:rFonts w:ascii="Arial" w:cs="Arial" w:eastAsia="Arial" w:hAnsi="Arial"/>
                <w:sz w:val="7"/>
                <w:szCs w:val="7"/>
                <w:b w:val="1"/>
                <w:bCs w:val="1"/>
                <w:i w:val="1"/>
                <w:iCs w:val="1"/>
                <w:color w:val="auto"/>
              </w:rPr>
              <w:t>Total/Weighted Average</w:t>
            </w:r>
          </w:p>
        </w:tc>
        <w:tc>
          <w:tcPr>
            <w:tcW w:w="560" w:type="dxa"/>
            <w:vAlign w:val="bottom"/>
          </w:tcPr>
          <w:p>
            <w:pPr>
              <w:jc w:val="right"/>
              <w:ind w:right="7"/>
              <w:spacing w:after="0"/>
              <w:rPr>
                <w:sz w:val="20"/>
                <w:szCs w:val="20"/>
                <w:color w:val="auto"/>
              </w:rPr>
            </w:pPr>
            <w:r>
              <w:rPr>
                <w:rFonts w:ascii="Arial" w:cs="Arial" w:eastAsia="Arial" w:hAnsi="Arial"/>
                <w:sz w:val="7"/>
                <w:szCs w:val="7"/>
                <w:b w:val="1"/>
                <w:bCs w:val="1"/>
                <w:color w:val="auto"/>
              </w:rPr>
              <w:t>1</w:t>
            </w: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15.0</w:t>
            </w:r>
          </w:p>
        </w:tc>
        <w:tc>
          <w:tcPr>
            <w:tcW w:w="120" w:type="dxa"/>
            <w:vAlign w:val="bottom"/>
          </w:tcPr>
          <w:p>
            <w:pPr>
              <w:spacing w:after="0"/>
              <w:rPr>
                <w:sz w:val="8"/>
                <w:szCs w:val="8"/>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b w:val="1"/>
                <w:bCs w:val="1"/>
                <w:color w:val="auto"/>
              </w:rPr>
              <w:t>9,848</w:t>
            </w:r>
          </w:p>
        </w:tc>
        <w:tc>
          <w:tcPr>
            <w:tcW w:w="100" w:type="dxa"/>
            <w:vAlign w:val="bottom"/>
          </w:tcPr>
          <w:p>
            <w:pPr>
              <w:spacing w:after="0"/>
              <w:rPr>
                <w:sz w:val="8"/>
                <w:szCs w:val="8"/>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b w:val="1"/>
                <w:bCs w:val="1"/>
                <w:color w:val="auto"/>
              </w:rPr>
              <w:t>9,848</w:t>
            </w:r>
          </w:p>
        </w:tc>
        <w:tc>
          <w:tcPr>
            <w:tcW w:w="120" w:type="dxa"/>
            <w:vAlign w:val="bottom"/>
          </w:tcPr>
          <w:p>
            <w:pPr>
              <w:spacing w:after="0"/>
              <w:rPr>
                <w:sz w:val="8"/>
                <w:szCs w:val="8"/>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b w:val="1"/>
                <w:bCs w:val="1"/>
                <w:color w:val="auto"/>
              </w:rPr>
              <w:t>$73.61</w:t>
            </w:r>
          </w:p>
        </w:tc>
        <w:tc>
          <w:tcPr>
            <w:tcW w:w="120" w:type="dxa"/>
            <w:vAlign w:val="bottom"/>
          </w:tcPr>
          <w:p>
            <w:pPr>
              <w:spacing w:after="0"/>
              <w:rPr>
                <w:sz w:val="8"/>
                <w:szCs w:val="8"/>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b w:val="1"/>
                <w:bCs w:val="1"/>
                <w:color w:val="auto"/>
              </w:rPr>
              <w:t>$68.01</w:t>
            </w:r>
          </w:p>
        </w:tc>
        <w:tc>
          <w:tcPr>
            <w:tcW w:w="120" w:type="dxa"/>
            <w:vAlign w:val="bottom"/>
          </w:tcPr>
          <w:p>
            <w:pPr>
              <w:spacing w:after="0"/>
              <w:rPr>
                <w:sz w:val="8"/>
                <w:szCs w:val="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3.0</w:t>
            </w:r>
          </w:p>
        </w:tc>
        <w:tc>
          <w:tcPr>
            <w:tcW w:w="0" w:type="dxa"/>
            <w:vAlign w:val="bottom"/>
          </w:tcPr>
          <w:p>
            <w:pPr>
              <w:spacing w:after="0"/>
              <w:rPr>
                <w:sz w:val="1"/>
                <w:szCs w:val="1"/>
                <w:color w:val="auto"/>
              </w:rPr>
            </w:pPr>
          </w:p>
        </w:tc>
      </w:tr>
      <w:tr>
        <w:trPr>
          <w:trHeight w:val="155"/>
        </w:trPr>
        <w:tc>
          <w:tcPr>
            <w:tcW w:w="580" w:type="dxa"/>
            <w:vAlign w:val="bottom"/>
            <w:tcBorders>
              <w:bottom w:val="single" w:sz="8" w:color="auto"/>
            </w:tcBorders>
          </w:tcPr>
          <w:p>
            <w:pPr>
              <w:spacing w:after="0"/>
              <w:rPr>
                <w:sz w:val="20"/>
                <w:szCs w:val="20"/>
                <w:color w:val="auto"/>
              </w:rPr>
            </w:pPr>
            <w:r>
              <w:rPr>
                <w:rFonts w:ascii="Arial" w:cs="Arial" w:eastAsia="Arial" w:hAnsi="Arial"/>
                <w:sz w:val="7"/>
                <w:szCs w:val="7"/>
                <w:b w:val="1"/>
                <w:bCs w:val="1"/>
                <w:color w:val="auto"/>
              </w:rPr>
              <w:t>Renewals</w:t>
            </w:r>
          </w:p>
        </w:tc>
        <w:tc>
          <w:tcPr>
            <w:tcW w:w="4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00" w:type="dxa"/>
            <w:vAlign w:val="bottom"/>
          </w:tcPr>
          <w:p>
            <w:pPr>
              <w:jc w:val="right"/>
              <w:ind w:right="107"/>
              <w:spacing w:after="0"/>
              <w:rPr>
                <w:sz w:val="20"/>
                <w:szCs w:val="20"/>
                <w:color w:val="auto"/>
              </w:rPr>
            </w:pPr>
            <w:r>
              <w:rPr>
                <w:rFonts w:ascii="Arial" w:cs="Arial" w:eastAsia="Arial" w:hAnsi="Arial"/>
                <w:sz w:val="7"/>
                <w:szCs w:val="7"/>
                <w:b w:val="1"/>
                <w:bCs w:val="1"/>
                <w:i w:val="1"/>
                <w:iCs w:val="1"/>
                <w:color w:val="auto"/>
              </w:rPr>
              <w:t>Early Renewals Office</w:t>
            </w:r>
          </w:p>
        </w:tc>
        <w:tc>
          <w:tcPr>
            <w:tcW w:w="560" w:type="dxa"/>
            <w:vAlign w:val="bottom"/>
          </w:tcPr>
          <w:p>
            <w:pPr>
              <w:jc w:val="right"/>
              <w:ind w:right="7"/>
              <w:spacing w:after="0"/>
              <w:rPr>
                <w:sz w:val="20"/>
                <w:szCs w:val="20"/>
                <w:color w:val="auto"/>
              </w:rPr>
            </w:pPr>
            <w:r>
              <w:rPr>
                <w:rFonts w:ascii="Arial" w:cs="Arial" w:eastAsia="Arial" w:hAnsi="Arial"/>
                <w:sz w:val="7"/>
                <w:szCs w:val="7"/>
                <w:b w:val="1"/>
                <w:bCs w:val="1"/>
                <w:color w:val="auto"/>
              </w:rPr>
              <w:t>4</w:t>
            </w:r>
          </w:p>
        </w:tc>
        <w:tc>
          <w:tcPr>
            <w:tcW w:w="12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7.0</w:t>
            </w:r>
          </w:p>
        </w:tc>
        <w:tc>
          <w:tcPr>
            <w:tcW w:w="120" w:type="dxa"/>
            <w:vAlign w:val="bottom"/>
          </w:tcPr>
          <w:p>
            <w:pPr>
              <w:spacing w:after="0"/>
              <w:rPr>
                <w:sz w:val="7"/>
                <w:szCs w:val="7"/>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42,610</w:t>
            </w:r>
          </w:p>
        </w:tc>
        <w:tc>
          <w:tcPr>
            <w:tcW w:w="100" w:type="dxa"/>
            <w:vAlign w:val="bottom"/>
          </w:tcPr>
          <w:p>
            <w:pPr>
              <w:spacing w:after="0"/>
              <w:rPr>
                <w:sz w:val="7"/>
                <w:szCs w:val="7"/>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b w:val="1"/>
                <w:bCs w:val="1"/>
                <w:color w:val="auto"/>
              </w:rPr>
              <w:t>51,385</w:t>
            </w:r>
          </w:p>
        </w:tc>
        <w:tc>
          <w:tcPr>
            <w:tcW w:w="120" w:type="dxa"/>
            <w:vAlign w:val="bottom"/>
          </w:tcPr>
          <w:p>
            <w:pPr>
              <w:spacing w:after="0"/>
              <w:rPr>
                <w:sz w:val="7"/>
                <w:szCs w:val="7"/>
                <w:color w:val="auto"/>
              </w:rPr>
            </w:pPr>
          </w:p>
        </w:tc>
        <w:tc>
          <w:tcPr>
            <w:tcW w:w="760" w:type="dxa"/>
            <w:vAlign w:val="bottom"/>
          </w:tcPr>
          <w:p>
            <w:pPr>
              <w:jc w:val="right"/>
              <w:ind w:right="7"/>
              <w:spacing w:after="0"/>
              <w:rPr>
                <w:sz w:val="20"/>
                <w:szCs w:val="20"/>
                <w:color w:val="auto"/>
              </w:rPr>
            </w:pPr>
            <w:r>
              <w:rPr>
                <w:rFonts w:ascii="Arial" w:cs="Arial" w:eastAsia="Arial" w:hAnsi="Arial"/>
                <w:sz w:val="7"/>
                <w:szCs w:val="7"/>
                <w:b w:val="1"/>
                <w:bCs w:val="1"/>
                <w:color w:val="auto"/>
              </w:rPr>
              <w:t>$103.98</w:t>
            </w:r>
          </w:p>
        </w:tc>
        <w:tc>
          <w:tcPr>
            <w:tcW w:w="120" w:type="dxa"/>
            <w:vAlign w:val="bottom"/>
          </w:tcPr>
          <w:p>
            <w:pPr>
              <w:spacing w:after="0"/>
              <w:rPr>
                <w:sz w:val="7"/>
                <w:szCs w:val="7"/>
                <w:color w:val="auto"/>
              </w:rPr>
            </w:pPr>
          </w:p>
        </w:tc>
        <w:tc>
          <w:tcPr>
            <w:tcW w:w="840" w:type="dxa"/>
            <w:vAlign w:val="bottom"/>
          </w:tcPr>
          <w:p>
            <w:pPr>
              <w:jc w:val="right"/>
              <w:ind w:right="27"/>
              <w:spacing w:after="0"/>
              <w:rPr>
                <w:sz w:val="20"/>
                <w:szCs w:val="20"/>
                <w:color w:val="auto"/>
              </w:rPr>
            </w:pPr>
            <w:r>
              <w:rPr>
                <w:rFonts w:ascii="Arial" w:cs="Arial" w:eastAsia="Arial" w:hAnsi="Arial"/>
                <w:sz w:val="7"/>
                <w:szCs w:val="7"/>
                <w:b w:val="1"/>
                <w:bCs w:val="1"/>
                <w:color w:val="auto"/>
              </w:rPr>
              <w:t>$90.25</w:t>
            </w:r>
          </w:p>
        </w:tc>
        <w:tc>
          <w:tcPr>
            <w:tcW w:w="120" w:type="dxa"/>
            <w:vAlign w:val="bottom"/>
          </w:tcPr>
          <w:p>
            <w:pPr>
              <w:spacing w:after="0"/>
              <w:rPr>
                <w:sz w:val="7"/>
                <w:szCs w:val="7"/>
                <w:color w:val="auto"/>
              </w:rPr>
            </w:pPr>
          </w:p>
        </w:tc>
        <w:tc>
          <w:tcPr>
            <w:tcW w:w="680" w:type="dxa"/>
            <w:vAlign w:val="bottom"/>
          </w:tcPr>
          <w:p>
            <w:pPr>
              <w:jc w:val="right"/>
              <w:ind w:right="7"/>
              <w:spacing w:after="0"/>
              <w:rPr>
                <w:sz w:val="20"/>
                <w:szCs w:val="20"/>
                <w:color w:val="auto"/>
              </w:rPr>
            </w:pPr>
            <w:r>
              <w:rPr>
                <w:rFonts w:ascii="Arial" w:cs="Arial" w:eastAsia="Arial" w:hAnsi="Arial"/>
                <w:sz w:val="7"/>
                <w:szCs w:val="7"/>
                <w:b w:val="1"/>
                <w:bCs w:val="1"/>
                <w:color w:val="auto"/>
              </w:rPr>
              <w:t>$38.15</w:t>
            </w:r>
          </w:p>
        </w:tc>
        <w:tc>
          <w:tcPr>
            <w:tcW w:w="120" w:type="dxa"/>
            <w:vAlign w:val="bottom"/>
          </w:tcPr>
          <w:p>
            <w:pPr>
              <w:spacing w:after="0"/>
              <w:rPr>
                <w:sz w:val="7"/>
                <w:szCs w:val="7"/>
                <w:color w:val="auto"/>
              </w:rPr>
            </w:pP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2.5</w:t>
            </w:r>
          </w:p>
        </w:tc>
        <w:tc>
          <w:tcPr>
            <w:tcW w:w="0" w:type="dxa"/>
            <w:vAlign w:val="bottom"/>
          </w:tcPr>
          <w:p>
            <w:pPr>
              <w:spacing w:after="0"/>
              <w:rPr>
                <w:sz w:val="1"/>
                <w:szCs w:val="1"/>
                <w:color w:val="auto"/>
              </w:rPr>
            </w:pPr>
          </w:p>
        </w:tc>
      </w:tr>
      <w:tr>
        <w:trPr>
          <w:trHeight w:val="113"/>
        </w:trPr>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900" w:type="dxa"/>
            <w:vAlign w:val="bottom"/>
          </w:tcPr>
          <w:p>
            <w:pPr>
              <w:jc w:val="right"/>
              <w:ind w:right="107"/>
              <w:spacing w:after="0"/>
              <w:rPr>
                <w:sz w:val="20"/>
                <w:szCs w:val="20"/>
                <w:color w:val="auto"/>
              </w:rPr>
            </w:pPr>
            <w:r>
              <w:rPr>
                <w:rFonts w:ascii="Arial" w:cs="Arial" w:eastAsia="Arial" w:hAnsi="Arial"/>
                <w:sz w:val="7"/>
                <w:szCs w:val="7"/>
                <w:b w:val="1"/>
                <w:bCs w:val="1"/>
                <w:i w:val="1"/>
                <w:iCs w:val="1"/>
                <w:color w:val="auto"/>
              </w:rPr>
              <w:t>Early Renewals Retail</w:t>
            </w:r>
          </w:p>
        </w:tc>
        <w:tc>
          <w:tcPr>
            <w:tcW w:w="560" w:type="dxa"/>
            <w:vAlign w:val="bottom"/>
          </w:tcPr>
          <w:p>
            <w:pPr>
              <w:jc w:val="right"/>
              <w:ind w:right="7"/>
              <w:spacing w:after="0"/>
              <w:rPr>
                <w:sz w:val="20"/>
                <w:szCs w:val="20"/>
                <w:color w:val="auto"/>
              </w:rPr>
            </w:pPr>
            <w:r>
              <w:rPr>
                <w:rFonts w:ascii="Arial" w:cs="Arial" w:eastAsia="Arial" w:hAnsi="Arial"/>
                <w:sz w:val="7"/>
                <w:szCs w:val="7"/>
                <w:b w:val="1"/>
                <w:bCs w:val="1"/>
                <w:color w:val="auto"/>
              </w:rPr>
              <w:t>1</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15.0</w:t>
            </w:r>
          </w:p>
        </w:tc>
        <w:tc>
          <w:tcPr>
            <w:tcW w:w="120" w:type="dxa"/>
            <w:vAlign w:val="bottom"/>
          </w:tcPr>
          <w:p>
            <w:pPr>
              <w:spacing w:after="0"/>
              <w:rPr>
                <w:sz w:val="9"/>
                <w:szCs w:val="9"/>
                <w:color w:val="auto"/>
              </w:rPr>
            </w:pPr>
          </w:p>
        </w:tc>
        <w:tc>
          <w:tcPr>
            <w:tcW w:w="640" w:type="dxa"/>
            <w:vAlign w:val="bottom"/>
          </w:tcPr>
          <w:p>
            <w:pPr>
              <w:jc w:val="right"/>
              <w:ind w:right="27"/>
              <w:spacing w:after="0"/>
              <w:rPr>
                <w:sz w:val="20"/>
                <w:szCs w:val="20"/>
                <w:color w:val="auto"/>
              </w:rPr>
            </w:pPr>
            <w:r>
              <w:rPr>
                <w:rFonts w:ascii="Arial" w:cs="Arial" w:eastAsia="Arial" w:hAnsi="Arial"/>
                <w:sz w:val="7"/>
                <w:szCs w:val="7"/>
                <w:b w:val="1"/>
                <w:bCs w:val="1"/>
                <w:color w:val="auto"/>
              </w:rPr>
              <w:t>9,848</w:t>
            </w:r>
          </w:p>
        </w:tc>
        <w:tc>
          <w:tcPr>
            <w:tcW w:w="100" w:type="dxa"/>
            <w:vAlign w:val="bottom"/>
          </w:tcPr>
          <w:p>
            <w:pPr>
              <w:spacing w:after="0"/>
              <w:rPr>
                <w:sz w:val="9"/>
                <w:szCs w:val="9"/>
                <w:color w:val="auto"/>
              </w:rPr>
            </w:pPr>
          </w:p>
        </w:tc>
        <w:tc>
          <w:tcPr>
            <w:tcW w:w="660" w:type="dxa"/>
            <w:vAlign w:val="bottom"/>
          </w:tcPr>
          <w:p>
            <w:pPr>
              <w:jc w:val="right"/>
              <w:ind w:right="7"/>
              <w:spacing w:after="0"/>
              <w:rPr>
                <w:sz w:val="20"/>
                <w:szCs w:val="20"/>
                <w:color w:val="auto"/>
              </w:rPr>
            </w:pPr>
            <w:r>
              <w:rPr>
                <w:rFonts w:ascii="Arial" w:cs="Arial" w:eastAsia="Arial" w:hAnsi="Arial"/>
                <w:sz w:val="7"/>
                <w:szCs w:val="7"/>
                <w:b w:val="1"/>
                <w:bCs w:val="1"/>
                <w:color w:val="auto"/>
              </w:rPr>
              <w:t>9,848</w:t>
            </w:r>
          </w:p>
        </w:tc>
        <w:tc>
          <w:tcPr>
            <w:tcW w:w="12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$73.61</w:t>
            </w:r>
          </w:p>
        </w:tc>
        <w:tc>
          <w:tcPr>
            <w:tcW w:w="12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Arial" w:cs="Arial" w:eastAsia="Arial" w:hAnsi="Arial"/>
                <w:sz w:val="7"/>
                <w:szCs w:val="7"/>
                <w:b w:val="1"/>
                <w:bCs w:val="1"/>
                <w:color w:val="auto"/>
              </w:rPr>
              <w:t>$68.01</w:t>
            </w:r>
          </w:p>
        </w:tc>
        <w:tc>
          <w:tcPr>
            <w:tcW w:w="120" w:type="dxa"/>
            <w:vAlign w:val="bottom"/>
          </w:tcPr>
          <w:p>
            <w:pPr>
              <w:spacing w:after="0"/>
              <w:rPr>
                <w:sz w:val="9"/>
                <w:szCs w:val="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right"/>
              <w:ind w:right="7"/>
              <w:spacing w:after="0"/>
              <w:rPr>
                <w:sz w:val="20"/>
                <w:szCs w:val="20"/>
                <w:color w:val="auto"/>
              </w:rPr>
            </w:pPr>
            <w:r>
              <w:rPr>
                <w:rFonts w:ascii="Arial" w:cs="Arial" w:eastAsia="Arial" w:hAnsi="Arial"/>
                <w:sz w:val="7"/>
                <w:szCs w:val="7"/>
                <w:b w:val="1"/>
                <w:bCs w:val="1"/>
                <w:color w:val="auto"/>
              </w:rPr>
              <w:t>3</w:t>
            </w: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jc w:val="right"/>
              <w:ind w:right="107"/>
              <w:spacing w:after="0"/>
              <w:rPr>
                <w:sz w:val="20"/>
                <w:szCs w:val="20"/>
                <w:color w:val="auto"/>
              </w:rPr>
            </w:pPr>
            <w:r>
              <w:rPr>
                <w:rFonts w:ascii="Arial" w:cs="Arial" w:eastAsia="Arial" w:hAnsi="Arial"/>
                <w:sz w:val="7"/>
                <w:szCs w:val="7"/>
                <w:b w:val="1"/>
                <w:bCs w:val="1"/>
                <w:i w:val="1"/>
                <w:iCs w:val="1"/>
                <w:color w:val="auto"/>
              </w:rPr>
              <w:t>Total</w:t>
            </w:r>
          </w:p>
        </w:tc>
        <w:tc>
          <w:tcPr>
            <w:tcW w:w="5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5</w:t>
            </w:r>
          </w:p>
        </w:tc>
        <w:tc>
          <w:tcPr>
            <w:tcW w:w="12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8.3</w:t>
            </w:r>
          </w:p>
        </w:tc>
        <w:tc>
          <w:tcPr>
            <w:tcW w:w="12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52,458</w:t>
            </w:r>
          </w:p>
        </w:tc>
        <w:tc>
          <w:tcPr>
            <w:tcW w:w="10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61,233</w:t>
            </w:r>
          </w:p>
        </w:tc>
        <w:tc>
          <w:tcPr>
            <w:tcW w:w="12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$99.09</w:t>
            </w:r>
          </w:p>
        </w:tc>
        <w:tc>
          <w:tcPr>
            <w:tcW w:w="12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7"/>
                <w:szCs w:val="7"/>
                <w:b w:val="1"/>
                <w:bCs w:val="1"/>
                <w:color w:val="auto"/>
              </w:rPr>
              <w:t>$86.68</w:t>
            </w:r>
          </w:p>
        </w:tc>
        <w:tc>
          <w:tcPr>
            <w:tcW w:w="12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$32.02</w:t>
            </w:r>
          </w:p>
        </w:tc>
        <w:tc>
          <w:tcPr>
            <w:tcW w:w="12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7"/>
                <w:szCs w:val="7"/>
                <w:b w:val="1"/>
                <w:bCs w:val="1"/>
                <w:color w:val="auto"/>
              </w:rPr>
              <w:t>2.6</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00" w:hanging="97"/>
        <w:spacing w:after="0"/>
        <w:tabs>
          <w:tab w:leader="none" w:pos="100" w:val="left"/>
        </w:tabs>
        <w:numPr>
          <w:ilvl w:val="0"/>
          <w:numId w:val="26"/>
        </w:numPr>
        <w:rPr>
          <w:rFonts w:ascii="Arial" w:cs="Arial" w:eastAsia="Arial" w:hAnsi="Arial"/>
          <w:sz w:val="7"/>
          <w:szCs w:val="7"/>
          <w:color w:val="auto"/>
        </w:rPr>
      </w:pPr>
      <w:r>
        <w:rPr>
          <w:rFonts w:ascii="Arial" w:cs="Arial" w:eastAsia="Arial" w:hAnsi="Arial"/>
          <w:sz w:val="7"/>
          <w:szCs w:val="7"/>
          <w:color w:val="auto"/>
        </w:rPr>
        <w:t>Represents the rentable square footage at the time the property was acquired.</w:t>
      </w:r>
    </w:p>
    <w:p>
      <w:pPr>
        <w:spacing w:after="0" w:line="27" w:lineRule="exact"/>
        <w:rPr>
          <w:rFonts w:ascii="Arial" w:cs="Arial" w:eastAsia="Arial" w:hAnsi="Arial"/>
          <w:sz w:val="7"/>
          <w:szCs w:val="7"/>
          <w:color w:val="auto"/>
        </w:rPr>
      </w:pPr>
    </w:p>
    <w:p>
      <w:pPr>
        <w:ind w:left="100" w:hanging="97"/>
        <w:spacing w:after="0"/>
        <w:tabs>
          <w:tab w:leader="none" w:pos="100" w:val="left"/>
        </w:tabs>
        <w:numPr>
          <w:ilvl w:val="0"/>
          <w:numId w:val="26"/>
        </w:numPr>
        <w:rPr>
          <w:rFonts w:ascii="Arial" w:cs="Arial" w:eastAsia="Arial" w:hAnsi="Arial"/>
          <w:sz w:val="7"/>
          <w:szCs w:val="7"/>
          <w:color w:val="auto"/>
        </w:rPr>
      </w:pPr>
      <w:r>
        <w:rPr>
          <w:rFonts w:ascii="Arial" w:cs="Arial" w:eastAsia="Arial" w:hAnsi="Arial"/>
          <w:sz w:val="7"/>
          <w:szCs w:val="7"/>
          <w:color w:val="auto"/>
        </w:rPr>
        <w:t>Annual initial base rent.</w:t>
      </w:r>
    </w:p>
    <w:p>
      <w:pPr>
        <w:spacing w:after="0" w:line="27" w:lineRule="exact"/>
        <w:rPr>
          <w:rFonts w:ascii="Arial" w:cs="Arial" w:eastAsia="Arial" w:hAnsi="Arial"/>
          <w:sz w:val="7"/>
          <w:szCs w:val="7"/>
          <w:color w:val="auto"/>
        </w:rPr>
      </w:pPr>
    </w:p>
    <w:p>
      <w:pPr>
        <w:ind w:left="100" w:hanging="97"/>
        <w:spacing w:after="0"/>
        <w:tabs>
          <w:tab w:leader="none" w:pos="100" w:val="left"/>
        </w:tabs>
        <w:numPr>
          <w:ilvl w:val="0"/>
          <w:numId w:val="26"/>
        </w:numPr>
        <w:rPr>
          <w:rFonts w:ascii="Arial" w:cs="Arial" w:eastAsia="Arial" w:hAnsi="Arial"/>
          <w:sz w:val="7"/>
          <w:szCs w:val="7"/>
          <w:color w:val="auto"/>
        </w:rPr>
      </w:pPr>
      <w:r>
        <w:rPr>
          <w:rFonts w:ascii="Arial" w:cs="Arial" w:eastAsia="Arial" w:hAnsi="Arial"/>
          <w:sz w:val="7"/>
          <w:szCs w:val="7"/>
          <w:color w:val="auto"/>
        </w:rPr>
        <w:t>Escalated cash rent includes base rent plus all additional amounts paid by the tenant in the form of real estate taxes, operating expenses, porters wage or a consumer price index (CPI) adjustment, excluding concessions.</w:t>
      </w:r>
    </w:p>
    <w:p>
      <w:pPr>
        <w:spacing w:after="0" w:line="27" w:lineRule="exact"/>
        <w:rPr>
          <w:rFonts w:ascii="Arial" w:cs="Arial" w:eastAsia="Arial" w:hAnsi="Arial"/>
          <w:sz w:val="7"/>
          <w:szCs w:val="7"/>
          <w:color w:val="auto"/>
        </w:rPr>
      </w:pPr>
    </w:p>
    <w:p>
      <w:pPr>
        <w:ind w:left="100" w:hanging="97"/>
        <w:spacing w:after="0"/>
        <w:tabs>
          <w:tab w:leader="none" w:pos="100" w:val="left"/>
        </w:tabs>
        <w:numPr>
          <w:ilvl w:val="0"/>
          <w:numId w:val="26"/>
        </w:numPr>
        <w:rPr>
          <w:rFonts w:ascii="Arial" w:cs="Arial" w:eastAsia="Arial" w:hAnsi="Arial"/>
          <w:sz w:val="7"/>
          <w:szCs w:val="7"/>
          <w:color w:val="auto"/>
        </w:rPr>
      </w:pPr>
      <w:r>
        <w:rPr>
          <w:rFonts w:ascii="Arial" w:cs="Arial" w:eastAsia="Arial" w:hAnsi="Arial"/>
          <w:sz w:val="7"/>
          <w:szCs w:val="7"/>
          <w:color w:val="auto"/>
        </w:rPr>
        <w:t>Average starting office rent excluding new tenants replacing vacancies is $104.92/rsf for 211,307 rentable SF. Average starting office rent for office space (leased and early renewals, excluding new tenants replacing vacancies) is $104.74/rsf for 262,692 rentable SF.</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37</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100"/>
          </w:cols>
          <w:pgMar w:left="1400" w:top="297" w:right="139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LEASE EXPIRATIONS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Office, Retail and Storage Leases</w:t>
      </w:r>
    </w:p>
    <w:p>
      <w:pPr>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577659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577659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411480</wp:posOffset>
            </wp:positionV>
            <wp:extent cx="5146040" cy="1680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604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92"/>
        </w:trPr>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vMerge w:val="restart"/>
          </w:tcPr>
          <w:p>
            <w:pPr>
              <w:jc w:val="right"/>
              <w:ind w:right="81"/>
              <w:spacing w:after="0"/>
              <w:rPr>
                <w:sz w:val="20"/>
                <w:szCs w:val="20"/>
                <w:color w:val="auto"/>
              </w:rPr>
            </w:pPr>
            <w:r>
              <w:rPr>
                <w:rFonts w:ascii="Arial" w:cs="Arial" w:eastAsia="Arial" w:hAnsi="Arial"/>
                <w:sz w:val="8"/>
                <w:szCs w:val="8"/>
                <w:b w:val="1"/>
                <w:bCs w:val="1"/>
                <w:color w:val="auto"/>
              </w:rPr>
              <w:t>Rentable Square</w:t>
            </w:r>
          </w:p>
        </w:tc>
        <w:tc>
          <w:tcPr>
            <w:tcW w:w="1000" w:type="dxa"/>
            <w:vAlign w:val="bottom"/>
          </w:tcPr>
          <w:p>
            <w:pPr>
              <w:jc w:val="right"/>
              <w:ind w:right="101"/>
              <w:spacing w:after="0"/>
              <w:rPr>
                <w:sz w:val="20"/>
                <w:szCs w:val="20"/>
                <w:color w:val="auto"/>
              </w:rPr>
            </w:pPr>
            <w:r>
              <w:rPr>
                <w:rFonts w:ascii="Arial" w:cs="Arial" w:eastAsia="Arial" w:hAnsi="Arial"/>
                <w:sz w:val="8"/>
                <w:szCs w:val="8"/>
                <w:b w:val="1"/>
                <w:bCs w:val="1"/>
                <w:color w:val="auto"/>
              </w:rPr>
              <w:t>SLG Share</w:t>
            </w:r>
          </w:p>
        </w:tc>
        <w:tc>
          <w:tcPr>
            <w:tcW w:w="940" w:type="dxa"/>
            <w:vAlign w:val="bottom"/>
          </w:tcPr>
          <w:p>
            <w:pPr>
              <w:spacing w:after="0"/>
              <w:rPr>
                <w:sz w:val="7"/>
                <w:szCs w:val="7"/>
                <w:color w:val="auto"/>
              </w:rPr>
            </w:pPr>
          </w:p>
        </w:tc>
        <w:tc>
          <w:tcPr>
            <w:tcW w:w="1000" w:type="dxa"/>
            <w:vAlign w:val="bottom"/>
            <w:vMerge w:val="restart"/>
          </w:tcPr>
          <w:p>
            <w:pPr>
              <w:jc w:val="right"/>
              <w:ind w:right="21"/>
              <w:spacing w:after="0"/>
              <w:rPr>
                <w:sz w:val="20"/>
                <w:szCs w:val="20"/>
                <w:color w:val="auto"/>
              </w:rPr>
            </w:pPr>
            <w:r>
              <w:rPr>
                <w:rFonts w:ascii="Arial" w:cs="Arial" w:eastAsia="Arial" w:hAnsi="Arial"/>
                <w:sz w:val="8"/>
                <w:szCs w:val="8"/>
                <w:b w:val="1"/>
                <w:bCs w:val="1"/>
                <w:color w:val="auto"/>
              </w:rPr>
              <w:t>Annualized Contractual</w:t>
            </w:r>
          </w:p>
        </w:tc>
        <w:tc>
          <w:tcPr>
            <w:tcW w:w="1020" w:type="dxa"/>
            <w:vAlign w:val="bottom"/>
          </w:tcPr>
          <w:p>
            <w:pPr>
              <w:jc w:val="right"/>
              <w:ind w:right="61"/>
              <w:spacing w:after="0"/>
              <w:rPr>
                <w:sz w:val="20"/>
                <w:szCs w:val="20"/>
                <w:color w:val="auto"/>
              </w:rPr>
            </w:pPr>
            <w:r>
              <w:rPr>
                <w:rFonts w:ascii="Arial" w:cs="Arial" w:eastAsia="Arial" w:hAnsi="Arial"/>
                <w:sz w:val="8"/>
                <w:szCs w:val="8"/>
                <w:b w:val="1"/>
                <w:bCs w:val="1"/>
                <w:color w:val="auto"/>
              </w:rPr>
              <w:t>SLG Share</w:t>
            </w:r>
          </w:p>
        </w:tc>
        <w:tc>
          <w:tcPr>
            <w:tcW w:w="980" w:type="dxa"/>
            <w:vAlign w:val="bottom"/>
          </w:tcPr>
          <w:p>
            <w:pPr>
              <w:jc w:val="right"/>
              <w:spacing w:after="0"/>
              <w:rPr>
                <w:sz w:val="20"/>
                <w:szCs w:val="20"/>
                <w:color w:val="auto"/>
              </w:rPr>
            </w:pPr>
            <w:r>
              <w:rPr>
                <w:rFonts w:ascii="Arial" w:cs="Arial" w:eastAsia="Arial" w:hAnsi="Arial"/>
                <w:sz w:val="8"/>
                <w:szCs w:val="8"/>
                <w:b w:val="1"/>
                <w:bCs w:val="1"/>
                <w:color w:val="auto"/>
              </w:rPr>
              <w:t>Annualized Contractual</w:t>
            </w:r>
          </w:p>
        </w:tc>
        <w:tc>
          <w:tcPr>
            <w:tcW w:w="0" w:type="dxa"/>
            <w:vAlign w:val="bottom"/>
          </w:tcPr>
          <w:p>
            <w:pPr>
              <w:spacing w:after="0"/>
              <w:rPr>
                <w:sz w:val="1"/>
                <w:szCs w:val="1"/>
                <w:color w:val="auto"/>
              </w:rPr>
            </w:pPr>
          </w:p>
        </w:tc>
      </w:tr>
      <w:tr>
        <w:trPr>
          <w:trHeight w:val="79"/>
        </w:trPr>
        <w:tc>
          <w:tcPr>
            <w:tcW w:w="1080" w:type="dxa"/>
            <w:vAlign w:val="bottom"/>
          </w:tcPr>
          <w:p>
            <w:pPr>
              <w:spacing w:after="0"/>
              <w:rPr>
                <w:sz w:val="6"/>
                <w:szCs w:val="6"/>
                <w:color w:val="auto"/>
              </w:rPr>
            </w:pPr>
          </w:p>
        </w:tc>
        <w:tc>
          <w:tcPr>
            <w:tcW w:w="1000" w:type="dxa"/>
            <w:vAlign w:val="bottom"/>
            <w:vMerge w:val="restart"/>
          </w:tcPr>
          <w:p>
            <w:pPr>
              <w:jc w:val="right"/>
              <w:ind w:right="81"/>
              <w:spacing w:after="0"/>
              <w:rPr>
                <w:sz w:val="20"/>
                <w:szCs w:val="20"/>
                <w:color w:val="auto"/>
              </w:rPr>
            </w:pPr>
            <w:r>
              <w:rPr>
                <w:rFonts w:ascii="Arial" w:cs="Arial" w:eastAsia="Arial" w:hAnsi="Arial"/>
                <w:sz w:val="8"/>
                <w:szCs w:val="8"/>
                <w:b w:val="1"/>
                <w:bCs w:val="1"/>
                <w:color w:val="auto"/>
              </w:rPr>
              <w:t>Number of Expiring</w:t>
            </w:r>
          </w:p>
        </w:tc>
        <w:tc>
          <w:tcPr>
            <w:tcW w:w="980" w:type="dxa"/>
            <w:vAlign w:val="bottom"/>
            <w:vMerge w:val="continue"/>
          </w:tcPr>
          <w:p>
            <w:pPr>
              <w:spacing w:after="0"/>
              <w:rPr>
                <w:sz w:val="6"/>
                <w:szCs w:val="6"/>
                <w:color w:val="auto"/>
              </w:rPr>
            </w:pPr>
          </w:p>
        </w:tc>
        <w:tc>
          <w:tcPr>
            <w:tcW w:w="1000" w:type="dxa"/>
            <w:vAlign w:val="bottom"/>
          </w:tcPr>
          <w:p>
            <w:pPr>
              <w:jc w:val="right"/>
              <w:ind w:right="101"/>
              <w:spacing w:after="0" w:line="79" w:lineRule="exact"/>
              <w:rPr>
                <w:sz w:val="20"/>
                <w:szCs w:val="20"/>
                <w:color w:val="auto"/>
              </w:rPr>
            </w:pPr>
            <w:r>
              <w:rPr>
                <w:rFonts w:ascii="Arial" w:cs="Arial" w:eastAsia="Arial" w:hAnsi="Arial"/>
                <w:sz w:val="8"/>
                <w:szCs w:val="8"/>
                <w:b w:val="1"/>
                <w:bCs w:val="1"/>
                <w:color w:val="auto"/>
              </w:rPr>
              <w:t>Rentable Square</w:t>
            </w:r>
          </w:p>
        </w:tc>
        <w:tc>
          <w:tcPr>
            <w:tcW w:w="940" w:type="dxa"/>
            <w:vAlign w:val="bottom"/>
            <w:vMerge w:val="restart"/>
          </w:tcPr>
          <w:p>
            <w:pPr>
              <w:ind w:left="140"/>
              <w:spacing w:after="0"/>
              <w:rPr>
                <w:sz w:val="20"/>
                <w:szCs w:val="20"/>
                <w:color w:val="auto"/>
              </w:rPr>
            </w:pPr>
            <w:r>
              <w:rPr>
                <w:rFonts w:ascii="Arial" w:cs="Arial" w:eastAsia="Arial" w:hAnsi="Arial"/>
                <w:sz w:val="8"/>
                <w:szCs w:val="8"/>
                <w:b w:val="1"/>
                <w:bCs w:val="1"/>
                <w:color w:val="auto"/>
              </w:rPr>
              <w:t>Percentage of Total</w:t>
            </w:r>
          </w:p>
        </w:tc>
        <w:tc>
          <w:tcPr>
            <w:tcW w:w="1000" w:type="dxa"/>
            <w:vAlign w:val="bottom"/>
            <w:vMerge w:val="continue"/>
          </w:tcPr>
          <w:p>
            <w:pPr>
              <w:spacing w:after="0"/>
              <w:rPr>
                <w:sz w:val="6"/>
                <w:szCs w:val="6"/>
                <w:color w:val="auto"/>
              </w:rPr>
            </w:pPr>
          </w:p>
        </w:tc>
        <w:tc>
          <w:tcPr>
            <w:tcW w:w="1020" w:type="dxa"/>
            <w:vAlign w:val="bottom"/>
          </w:tcPr>
          <w:p>
            <w:pPr>
              <w:jc w:val="right"/>
              <w:ind w:right="61"/>
              <w:spacing w:after="0" w:line="79" w:lineRule="exact"/>
              <w:rPr>
                <w:sz w:val="20"/>
                <w:szCs w:val="20"/>
                <w:color w:val="auto"/>
              </w:rPr>
            </w:pPr>
            <w:r>
              <w:rPr>
                <w:rFonts w:ascii="Arial" w:cs="Arial" w:eastAsia="Arial" w:hAnsi="Arial"/>
                <w:sz w:val="8"/>
                <w:szCs w:val="8"/>
                <w:b w:val="1"/>
                <w:bCs w:val="1"/>
                <w:color w:val="auto"/>
              </w:rPr>
              <w:t>Annualized Contractual</w:t>
            </w:r>
          </w:p>
        </w:tc>
        <w:tc>
          <w:tcPr>
            <w:tcW w:w="98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Cash Rent Per Square</w:t>
            </w:r>
          </w:p>
        </w:tc>
        <w:tc>
          <w:tcPr>
            <w:tcW w:w="0" w:type="dxa"/>
            <w:vAlign w:val="bottom"/>
          </w:tcPr>
          <w:p>
            <w:pPr>
              <w:spacing w:after="0"/>
              <w:rPr>
                <w:sz w:val="1"/>
                <w:szCs w:val="1"/>
                <w:color w:val="auto"/>
              </w:rPr>
            </w:pPr>
          </w:p>
        </w:tc>
      </w:tr>
      <w:tr>
        <w:trPr>
          <w:trHeight w:val="79"/>
        </w:trPr>
        <w:tc>
          <w:tcPr>
            <w:tcW w:w="1080" w:type="dxa"/>
            <w:vAlign w:val="bottom"/>
            <w:vMerge w:val="restart"/>
          </w:tcPr>
          <w:p>
            <w:pPr>
              <w:spacing w:after="0"/>
              <w:rPr>
                <w:sz w:val="20"/>
                <w:szCs w:val="20"/>
                <w:color w:val="auto"/>
              </w:rPr>
            </w:pPr>
            <w:r>
              <w:rPr>
                <w:rFonts w:ascii="Arial" w:cs="Arial" w:eastAsia="Arial" w:hAnsi="Arial"/>
                <w:sz w:val="8"/>
                <w:szCs w:val="8"/>
                <w:b w:val="1"/>
                <w:bCs w:val="1"/>
                <w:color w:val="auto"/>
              </w:rPr>
              <w:t>Year of Lease Expiration</w:t>
            </w:r>
          </w:p>
        </w:tc>
        <w:tc>
          <w:tcPr>
            <w:tcW w:w="1000" w:type="dxa"/>
            <w:vAlign w:val="bottom"/>
            <w:vMerge w:val="continue"/>
          </w:tcPr>
          <w:p>
            <w:pPr>
              <w:spacing w:after="0"/>
              <w:rPr>
                <w:sz w:val="6"/>
                <w:szCs w:val="6"/>
                <w:color w:val="auto"/>
              </w:rPr>
            </w:pPr>
          </w:p>
        </w:tc>
        <w:tc>
          <w:tcPr>
            <w:tcW w:w="980" w:type="dxa"/>
            <w:vAlign w:val="bottom"/>
          </w:tcPr>
          <w:p>
            <w:pPr>
              <w:jc w:val="right"/>
              <w:ind w:right="81"/>
              <w:spacing w:after="0" w:line="79" w:lineRule="exact"/>
              <w:rPr>
                <w:sz w:val="20"/>
                <w:szCs w:val="20"/>
                <w:color w:val="auto"/>
              </w:rPr>
            </w:pPr>
            <w:r>
              <w:rPr>
                <w:rFonts w:ascii="Arial" w:cs="Arial" w:eastAsia="Arial" w:hAnsi="Arial"/>
                <w:sz w:val="8"/>
                <w:szCs w:val="8"/>
                <w:b w:val="1"/>
                <w:bCs w:val="1"/>
                <w:color w:val="auto"/>
              </w:rPr>
              <w:t>Footage of Expiring</w:t>
            </w:r>
          </w:p>
        </w:tc>
        <w:tc>
          <w:tcPr>
            <w:tcW w:w="1000" w:type="dxa"/>
            <w:vAlign w:val="bottom"/>
          </w:tcPr>
          <w:p>
            <w:pPr>
              <w:jc w:val="right"/>
              <w:ind w:right="101"/>
              <w:spacing w:after="0" w:line="79" w:lineRule="exact"/>
              <w:rPr>
                <w:sz w:val="20"/>
                <w:szCs w:val="20"/>
                <w:color w:val="auto"/>
              </w:rPr>
            </w:pPr>
            <w:r>
              <w:rPr>
                <w:rFonts w:ascii="Arial" w:cs="Arial" w:eastAsia="Arial" w:hAnsi="Arial"/>
                <w:sz w:val="8"/>
                <w:szCs w:val="8"/>
                <w:b w:val="1"/>
                <w:bCs w:val="1"/>
                <w:color w:val="auto"/>
              </w:rPr>
              <w:t>Footage of Expiring</w:t>
            </w:r>
          </w:p>
        </w:tc>
        <w:tc>
          <w:tcPr>
            <w:tcW w:w="940" w:type="dxa"/>
            <w:vAlign w:val="bottom"/>
            <w:vMerge w:val="continue"/>
          </w:tcPr>
          <w:p>
            <w:pPr>
              <w:spacing w:after="0"/>
              <w:rPr>
                <w:sz w:val="6"/>
                <w:szCs w:val="6"/>
                <w:color w:val="auto"/>
              </w:rPr>
            </w:pPr>
          </w:p>
        </w:tc>
        <w:tc>
          <w:tcPr>
            <w:tcW w:w="1000" w:type="dxa"/>
            <w:vAlign w:val="bottom"/>
          </w:tcPr>
          <w:p>
            <w:pPr>
              <w:jc w:val="right"/>
              <w:ind w:right="21"/>
              <w:spacing w:after="0" w:line="79" w:lineRule="exact"/>
              <w:rPr>
                <w:sz w:val="20"/>
                <w:szCs w:val="20"/>
                <w:color w:val="auto"/>
              </w:rPr>
            </w:pPr>
            <w:r>
              <w:rPr>
                <w:rFonts w:ascii="Arial" w:cs="Arial" w:eastAsia="Arial" w:hAnsi="Arial"/>
                <w:sz w:val="8"/>
                <w:szCs w:val="8"/>
                <w:b w:val="1"/>
                <w:bCs w:val="1"/>
                <w:color w:val="auto"/>
              </w:rPr>
              <w:t>Cash Rent of Expiring</w:t>
            </w:r>
          </w:p>
        </w:tc>
        <w:tc>
          <w:tcPr>
            <w:tcW w:w="1020" w:type="dxa"/>
            <w:vAlign w:val="bottom"/>
          </w:tcPr>
          <w:p>
            <w:pPr>
              <w:jc w:val="right"/>
              <w:ind w:right="61"/>
              <w:spacing w:after="0" w:line="79" w:lineRule="exact"/>
              <w:rPr>
                <w:sz w:val="20"/>
                <w:szCs w:val="20"/>
                <w:color w:val="auto"/>
              </w:rPr>
            </w:pPr>
            <w:r>
              <w:rPr>
                <w:rFonts w:ascii="Arial" w:cs="Arial" w:eastAsia="Arial" w:hAnsi="Arial"/>
                <w:sz w:val="8"/>
                <w:szCs w:val="8"/>
                <w:b w:val="1"/>
                <w:bCs w:val="1"/>
                <w:color w:val="auto"/>
              </w:rPr>
              <w:t>Cash Rent of Expiring</w:t>
            </w:r>
          </w:p>
        </w:tc>
        <w:tc>
          <w:tcPr>
            <w:tcW w:w="98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Foot of Expiring Leases</w:t>
            </w: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1000" w:type="dxa"/>
            <w:vAlign w:val="bottom"/>
          </w:tcPr>
          <w:p>
            <w:pPr>
              <w:jc w:val="right"/>
              <w:ind w:right="81"/>
              <w:spacing w:after="0"/>
              <w:rPr>
                <w:sz w:val="20"/>
                <w:szCs w:val="20"/>
                <w:color w:val="auto"/>
              </w:rPr>
            </w:pPr>
            <w:r>
              <w:rPr>
                <w:rFonts w:ascii="Arial" w:cs="Arial" w:eastAsia="Arial" w:hAnsi="Arial"/>
                <w:sz w:val="8"/>
                <w:szCs w:val="8"/>
                <w:b w:val="1"/>
                <w:bCs w:val="1"/>
                <w:color w:val="auto"/>
              </w:rPr>
              <w:t>Leases (1)</w:t>
            </w:r>
          </w:p>
        </w:tc>
        <w:tc>
          <w:tcPr>
            <w:tcW w:w="980" w:type="dxa"/>
            <w:vAlign w:val="bottom"/>
          </w:tcPr>
          <w:p>
            <w:pPr>
              <w:jc w:val="right"/>
              <w:ind w:right="81"/>
              <w:spacing w:after="0"/>
              <w:rPr>
                <w:sz w:val="20"/>
                <w:szCs w:val="20"/>
                <w:color w:val="auto"/>
              </w:rPr>
            </w:pPr>
            <w:r>
              <w:rPr>
                <w:rFonts w:ascii="Arial" w:cs="Arial" w:eastAsia="Arial" w:hAnsi="Arial"/>
                <w:sz w:val="8"/>
                <w:szCs w:val="8"/>
                <w:b w:val="1"/>
                <w:bCs w:val="1"/>
                <w:color w:val="auto"/>
              </w:rPr>
              <w:t>Leases</w:t>
            </w:r>
          </w:p>
        </w:tc>
        <w:tc>
          <w:tcPr>
            <w:tcW w:w="1000" w:type="dxa"/>
            <w:vAlign w:val="bottom"/>
          </w:tcPr>
          <w:p>
            <w:pPr>
              <w:jc w:val="right"/>
              <w:ind w:right="101"/>
              <w:spacing w:after="0"/>
              <w:rPr>
                <w:sz w:val="20"/>
                <w:szCs w:val="20"/>
                <w:color w:val="auto"/>
              </w:rPr>
            </w:pPr>
            <w:r>
              <w:rPr>
                <w:rFonts w:ascii="Arial" w:cs="Arial" w:eastAsia="Arial" w:hAnsi="Arial"/>
                <w:sz w:val="8"/>
                <w:szCs w:val="8"/>
                <w:b w:val="1"/>
                <w:bCs w:val="1"/>
                <w:color w:val="auto"/>
              </w:rPr>
              <w:t>Leases</w:t>
            </w:r>
          </w:p>
        </w:tc>
        <w:tc>
          <w:tcPr>
            <w:tcW w:w="940" w:type="dxa"/>
            <w:vAlign w:val="bottom"/>
          </w:tcPr>
          <w:p>
            <w:pPr>
              <w:ind w:left="640"/>
              <w:spacing w:after="0"/>
              <w:rPr>
                <w:sz w:val="20"/>
                <w:szCs w:val="20"/>
                <w:color w:val="auto"/>
              </w:rPr>
            </w:pPr>
            <w:r>
              <w:rPr>
                <w:rFonts w:ascii="Arial" w:cs="Arial" w:eastAsia="Arial" w:hAnsi="Arial"/>
                <w:sz w:val="8"/>
                <w:szCs w:val="8"/>
                <w:b w:val="1"/>
                <w:bCs w:val="1"/>
                <w:color w:val="auto"/>
              </w:rPr>
              <w:t>Sq. Ft.</w:t>
            </w:r>
          </w:p>
        </w:tc>
        <w:tc>
          <w:tcPr>
            <w:tcW w:w="1000" w:type="dxa"/>
            <w:vAlign w:val="bottom"/>
          </w:tcPr>
          <w:p>
            <w:pPr>
              <w:jc w:val="right"/>
              <w:ind w:right="21"/>
              <w:spacing w:after="0"/>
              <w:rPr>
                <w:sz w:val="20"/>
                <w:szCs w:val="20"/>
                <w:color w:val="auto"/>
              </w:rPr>
            </w:pPr>
            <w:r>
              <w:rPr>
                <w:rFonts w:ascii="Arial" w:cs="Arial" w:eastAsia="Arial" w:hAnsi="Arial"/>
                <w:sz w:val="8"/>
                <w:szCs w:val="8"/>
                <w:b w:val="1"/>
                <w:bCs w:val="1"/>
                <w:color w:val="auto"/>
              </w:rPr>
              <w:t>Leases</w:t>
            </w:r>
          </w:p>
        </w:tc>
        <w:tc>
          <w:tcPr>
            <w:tcW w:w="1020" w:type="dxa"/>
            <w:vAlign w:val="bottom"/>
          </w:tcPr>
          <w:p>
            <w:pPr>
              <w:jc w:val="right"/>
              <w:ind w:right="61"/>
              <w:spacing w:after="0"/>
              <w:rPr>
                <w:sz w:val="20"/>
                <w:szCs w:val="20"/>
                <w:color w:val="auto"/>
              </w:rPr>
            </w:pPr>
            <w:r>
              <w:rPr>
                <w:rFonts w:ascii="Arial" w:cs="Arial" w:eastAsia="Arial" w:hAnsi="Arial"/>
                <w:sz w:val="8"/>
                <w:szCs w:val="8"/>
                <w:b w:val="1"/>
                <w:bCs w:val="1"/>
                <w:color w:val="auto"/>
              </w:rPr>
              <w:t>Leases</w:t>
            </w:r>
          </w:p>
        </w:tc>
        <w:tc>
          <w:tcPr>
            <w:tcW w:w="980" w:type="dxa"/>
            <w:vAlign w:val="bottom"/>
          </w:tcPr>
          <w:p>
            <w:pPr>
              <w:jc w:val="right"/>
              <w:spacing w:after="0"/>
              <w:rPr>
                <w:sz w:val="20"/>
                <w:szCs w:val="20"/>
                <w:color w:val="auto"/>
              </w:rPr>
            </w:pPr>
            <w:r>
              <w:rPr>
                <w:rFonts w:ascii="Arial" w:cs="Arial" w:eastAsia="Arial" w:hAnsi="Arial"/>
                <w:sz w:val="8"/>
                <w:szCs w:val="8"/>
                <w:b w:val="1"/>
                <w:bCs w:val="1"/>
                <w:color w:val="auto"/>
              </w:rPr>
              <w:t>$/psf (2)</w:t>
            </w:r>
          </w:p>
        </w:tc>
        <w:tc>
          <w:tcPr>
            <w:tcW w:w="0" w:type="dxa"/>
            <w:vAlign w:val="bottom"/>
          </w:tcPr>
          <w:p>
            <w:pPr>
              <w:spacing w:after="0"/>
              <w:rPr>
                <w:sz w:val="1"/>
                <w:szCs w:val="1"/>
                <w:color w:val="auto"/>
              </w:rPr>
            </w:pPr>
          </w:p>
        </w:tc>
      </w:tr>
    </w:tbl>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Wholly-Owned and Consolidated JV Properties</w:t>
      </w:r>
    </w:p>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101"/>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1st Quarter 2026 (3)</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9</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40,546</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40,546</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0.4 %</w:t>
            </w:r>
          </w:p>
        </w:tc>
        <w:tc>
          <w:tcPr>
            <w:tcW w:w="1000" w:type="dxa"/>
            <w:vAlign w:val="bottom"/>
          </w:tcPr>
          <w:p>
            <w:pPr>
              <w:jc w:val="right"/>
              <w:ind w:right="221"/>
              <w:spacing w:after="0"/>
              <w:rPr>
                <w:sz w:val="20"/>
                <w:szCs w:val="20"/>
                <w:color w:val="auto"/>
              </w:rPr>
            </w:pPr>
            <w:r>
              <w:rPr>
                <w:rFonts w:ascii="Arial" w:cs="Arial" w:eastAsia="Arial" w:hAnsi="Arial"/>
                <w:sz w:val="8"/>
                <w:szCs w:val="8"/>
                <w:color w:val="auto"/>
              </w:rPr>
              <w:t>$3,262,855</w:t>
            </w:r>
          </w:p>
        </w:tc>
        <w:tc>
          <w:tcPr>
            <w:tcW w:w="1120" w:type="dxa"/>
            <w:vAlign w:val="bottom"/>
          </w:tcPr>
          <w:p>
            <w:pPr>
              <w:jc w:val="right"/>
              <w:ind w:right="361"/>
              <w:spacing w:after="0"/>
              <w:rPr>
                <w:sz w:val="20"/>
                <w:szCs w:val="20"/>
                <w:color w:val="auto"/>
              </w:rPr>
            </w:pPr>
            <w:r>
              <w:rPr>
                <w:rFonts w:ascii="Arial" w:cs="Arial" w:eastAsia="Arial" w:hAnsi="Arial"/>
                <w:sz w:val="8"/>
                <w:szCs w:val="8"/>
                <w:color w:val="auto"/>
              </w:rPr>
              <w:t>$3,262,855</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$80.47</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2nd Quarter 2026</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19</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125,016</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125,016</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1.4 %</w:t>
            </w:r>
          </w:p>
        </w:tc>
        <w:tc>
          <w:tcPr>
            <w:tcW w:w="1000" w:type="dxa"/>
            <w:vAlign w:val="bottom"/>
          </w:tcPr>
          <w:p>
            <w:pPr>
              <w:jc w:val="right"/>
              <w:ind w:right="221"/>
              <w:spacing w:after="0"/>
              <w:rPr>
                <w:sz w:val="20"/>
                <w:szCs w:val="20"/>
                <w:color w:val="auto"/>
              </w:rPr>
            </w:pPr>
            <w:r>
              <w:rPr>
                <w:rFonts w:ascii="Arial" w:cs="Arial" w:eastAsia="Arial" w:hAnsi="Arial"/>
                <w:sz w:val="8"/>
                <w:szCs w:val="8"/>
                <w:color w:val="auto"/>
              </w:rPr>
              <w:t>9,712,483</w:t>
            </w:r>
          </w:p>
        </w:tc>
        <w:tc>
          <w:tcPr>
            <w:tcW w:w="1120" w:type="dxa"/>
            <w:vAlign w:val="bottom"/>
          </w:tcPr>
          <w:p>
            <w:pPr>
              <w:jc w:val="right"/>
              <w:ind w:right="361"/>
              <w:spacing w:after="0"/>
              <w:rPr>
                <w:sz w:val="20"/>
                <w:szCs w:val="20"/>
                <w:color w:val="auto"/>
              </w:rPr>
            </w:pPr>
            <w:r>
              <w:rPr>
                <w:rFonts w:ascii="Arial" w:cs="Arial" w:eastAsia="Arial" w:hAnsi="Arial"/>
                <w:sz w:val="8"/>
                <w:szCs w:val="8"/>
                <w:color w:val="auto"/>
              </w:rPr>
              <w:t>9,712,483</w:t>
            </w:r>
          </w:p>
        </w:tc>
        <w:tc>
          <w:tcPr>
            <w:tcW w:w="700" w:type="dxa"/>
            <w:vAlign w:val="bottom"/>
          </w:tcPr>
          <w:p>
            <w:pPr>
              <w:jc w:val="right"/>
              <w:spacing w:after="0"/>
              <w:rPr>
                <w:sz w:val="20"/>
                <w:szCs w:val="20"/>
                <w:color w:val="auto"/>
              </w:rPr>
            </w:pPr>
            <w:r>
              <w:rPr>
                <w:rFonts w:ascii="Arial" w:cs="Arial" w:eastAsia="Arial" w:hAnsi="Arial"/>
                <w:sz w:val="8"/>
                <w:szCs w:val="8"/>
                <w:color w:val="auto"/>
              </w:rPr>
              <w:t>77.69</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3rd Quarter 2026</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17</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145,279</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145,279</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1.6 %</w:t>
            </w:r>
          </w:p>
        </w:tc>
        <w:tc>
          <w:tcPr>
            <w:tcW w:w="1000" w:type="dxa"/>
            <w:vAlign w:val="bottom"/>
          </w:tcPr>
          <w:p>
            <w:pPr>
              <w:jc w:val="right"/>
              <w:ind w:right="261"/>
              <w:spacing w:after="0"/>
              <w:rPr>
                <w:sz w:val="20"/>
                <w:szCs w:val="20"/>
                <w:color w:val="auto"/>
              </w:rPr>
            </w:pPr>
            <w:r>
              <w:rPr>
                <w:rFonts w:ascii="Arial" w:cs="Arial" w:eastAsia="Arial" w:hAnsi="Arial"/>
                <w:sz w:val="8"/>
                <w:szCs w:val="8"/>
                <w:color w:val="auto"/>
              </w:rPr>
              <w:t>6,438,396</w:t>
            </w:r>
          </w:p>
        </w:tc>
        <w:tc>
          <w:tcPr>
            <w:tcW w:w="1120" w:type="dxa"/>
            <w:vAlign w:val="bottom"/>
          </w:tcPr>
          <w:p>
            <w:pPr>
              <w:jc w:val="right"/>
              <w:ind w:right="401"/>
              <w:spacing w:after="0"/>
              <w:rPr>
                <w:sz w:val="20"/>
                <w:szCs w:val="20"/>
                <w:color w:val="auto"/>
              </w:rPr>
            </w:pPr>
            <w:r>
              <w:rPr>
                <w:rFonts w:ascii="Arial" w:cs="Arial" w:eastAsia="Arial" w:hAnsi="Arial"/>
                <w:sz w:val="8"/>
                <w:szCs w:val="8"/>
                <w:color w:val="auto"/>
              </w:rPr>
              <w:t>6,438,396</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44.32</w:t>
            </w:r>
          </w:p>
        </w:tc>
      </w:tr>
      <w:tr>
        <w:trPr>
          <w:trHeight w:val="126"/>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4th Quarter 2026</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8"/>
                <w:szCs w:val="8"/>
                <w:color w:val="auto"/>
              </w:rPr>
              <w:t>26</w:t>
            </w: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8"/>
                <w:szCs w:val="8"/>
                <w:color w:val="auto"/>
              </w:rPr>
              <w:t>370,347</w:t>
            </w: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8"/>
                <w:szCs w:val="8"/>
                <w:color w:val="auto"/>
              </w:rPr>
              <w:t>370,347</w:t>
            </w: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8"/>
                <w:szCs w:val="8"/>
                <w:color w:val="auto"/>
              </w:rPr>
              <w:t>4.1 %</w:t>
            </w: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8"/>
                <w:szCs w:val="8"/>
                <w:color w:val="auto"/>
              </w:rPr>
              <w:t>26,634,001</w:t>
            </w: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8"/>
                <w:szCs w:val="8"/>
                <w:color w:val="auto"/>
              </w:rPr>
              <w:t>26,634,001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71.92</w:t>
            </w:r>
          </w:p>
        </w:tc>
      </w:tr>
      <w:tr>
        <w:trPr>
          <w:trHeight w:val="134"/>
        </w:trPr>
        <w:tc>
          <w:tcPr>
            <w:tcW w:w="1100" w:type="dxa"/>
            <w:vAlign w:val="bottom"/>
          </w:tcPr>
          <w:p>
            <w:pPr>
              <w:jc w:val="right"/>
              <w:ind w:right="61"/>
              <w:spacing w:after="0"/>
              <w:rPr>
                <w:sz w:val="20"/>
                <w:szCs w:val="20"/>
                <w:color w:val="auto"/>
              </w:rPr>
            </w:pPr>
            <w:r>
              <w:rPr>
                <w:rFonts w:ascii="Arial" w:cs="Arial" w:eastAsia="Arial" w:hAnsi="Arial"/>
                <w:sz w:val="8"/>
                <w:szCs w:val="8"/>
                <w:b w:val="1"/>
                <w:bCs w:val="1"/>
                <w:color w:val="auto"/>
              </w:rPr>
              <w:t>Total 2026</w:t>
            </w:r>
          </w:p>
        </w:tc>
        <w:tc>
          <w:tcPr>
            <w:tcW w:w="1220" w:type="dxa"/>
            <w:vAlign w:val="bottom"/>
          </w:tcPr>
          <w:p>
            <w:pPr>
              <w:jc w:val="right"/>
              <w:ind w:right="261"/>
              <w:spacing w:after="0"/>
              <w:rPr>
                <w:sz w:val="20"/>
                <w:szCs w:val="20"/>
                <w:color w:val="auto"/>
              </w:rPr>
            </w:pPr>
            <w:r>
              <w:rPr>
                <w:rFonts w:ascii="Arial" w:cs="Arial" w:eastAsia="Arial" w:hAnsi="Arial"/>
                <w:sz w:val="8"/>
                <w:szCs w:val="8"/>
                <w:b w:val="1"/>
                <w:bCs w:val="1"/>
                <w:color w:val="auto"/>
              </w:rPr>
              <w:t>71</w:t>
            </w:r>
          </w:p>
        </w:tc>
        <w:tc>
          <w:tcPr>
            <w:tcW w:w="980" w:type="dxa"/>
            <w:vAlign w:val="bottom"/>
          </w:tcPr>
          <w:p>
            <w:pPr>
              <w:jc w:val="right"/>
              <w:ind w:right="281"/>
              <w:spacing w:after="0"/>
              <w:rPr>
                <w:sz w:val="20"/>
                <w:szCs w:val="20"/>
                <w:color w:val="auto"/>
              </w:rPr>
            </w:pPr>
            <w:r>
              <w:rPr>
                <w:rFonts w:ascii="Arial" w:cs="Arial" w:eastAsia="Arial" w:hAnsi="Arial"/>
                <w:sz w:val="8"/>
                <w:szCs w:val="8"/>
                <w:b w:val="1"/>
                <w:bCs w:val="1"/>
                <w:color w:val="auto"/>
              </w:rPr>
              <w:t>681,188</w:t>
            </w:r>
          </w:p>
        </w:tc>
        <w:tc>
          <w:tcPr>
            <w:tcW w:w="1040" w:type="dxa"/>
            <w:vAlign w:val="bottom"/>
          </w:tcPr>
          <w:p>
            <w:pPr>
              <w:jc w:val="right"/>
              <w:ind w:right="341"/>
              <w:spacing w:after="0"/>
              <w:rPr>
                <w:sz w:val="20"/>
                <w:szCs w:val="20"/>
                <w:color w:val="auto"/>
              </w:rPr>
            </w:pPr>
            <w:r>
              <w:rPr>
                <w:rFonts w:ascii="Arial" w:cs="Arial" w:eastAsia="Arial" w:hAnsi="Arial"/>
                <w:sz w:val="8"/>
                <w:szCs w:val="8"/>
                <w:b w:val="1"/>
                <w:bCs w:val="1"/>
                <w:color w:val="auto"/>
              </w:rPr>
              <w:t>681,188</w:t>
            </w:r>
          </w:p>
        </w:tc>
        <w:tc>
          <w:tcPr>
            <w:tcW w:w="940" w:type="dxa"/>
            <w:vAlign w:val="bottom"/>
          </w:tcPr>
          <w:p>
            <w:pPr>
              <w:jc w:val="right"/>
              <w:ind w:right="221"/>
              <w:spacing w:after="0"/>
              <w:rPr>
                <w:sz w:val="20"/>
                <w:szCs w:val="20"/>
                <w:color w:val="auto"/>
              </w:rPr>
            </w:pPr>
            <w:r>
              <w:rPr>
                <w:rFonts w:ascii="Arial" w:cs="Arial" w:eastAsia="Arial" w:hAnsi="Arial"/>
                <w:sz w:val="8"/>
                <w:szCs w:val="8"/>
                <w:b w:val="1"/>
                <w:bCs w:val="1"/>
                <w:color w:val="auto"/>
              </w:rPr>
              <w:t>7.5 %</w:t>
            </w:r>
          </w:p>
        </w:tc>
        <w:tc>
          <w:tcPr>
            <w:tcW w:w="1000" w:type="dxa"/>
            <w:vAlign w:val="bottom"/>
          </w:tcPr>
          <w:p>
            <w:pPr>
              <w:jc w:val="right"/>
              <w:ind w:right="221"/>
              <w:spacing w:after="0"/>
              <w:rPr>
                <w:sz w:val="20"/>
                <w:szCs w:val="20"/>
                <w:color w:val="auto"/>
              </w:rPr>
            </w:pPr>
            <w:r>
              <w:rPr>
                <w:rFonts w:ascii="Arial" w:cs="Arial" w:eastAsia="Arial" w:hAnsi="Arial"/>
                <w:sz w:val="8"/>
                <w:szCs w:val="8"/>
                <w:b w:val="1"/>
                <w:bCs w:val="1"/>
                <w:color w:val="auto"/>
              </w:rPr>
              <w:t>$46,047,735</w:t>
            </w:r>
          </w:p>
        </w:tc>
        <w:tc>
          <w:tcPr>
            <w:tcW w:w="1120" w:type="dxa"/>
            <w:vAlign w:val="bottom"/>
          </w:tcPr>
          <w:p>
            <w:pPr>
              <w:jc w:val="right"/>
              <w:ind w:right="361"/>
              <w:spacing w:after="0"/>
              <w:rPr>
                <w:sz w:val="20"/>
                <w:szCs w:val="20"/>
                <w:color w:val="auto"/>
              </w:rPr>
            </w:pPr>
            <w:r>
              <w:rPr>
                <w:rFonts w:ascii="Arial" w:cs="Arial" w:eastAsia="Arial" w:hAnsi="Arial"/>
                <w:sz w:val="8"/>
                <w:szCs w:val="8"/>
                <w:b w:val="1"/>
                <w:bCs w:val="1"/>
                <w:color w:val="auto"/>
              </w:rPr>
              <w:t>$46,047,735</w:t>
            </w:r>
          </w:p>
        </w:tc>
        <w:tc>
          <w:tcPr>
            <w:tcW w:w="700" w:type="dxa"/>
            <w:vAlign w:val="bottom"/>
          </w:tcPr>
          <w:p>
            <w:pPr>
              <w:jc w:val="right"/>
              <w:ind w:right="21"/>
              <w:spacing w:after="0"/>
              <w:rPr>
                <w:sz w:val="20"/>
                <w:szCs w:val="20"/>
                <w:color w:val="auto"/>
              </w:rPr>
            </w:pPr>
            <w:r>
              <w:rPr>
                <w:rFonts w:ascii="Arial" w:cs="Arial" w:eastAsia="Arial" w:hAnsi="Arial"/>
                <w:sz w:val="8"/>
                <w:szCs w:val="8"/>
                <w:b w:val="1"/>
                <w:bCs w:val="1"/>
                <w:color w:val="auto"/>
              </w:rPr>
              <w:t>$67.60</w:t>
            </w:r>
          </w:p>
        </w:tc>
      </w:tr>
      <w:tr>
        <w:trPr>
          <w:trHeight w:val="236"/>
        </w:trPr>
        <w:tc>
          <w:tcPr>
            <w:tcW w:w="1100" w:type="dxa"/>
            <w:vAlign w:val="bottom"/>
          </w:tcPr>
          <w:p>
            <w:pPr>
              <w:jc w:val="right"/>
              <w:ind w:right="61"/>
              <w:spacing w:after="0"/>
              <w:rPr>
                <w:sz w:val="20"/>
                <w:szCs w:val="20"/>
                <w:color w:val="auto"/>
              </w:rPr>
            </w:pPr>
            <w:r>
              <w:rPr>
                <w:rFonts w:ascii="Arial" w:cs="Arial" w:eastAsia="Arial" w:hAnsi="Arial"/>
                <w:sz w:val="8"/>
                <w:szCs w:val="8"/>
                <w:b w:val="1"/>
                <w:bCs w:val="1"/>
                <w:color w:val="auto"/>
              </w:rPr>
              <w:t>2027</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83</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898,352</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898,352</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9.9 %</w:t>
            </w:r>
          </w:p>
        </w:tc>
        <w:tc>
          <w:tcPr>
            <w:tcW w:w="1000" w:type="dxa"/>
            <w:vAlign w:val="bottom"/>
          </w:tcPr>
          <w:p>
            <w:pPr>
              <w:jc w:val="right"/>
              <w:ind w:right="221"/>
              <w:spacing w:after="0"/>
              <w:rPr>
                <w:sz w:val="20"/>
                <w:szCs w:val="20"/>
                <w:color w:val="auto"/>
              </w:rPr>
            </w:pPr>
            <w:r>
              <w:rPr>
                <w:rFonts w:ascii="Arial" w:cs="Arial" w:eastAsia="Arial" w:hAnsi="Arial"/>
                <w:sz w:val="8"/>
                <w:szCs w:val="8"/>
                <w:color w:val="auto"/>
              </w:rPr>
              <w:t>$68,007,362</w:t>
            </w:r>
          </w:p>
        </w:tc>
        <w:tc>
          <w:tcPr>
            <w:tcW w:w="1120" w:type="dxa"/>
            <w:vAlign w:val="bottom"/>
          </w:tcPr>
          <w:p>
            <w:pPr>
              <w:jc w:val="right"/>
              <w:ind w:right="361"/>
              <w:spacing w:after="0"/>
              <w:rPr>
                <w:sz w:val="20"/>
                <w:szCs w:val="20"/>
                <w:color w:val="auto"/>
              </w:rPr>
            </w:pPr>
            <w:r>
              <w:rPr>
                <w:rFonts w:ascii="Arial" w:cs="Arial" w:eastAsia="Arial" w:hAnsi="Arial"/>
                <w:sz w:val="8"/>
                <w:szCs w:val="8"/>
                <w:color w:val="auto"/>
              </w:rPr>
              <w:t>$68,007,362</w:t>
            </w:r>
          </w:p>
        </w:tc>
        <w:tc>
          <w:tcPr>
            <w:tcW w:w="700" w:type="dxa"/>
            <w:vAlign w:val="bottom"/>
          </w:tcPr>
          <w:p>
            <w:pPr>
              <w:jc w:val="right"/>
              <w:spacing w:after="0"/>
              <w:rPr>
                <w:sz w:val="20"/>
                <w:szCs w:val="20"/>
                <w:color w:val="auto"/>
              </w:rPr>
            </w:pPr>
            <w:r>
              <w:rPr>
                <w:rFonts w:ascii="Arial" w:cs="Arial" w:eastAsia="Arial" w:hAnsi="Arial"/>
                <w:sz w:val="8"/>
                <w:szCs w:val="8"/>
                <w:color w:val="auto"/>
              </w:rPr>
              <w:t>$75.70</w:t>
            </w:r>
          </w:p>
        </w:tc>
      </w:tr>
      <w:tr>
        <w:trPr>
          <w:trHeight w:val="114"/>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2028</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77</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704,237</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704,237</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7.8 %</w:t>
            </w:r>
          </w:p>
        </w:tc>
        <w:tc>
          <w:tcPr>
            <w:tcW w:w="1000" w:type="dxa"/>
            <w:vAlign w:val="bottom"/>
          </w:tcPr>
          <w:p>
            <w:pPr>
              <w:jc w:val="right"/>
              <w:ind w:right="261"/>
              <w:spacing w:after="0"/>
              <w:rPr>
                <w:sz w:val="20"/>
                <w:szCs w:val="20"/>
                <w:color w:val="auto"/>
              </w:rPr>
            </w:pPr>
            <w:r>
              <w:rPr>
                <w:rFonts w:ascii="Arial" w:cs="Arial" w:eastAsia="Arial" w:hAnsi="Arial"/>
                <w:sz w:val="8"/>
                <w:szCs w:val="8"/>
                <w:color w:val="auto"/>
              </w:rPr>
              <w:t>54,986,806</w:t>
            </w:r>
          </w:p>
        </w:tc>
        <w:tc>
          <w:tcPr>
            <w:tcW w:w="1120" w:type="dxa"/>
            <w:vAlign w:val="bottom"/>
          </w:tcPr>
          <w:p>
            <w:pPr>
              <w:jc w:val="right"/>
              <w:ind w:right="401"/>
              <w:spacing w:after="0"/>
              <w:rPr>
                <w:sz w:val="20"/>
                <w:szCs w:val="20"/>
                <w:color w:val="auto"/>
              </w:rPr>
            </w:pPr>
            <w:r>
              <w:rPr>
                <w:rFonts w:ascii="Arial" w:cs="Arial" w:eastAsia="Arial" w:hAnsi="Arial"/>
                <w:sz w:val="8"/>
                <w:szCs w:val="8"/>
                <w:color w:val="auto"/>
              </w:rPr>
              <w:t>54,986,806</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78.08</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2029</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77</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652,829</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652,829</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7.2 %</w:t>
            </w:r>
          </w:p>
        </w:tc>
        <w:tc>
          <w:tcPr>
            <w:tcW w:w="1000" w:type="dxa"/>
            <w:vAlign w:val="bottom"/>
          </w:tcPr>
          <w:p>
            <w:pPr>
              <w:jc w:val="right"/>
              <w:ind w:right="261"/>
              <w:spacing w:after="0"/>
              <w:rPr>
                <w:sz w:val="20"/>
                <w:szCs w:val="20"/>
                <w:color w:val="auto"/>
              </w:rPr>
            </w:pPr>
            <w:r>
              <w:rPr>
                <w:rFonts w:ascii="Arial" w:cs="Arial" w:eastAsia="Arial" w:hAnsi="Arial"/>
                <w:sz w:val="8"/>
                <w:szCs w:val="8"/>
                <w:color w:val="auto"/>
              </w:rPr>
              <w:t>49,577,708</w:t>
            </w:r>
          </w:p>
        </w:tc>
        <w:tc>
          <w:tcPr>
            <w:tcW w:w="1120" w:type="dxa"/>
            <w:vAlign w:val="bottom"/>
          </w:tcPr>
          <w:p>
            <w:pPr>
              <w:jc w:val="right"/>
              <w:ind w:right="401"/>
              <w:spacing w:after="0"/>
              <w:rPr>
                <w:sz w:val="20"/>
                <w:szCs w:val="20"/>
                <w:color w:val="auto"/>
              </w:rPr>
            </w:pPr>
            <w:r>
              <w:rPr>
                <w:rFonts w:ascii="Arial" w:cs="Arial" w:eastAsia="Arial" w:hAnsi="Arial"/>
                <w:sz w:val="8"/>
                <w:szCs w:val="8"/>
                <w:color w:val="auto"/>
              </w:rPr>
              <w:t>49,577,708</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75.94</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2030</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67</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1,039,896</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1,039,896</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11.5 %</w:t>
            </w:r>
          </w:p>
        </w:tc>
        <w:tc>
          <w:tcPr>
            <w:tcW w:w="1000" w:type="dxa"/>
            <w:vAlign w:val="bottom"/>
          </w:tcPr>
          <w:p>
            <w:pPr>
              <w:jc w:val="right"/>
              <w:ind w:right="261"/>
              <w:spacing w:after="0"/>
              <w:rPr>
                <w:sz w:val="20"/>
                <w:szCs w:val="20"/>
                <w:color w:val="auto"/>
              </w:rPr>
            </w:pPr>
            <w:r>
              <w:rPr>
                <w:rFonts w:ascii="Arial" w:cs="Arial" w:eastAsia="Arial" w:hAnsi="Arial"/>
                <w:sz w:val="8"/>
                <w:szCs w:val="8"/>
                <w:color w:val="auto"/>
              </w:rPr>
              <w:t>77,349,324</w:t>
            </w:r>
          </w:p>
        </w:tc>
        <w:tc>
          <w:tcPr>
            <w:tcW w:w="1120" w:type="dxa"/>
            <w:vAlign w:val="bottom"/>
          </w:tcPr>
          <w:p>
            <w:pPr>
              <w:jc w:val="right"/>
              <w:ind w:right="401"/>
              <w:spacing w:after="0"/>
              <w:rPr>
                <w:sz w:val="20"/>
                <w:szCs w:val="20"/>
                <w:color w:val="auto"/>
              </w:rPr>
            </w:pPr>
            <w:r>
              <w:rPr>
                <w:rFonts w:ascii="Arial" w:cs="Arial" w:eastAsia="Arial" w:hAnsi="Arial"/>
                <w:sz w:val="8"/>
                <w:szCs w:val="8"/>
                <w:color w:val="auto"/>
              </w:rPr>
              <w:t>77,349,324</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74.38</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2031</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49</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409,456</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409,456</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4.5 %</w:t>
            </w:r>
          </w:p>
        </w:tc>
        <w:tc>
          <w:tcPr>
            <w:tcW w:w="1000" w:type="dxa"/>
            <w:vAlign w:val="bottom"/>
          </w:tcPr>
          <w:p>
            <w:pPr>
              <w:jc w:val="right"/>
              <w:ind w:right="261"/>
              <w:spacing w:after="0"/>
              <w:rPr>
                <w:sz w:val="20"/>
                <w:szCs w:val="20"/>
                <w:color w:val="auto"/>
              </w:rPr>
            </w:pPr>
            <w:r>
              <w:rPr>
                <w:rFonts w:ascii="Arial" w:cs="Arial" w:eastAsia="Arial" w:hAnsi="Arial"/>
                <w:sz w:val="8"/>
                <w:szCs w:val="8"/>
                <w:color w:val="auto"/>
              </w:rPr>
              <w:t>34,937,199</w:t>
            </w:r>
          </w:p>
        </w:tc>
        <w:tc>
          <w:tcPr>
            <w:tcW w:w="1120" w:type="dxa"/>
            <w:vAlign w:val="bottom"/>
          </w:tcPr>
          <w:p>
            <w:pPr>
              <w:jc w:val="right"/>
              <w:ind w:right="401"/>
              <w:spacing w:after="0"/>
              <w:rPr>
                <w:sz w:val="20"/>
                <w:szCs w:val="20"/>
                <w:color w:val="auto"/>
              </w:rPr>
            </w:pPr>
            <w:r>
              <w:rPr>
                <w:rFonts w:ascii="Arial" w:cs="Arial" w:eastAsia="Arial" w:hAnsi="Arial"/>
                <w:sz w:val="8"/>
                <w:szCs w:val="8"/>
                <w:color w:val="auto"/>
              </w:rPr>
              <w:t>34,937,199</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85.33</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2032</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33</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832,969</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832,969</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9.2 %</w:t>
            </w:r>
          </w:p>
        </w:tc>
        <w:tc>
          <w:tcPr>
            <w:tcW w:w="1000" w:type="dxa"/>
            <w:vAlign w:val="bottom"/>
          </w:tcPr>
          <w:p>
            <w:pPr>
              <w:jc w:val="right"/>
              <w:ind w:right="261"/>
              <w:spacing w:after="0"/>
              <w:rPr>
                <w:sz w:val="20"/>
                <w:szCs w:val="20"/>
                <w:color w:val="auto"/>
              </w:rPr>
            </w:pPr>
            <w:r>
              <w:rPr>
                <w:rFonts w:ascii="Arial" w:cs="Arial" w:eastAsia="Arial" w:hAnsi="Arial"/>
                <w:sz w:val="8"/>
                <w:szCs w:val="8"/>
                <w:color w:val="auto"/>
              </w:rPr>
              <w:t>55,447,611</w:t>
            </w:r>
          </w:p>
        </w:tc>
        <w:tc>
          <w:tcPr>
            <w:tcW w:w="1120" w:type="dxa"/>
            <w:vAlign w:val="bottom"/>
          </w:tcPr>
          <w:p>
            <w:pPr>
              <w:jc w:val="right"/>
              <w:ind w:right="401"/>
              <w:spacing w:after="0"/>
              <w:rPr>
                <w:sz w:val="20"/>
                <w:szCs w:val="20"/>
                <w:color w:val="auto"/>
              </w:rPr>
            </w:pPr>
            <w:r>
              <w:rPr>
                <w:rFonts w:ascii="Arial" w:cs="Arial" w:eastAsia="Arial" w:hAnsi="Arial"/>
                <w:sz w:val="8"/>
                <w:szCs w:val="8"/>
                <w:color w:val="auto"/>
              </w:rPr>
              <w:t>55,447,611</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66.57</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2033</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34</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515,479</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515,479</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5.7 %</w:t>
            </w:r>
          </w:p>
        </w:tc>
        <w:tc>
          <w:tcPr>
            <w:tcW w:w="1000" w:type="dxa"/>
            <w:vAlign w:val="bottom"/>
          </w:tcPr>
          <w:p>
            <w:pPr>
              <w:jc w:val="right"/>
              <w:ind w:right="261"/>
              <w:spacing w:after="0"/>
              <w:rPr>
                <w:sz w:val="20"/>
                <w:szCs w:val="20"/>
                <w:color w:val="auto"/>
              </w:rPr>
            </w:pPr>
            <w:r>
              <w:rPr>
                <w:rFonts w:ascii="Arial" w:cs="Arial" w:eastAsia="Arial" w:hAnsi="Arial"/>
                <w:sz w:val="8"/>
                <w:szCs w:val="8"/>
                <w:color w:val="auto"/>
              </w:rPr>
              <w:t>45,129,206</w:t>
            </w:r>
          </w:p>
        </w:tc>
        <w:tc>
          <w:tcPr>
            <w:tcW w:w="1120" w:type="dxa"/>
            <w:vAlign w:val="bottom"/>
          </w:tcPr>
          <w:p>
            <w:pPr>
              <w:jc w:val="right"/>
              <w:ind w:right="401"/>
              <w:spacing w:after="0"/>
              <w:rPr>
                <w:sz w:val="20"/>
                <w:szCs w:val="20"/>
                <w:color w:val="auto"/>
              </w:rPr>
            </w:pPr>
            <w:r>
              <w:rPr>
                <w:rFonts w:ascii="Arial" w:cs="Arial" w:eastAsia="Arial" w:hAnsi="Arial"/>
                <w:sz w:val="8"/>
                <w:szCs w:val="8"/>
                <w:color w:val="auto"/>
              </w:rPr>
              <w:t>45,129,206</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87.55</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2034</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39</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1,418,867</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1,418,867</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15.7 %</w:t>
            </w:r>
          </w:p>
        </w:tc>
        <w:tc>
          <w:tcPr>
            <w:tcW w:w="1000" w:type="dxa"/>
            <w:vAlign w:val="bottom"/>
          </w:tcPr>
          <w:p>
            <w:pPr>
              <w:jc w:val="right"/>
              <w:ind w:right="261"/>
              <w:spacing w:after="0"/>
              <w:rPr>
                <w:sz w:val="20"/>
                <w:szCs w:val="20"/>
                <w:color w:val="auto"/>
              </w:rPr>
            </w:pPr>
            <w:r>
              <w:rPr>
                <w:rFonts w:ascii="Arial" w:cs="Arial" w:eastAsia="Arial" w:hAnsi="Arial"/>
                <w:sz w:val="8"/>
                <w:szCs w:val="8"/>
                <w:color w:val="auto"/>
              </w:rPr>
              <w:t>90,519,611</w:t>
            </w:r>
          </w:p>
        </w:tc>
        <w:tc>
          <w:tcPr>
            <w:tcW w:w="1120" w:type="dxa"/>
            <w:vAlign w:val="bottom"/>
          </w:tcPr>
          <w:p>
            <w:pPr>
              <w:jc w:val="right"/>
              <w:ind w:right="401"/>
              <w:spacing w:after="0"/>
              <w:rPr>
                <w:sz w:val="20"/>
                <w:szCs w:val="20"/>
                <w:color w:val="auto"/>
              </w:rPr>
            </w:pPr>
            <w:r>
              <w:rPr>
                <w:rFonts w:ascii="Arial" w:cs="Arial" w:eastAsia="Arial" w:hAnsi="Arial"/>
                <w:sz w:val="8"/>
                <w:szCs w:val="8"/>
                <w:color w:val="auto"/>
              </w:rPr>
              <w:t>90,519,611</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63.80</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2035</w:t>
            </w:r>
          </w:p>
        </w:tc>
        <w:tc>
          <w:tcPr>
            <w:tcW w:w="1220" w:type="dxa"/>
            <w:vAlign w:val="bottom"/>
          </w:tcPr>
          <w:p>
            <w:pPr>
              <w:jc w:val="right"/>
              <w:ind w:right="261"/>
              <w:spacing w:after="0"/>
              <w:rPr>
                <w:sz w:val="20"/>
                <w:szCs w:val="20"/>
                <w:color w:val="auto"/>
              </w:rPr>
            </w:pPr>
            <w:r>
              <w:rPr>
                <w:rFonts w:ascii="Arial" w:cs="Arial" w:eastAsia="Arial" w:hAnsi="Arial"/>
                <w:sz w:val="8"/>
                <w:szCs w:val="8"/>
                <w:color w:val="auto"/>
              </w:rPr>
              <w:t>20</w:t>
            </w:r>
          </w:p>
        </w:tc>
        <w:tc>
          <w:tcPr>
            <w:tcW w:w="980" w:type="dxa"/>
            <w:vAlign w:val="bottom"/>
          </w:tcPr>
          <w:p>
            <w:pPr>
              <w:jc w:val="right"/>
              <w:ind w:right="281"/>
              <w:spacing w:after="0"/>
              <w:rPr>
                <w:sz w:val="20"/>
                <w:szCs w:val="20"/>
                <w:color w:val="auto"/>
              </w:rPr>
            </w:pPr>
            <w:r>
              <w:rPr>
                <w:rFonts w:ascii="Arial" w:cs="Arial" w:eastAsia="Arial" w:hAnsi="Arial"/>
                <w:sz w:val="8"/>
                <w:szCs w:val="8"/>
                <w:color w:val="auto"/>
              </w:rPr>
              <w:t>524,041</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524,041</w:t>
            </w:r>
          </w:p>
        </w:tc>
        <w:tc>
          <w:tcPr>
            <w:tcW w:w="940" w:type="dxa"/>
            <w:vAlign w:val="bottom"/>
          </w:tcPr>
          <w:p>
            <w:pPr>
              <w:jc w:val="right"/>
              <w:ind w:right="221"/>
              <w:spacing w:after="0"/>
              <w:rPr>
                <w:sz w:val="20"/>
                <w:szCs w:val="20"/>
                <w:color w:val="auto"/>
              </w:rPr>
            </w:pPr>
            <w:r>
              <w:rPr>
                <w:rFonts w:ascii="Arial" w:cs="Arial" w:eastAsia="Arial" w:hAnsi="Arial"/>
                <w:sz w:val="8"/>
                <w:szCs w:val="8"/>
                <w:color w:val="auto"/>
              </w:rPr>
              <w:t>6.0 %</w:t>
            </w:r>
          </w:p>
        </w:tc>
        <w:tc>
          <w:tcPr>
            <w:tcW w:w="1000" w:type="dxa"/>
            <w:vAlign w:val="bottom"/>
          </w:tcPr>
          <w:p>
            <w:pPr>
              <w:jc w:val="right"/>
              <w:ind w:right="261"/>
              <w:spacing w:after="0"/>
              <w:rPr>
                <w:sz w:val="20"/>
                <w:szCs w:val="20"/>
                <w:color w:val="auto"/>
              </w:rPr>
            </w:pPr>
            <w:r>
              <w:rPr>
                <w:rFonts w:ascii="Arial" w:cs="Arial" w:eastAsia="Arial" w:hAnsi="Arial"/>
                <w:sz w:val="8"/>
                <w:szCs w:val="8"/>
                <w:color w:val="auto"/>
              </w:rPr>
              <w:t>44,851,241</w:t>
            </w:r>
          </w:p>
        </w:tc>
        <w:tc>
          <w:tcPr>
            <w:tcW w:w="1120" w:type="dxa"/>
            <w:vAlign w:val="bottom"/>
          </w:tcPr>
          <w:p>
            <w:pPr>
              <w:jc w:val="right"/>
              <w:ind w:right="401"/>
              <w:spacing w:after="0"/>
              <w:rPr>
                <w:sz w:val="20"/>
                <w:szCs w:val="20"/>
                <w:color w:val="auto"/>
              </w:rPr>
            </w:pPr>
            <w:r>
              <w:rPr>
                <w:rFonts w:ascii="Arial" w:cs="Arial" w:eastAsia="Arial" w:hAnsi="Arial"/>
                <w:sz w:val="8"/>
                <w:szCs w:val="8"/>
                <w:color w:val="auto"/>
              </w:rPr>
              <w:t>44,851,241</w:t>
            </w:r>
          </w:p>
        </w:tc>
        <w:tc>
          <w:tcPr>
            <w:tcW w:w="700" w:type="dxa"/>
            <w:vAlign w:val="bottom"/>
          </w:tcPr>
          <w:p>
            <w:pPr>
              <w:jc w:val="right"/>
              <w:ind w:right="21"/>
              <w:spacing w:after="0"/>
              <w:rPr>
                <w:sz w:val="20"/>
                <w:szCs w:val="20"/>
                <w:color w:val="auto"/>
              </w:rPr>
            </w:pPr>
            <w:r>
              <w:rPr>
                <w:rFonts w:ascii="Arial" w:cs="Arial" w:eastAsia="Arial" w:hAnsi="Arial"/>
                <w:sz w:val="8"/>
                <w:szCs w:val="8"/>
                <w:color w:val="auto"/>
              </w:rPr>
              <w:t>85.59</w:t>
            </w:r>
          </w:p>
        </w:tc>
      </w:tr>
      <w:tr>
        <w:trPr>
          <w:trHeight w:val="128"/>
        </w:trPr>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8"/>
                <w:szCs w:val="8"/>
                <w:b w:val="1"/>
                <w:bCs w:val="1"/>
                <w:color w:val="auto"/>
              </w:rPr>
              <w:t>Thereafter</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8"/>
                <w:szCs w:val="8"/>
                <w:color w:val="auto"/>
              </w:rPr>
              <w:t>79</w:t>
            </w: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8"/>
                <w:szCs w:val="8"/>
                <w:color w:val="auto"/>
              </w:rPr>
              <w:t>1,353,185</w:t>
            </w: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8"/>
                <w:szCs w:val="8"/>
                <w:color w:val="auto"/>
              </w:rPr>
              <w:t>1,353,185</w:t>
            </w: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8"/>
                <w:szCs w:val="8"/>
                <w:color w:val="auto"/>
              </w:rPr>
              <w:t>15.0 %</w:t>
            </w: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8"/>
                <w:szCs w:val="8"/>
                <w:color w:val="auto"/>
              </w:rPr>
              <w:t>96,665,443</w:t>
            </w: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8"/>
                <w:szCs w:val="8"/>
                <w:color w:val="auto"/>
              </w:rPr>
              <w:t>96,665,442</w:t>
            </w: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71.44</w:t>
            </w:r>
          </w:p>
        </w:tc>
      </w:tr>
      <w:tr>
        <w:trPr>
          <w:trHeight w:val="103"/>
        </w:trPr>
        <w:tc>
          <w:tcPr>
            <w:tcW w:w="1100" w:type="dxa"/>
            <w:vAlign w:val="bottom"/>
          </w:tcPr>
          <w:p>
            <w:pPr>
              <w:jc w:val="right"/>
              <w:ind w:right="61"/>
              <w:spacing w:after="0"/>
              <w:rPr>
                <w:sz w:val="20"/>
                <w:szCs w:val="20"/>
                <w:color w:val="auto"/>
              </w:rPr>
            </w:pPr>
            <w:r>
              <w:rPr>
                <w:rFonts w:ascii="Arial" w:cs="Arial" w:eastAsia="Arial" w:hAnsi="Arial"/>
                <w:sz w:val="8"/>
                <w:szCs w:val="8"/>
                <w:b w:val="1"/>
                <w:bCs w:val="1"/>
                <w:color w:val="auto"/>
              </w:rPr>
              <w:t>Grand Total</w:t>
            </w:r>
          </w:p>
        </w:tc>
        <w:tc>
          <w:tcPr>
            <w:tcW w:w="1220" w:type="dxa"/>
            <w:vAlign w:val="bottom"/>
          </w:tcPr>
          <w:p>
            <w:pPr>
              <w:jc w:val="right"/>
              <w:ind w:right="261"/>
              <w:spacing w:after="0"/>
              <w:rPr>
                <w:sz w:val="20"/>
                <w:szCs w:val="20"/>
                <w:color w:val="auto"/>
              </w:rPr>
            </w:pPr>
            <w:r>
              <w:rPr>
                <w:rFonts w:ascii="Arial" w:cs="Arial" w:eastAsia="Arial" w:hAnsi="Arial"/>
                <w:sz w:val="8"/>
                <w:szCs w:val="8"/>
                <w:b w:val="1"/>
                <w:bCs w:val="1"/>
                <w:color w:val="auto"/>
              </w:rPr>
              <w:t>629</w:t>
            </w:r>
          </w:p>
        </w:tc>
        <w:tc>
          <w:tcPr>
            <w:tcW w:w="980" w:type="dxa"/>
            <w:vAlign w:val="bottom"/>
          </w:tcPr>
          <w:p>
            <w:pPr>
              <w:jc w:val="right"/>
              <w:ind w:right="281"/>
              <w:spacing w:after="0"/>
              <w:rPr>
                <w:sz w:val="20"/>
                <w:szCs w:val="20"/>
                <w:color w:val="auto"/>
              </w:rPr>
            </w:pPr>
            <w:r>
              <w:rPr>
                <w:rFonts w:ascii="Arial" w:cs="Arial" w:eastAsia="Arial" w:hAnsi="Arial"/>
                <w:sz w:val="8"/>
                <w:szCs w:val="8"/>
                <w:b w:val="1"/>
                <w:bCs w:val="1"/>
                <w:color w:val="auto"/>
              </w:rPr>
              <w:t>9,030,499</w:t>
            </w:r>
          </w:p>
        </w:tc>
        <w:tc>
          <w:tcPr>
            <w:tcW w:w="1040" w:type="dxa"/>
            <w:vAlign w:val="bottom"/>
          </w:tcPr>
          <w:p>
            <w:pPr>
              <w:jc w:val="right"/>
              <w:ind w:right="341"/>
              <w:spacing w:after="0"/>
              <w:rPr>
                <w:sz w:val="20"/>
                <w:szCs w:val="20"/>
                <w:color w:val="auto"/>
              </w:rPr>
            </w:pPr>
            <w:r>
              <w:rPr>
                <w:rFonts w:ascii="Arial" w:cs="Arial" w:eastAsia="Arial" w:hAnsi="Arial"/>
                <w:sz w:val="8"/>
                <w:szCs w:val="8"/>
                <w:b w:val="1"/>
                <w:bCs w:val="1"/>
                <w:color w:val="auto"/>
              </w:rPr>
              <w:t>9,030,499</w:t>
            </w:r>
          </w:p>
        </w:tc>
        <w:tc>
          <w:tcPr>
            <w:tcW w:w="940" w:type="dxa"/>
            <w:vAlign w:val="bottom"/>
          </w:tcPr>
          <w:p>
            <w:pPr>
              <w:jc w:val="right"/>
              <w:ind w:right="221"/>
              <w:spacing w:after="0"/>
              <w:rPr>
                <w:sz w:val="20"/>
                <w:szCs w:val="20"/>
                <w:color w:val="auto"/>
              </w:rPr>
            </w:pPr>
            <w:r>
              <w:rPr>
                <w:rFonts w:ascii="Arial" w:cs="Arial" w:eastAsia="Arial" w:hAnsi="Arial"/>
                <w:sz w:val="8"/>
                <w:szCs w:val="8"/>
                <w:b w:val="1"/>
                <w:bCs w:val="1"/>
                <w:color w:val="auto"/>
              </w:rPr>
              <w:t>100.0 %</w:t>
            </w:r>
          </w:p>
        </w:tc>
        <w:tc>
          <w:tcPr>
            <w:tcW w:w="1000" w:type="dxa"/>
            <w:vAlign w:val="bottom"/>
          </w:tcPr>
          <w:p>
            <w:pPr>
              <w:jc w:val="right"/>
              <w:ind w:right="221"/>
              <w:spacing w:after="0"/>
              <w:rPr>
                <w:sz w:val="20"/>
                <w:szCs w:val="20"/>
                <w:color w:val="auto"/>
              </w:rPr>
            </w:pPr>
            <w:r>
              <w:rPr>
                <w:rFonts w:ascii="Arial" w:cs="Arial" w:eastAsia="Arial" w:hAnsi="Arial"/>
                <w:sz w:val="8"/>
                <w:szCs w:val="8"/>
                <w:b w:val="1"/>
                <w:bCs w:val="1"/>
                <w:color w:val="auto"/>
              </w:rPr>
              <w:t>$663,519,246</w:t>
            </w:r>
          </w:p>
        </w:tc>
        <w:tc>
          <w:tcPr>
            <w:tcW w:w="1120" w:type="dxa"/>
            <w:vAlign w:val="bottom"/>
          </w:tcPr>
          <w:p>
            <w:pPr>
              <w:jc w:val="right"/>
              <w:ind w:right="361"/>
              <w:spacing w:after="0"/>
              <w:rPr>
                <w:sz w:val="20"/>
                <w:szCs w:val="20"/>
                <w:color w:val="auto"/>
              </w:rPr>
            </w:pPr>
            <w:r>
              <w:rPr>
                <w:rFonts w:ascii="Arial" w:cs="Arial" w:eastAsia="Arial" w:hAnsi="Arial"/>
                <w:sz w:val="8"/>
                <w:szCs w:val="8"/>
                <w:b w:val="1"/>
                <w:bCs w:val="1"/>
                <w:color w:val="auto"/>
              </w:rPr>
              <w:t>$663,519,245</w:t>
            </w:r>
          </w:p>
        </w:tc>
        <w:tc>
          <w:tcPr>
            <w:tcW w:w="700" w:type="dxa"/>
            <w:vAlign w:val="bottom"/>
          </w:tcPr>
          <w:p>
            <w:pPr>
              <w:jc w:val="right"/>
              <w:ind w:right="21"/>
              <w:spacing w:after="0"/>
              <w:rPr>
                <w:sz w:val="20"/>
                <w:szCs w:val="20"/>
                <w:color w:val="auto"/>
              </w:rPr>
            </w:pPr>
            <w:r>
              <w:rPr>
                <w:rFonts w:ascii="Arial" w:cs="Arial" w:eastAsia="Arial" w:hAnsi="Arial"/>
                <w:sz w:val="8"/>
                <w:szCs w:val="8"/>
                <w:b w:val="1"/>
                <w:bCs w:val="1"/>
                <w:color w:val="auto"/>
              </w:rPr>
              <w:t>$73.48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156845</wp:posOffset>
            </wp:positionV>
            <wp:extent cx="5146040" cy="1442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6040" cy="1442720"/>
                    </a:xfrm>
                    <a:prstGeom prst="rect">
                      <a:avLst/>
                    </a:prstGeom>
                    <a:noFill/>
                  </pic:spPr>
                </pic:pic>
              </a:graphicData>
            </a:graphic>
          </wp:anchor>
        </w:drawing>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Unconsolidated JV Properties</w:t>
      </w:r>
    </w:p>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101"/>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1st Quarter 2026 (3)</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2</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36,811</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18,476</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0.3 %</w:t>
            </w:r>
          </w:p>
        </w:tc>
        <w:tc>
          <w:tcPr>
            <w:tcW w:w="1020" w:type="dxa"/>
            <w:vAlign w:val="bottom"/>
          </w:tcPr>
          <w:p>
            <w:pPr>
              <w:jc w:val="right"/>
              <w:ind w:right="221"/>
              <w:spacing w:after="0"/>
              <w:rPr>
                <w:sz w:val="20"/>
                <w:szCs w:val="20"/>
                <w:color w:val="auto"/>
              </w:rPr>
            </w:pPr>
            <w:r>
              <w:rPr>
                <w:rFonts w:ascii="Arial" w:cs="Arial" w:eastAsia="Arial" w:hAnsi="Arial"/>
                <w:sz w:val="8"/>
                <w:szCs w:val="8"/>
                <w:color w:val="auto"/>
              </w:rPr>
              <w:t>$2,732,052</w:t>
            </w:r>
          </w:p>
        </w:tc>
        <w:tc>
          <w:tcPr>
            <w:tcW w:w="1100" w:type="dxa"/>
            <w:vAlign w:val="bottom"/>
          </w:tcPr>
          <w:p>
            <w:pPr>
              <w:jc w:val="right"/>
              <w:ind w:right="341"/>
              <w:spacing w:after="0"/>
              <w:rPr>
                <w:sz w:val="20"/>
                <w:szCs w:val="20"/>
                <w:color w:val="auto"/>
              </w:rPr>
            </w:pPr>
            <w:r>
              <w:rPr>
                <w:rFonts w:ascii="Arial" w:cs="Arial" w:eastAsia="Arial" w:hAnsi="Arial"/>
                <w:sz w:val="8"/>
                <w:szCs w:val="8"/>
                <w:color w:val="auto"/>
              </w:rPr>
              <w:t>$1,369,326</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$74.22</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2nd Quarter 2026</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3</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19,709</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9,898</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0.1 %</w:t>
            </w:r>
          </w:p>
        </w:tc>
        <w:tc>
          <w:tcPr>
            <w:tcW w:w="1020" w:type="dxa"/>
            <w:vAlign w:val="bottom"/>
          </w:tcPr>
          <w:p>
            <w:pPr>
              <w:jc w:val="right"/>
              <w:ind w:right="221"/>
              <w:spacing w:after="0"/>
              <w:rPr>
                <w:sz w:val="20"/>
                <w:szCs w:val="20"/>
                <w:color w:val="auto"/>
              </w:rPr>
            </w:pPr>
            <w:r>
              <w:rPr>
                <w:rFonts w:ascii="Arial" w:cs="Arial" w:eastAsia="Arial" w:hAnsi="Arial"/>
                <w:sz w:val="8"/>
                <w:szCs w:val="8"/>
                <w:color w:val="auto"/>
              </w:rPr>
              <w:t>1,864,022</w:t>
            </w:r>
          </w:p>
        </w:tc>
        <w:tc>
          <w:tcPr>
            <w:tcW w:w="1100" w:type="dxa"/>
            <w:vAlign w:val="bottom"/>
          </w:tcPr>
          <w:p>
            <w:pPr>
              <w:jc w:val="right"/>
              <w:ind w:right="341"/>
              <w:spacing w:after="0"/>
              <w:rPr>
                <w:sz w:val="20"/>
                <w:szCs w:val="20"/>
                <w:color w:val="auto"/>
              </w:rPr>
            </w:pPr>
            <w:r>
              <w:rPr>
                <w:rFonts w:ascii="Arial" w:cs="Arial" w:eastAsia="Arial" w:hAnsi="Arial"/>
                <w:sz w:val="8"/>
                <w:szCs w:val="8"/>
                <w:color w:val="auto"/>
              </w:rPr>
              <w:t>935,413</w:t>
            </w:r>
          </w:p>
        </w:tc>
        <w:tc>
          <w:tcPr>
            <w:tcW w:w="720" w:type="dxa"/>
            <w:vAlign w:val="bottom"/>
          </w:tcPr>
          <w:p>
            <w:pPr>
              <w:jc w:val="right"/>
              <w:spacing w:after="0"/>
              <w:rPr>
                <w:sz w:val="20"/>
                <w:szCs w:val="20"/>
                <w:color w:val="auto"/>
              </w:rPr>
            </w:pPr>
            <w:r>
              <w:rPr>
                <w:rFonts w:ascii="Arial" w:cs="Arial" w:eastAsia="Arial" w:hAnsi="Arial"/>
                <w:sz w:val="8"/>
                <w:szCs w:val="8"/>
                <w:color w:val="auto"/>
              </w:rPr>
              <w:t>94.58</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3rd Quarter 2026</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3</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21,351</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11,077</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0.2 %</w:t>
            </w:r>
          </w:p>
        </w:tc>
        <w:tc>
          <w:tcPr>
            <w:tcW w:w="1020" w:type="dxa"/>
            <w:vAlign w:val="bottom"/>
          </w:tcPr>
          <w:p>
            <w:pPr>
              <w:jc w:val="right"/>
              <w:ind w:right="261"/>
              <w:spacing w:after="0"/>
              <w:rPr>
                <w:sz w:val="20"/>
                <w:szCs w:val="20"/>
                <w:color w:val="auto"/>
              </w:rPr>
            </w:pPr>
            <w:r>
              <w:rPr>
                <w:rFonts w:ascii="Arial" w:cs="Arial" w:eastAsia="Arial" w:hAnsi="Arial"/>
                <w:sz w:val="8"/>
                <w:szCs w:val="8"/>
                <w:color w:val="auto"/>
              </w:rPr>
              <w:t>3,258,057</w:t>
            </w:r>
          </w:p>
        </w:tc>
        <w:tc>
          <w:tcPr>
            <w:tcW w:w="1100" w:type="dxa"/>
            <w:vAlign w:val="bottom"/>
          </w:tcPr>
          <w:p>
            <w:pPr>
              <w:jc w:val="right"/>
              <w:ind w:right="381"/>
              <w:spacing w:after="0"/>
              <w:rPr>
                <w:sz w:val="20"/>
                <w:szCs w:val="20"/>
                <w:color w:val="auto"/>
              </w:rPr>
            </w:pPr>
            <w:r>
              <w:rPr>
                <w:rFonts w:ascii="Arial" w:cs="Arial" w:eastAsia="Arial" w:hAnsi="Arial"/>
                <w:sz w:val="8"/>
                <w:szCs w:val="8"/>
                <w:color w:val="auto"/>
              </w:rPr>
              <w:t>1,728,395</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152.60</w:t>
            </w:r>
          </w:p>
        </w:tc>
      </w:tr>
      <w:tr>
        <w:trPr>
          <w:trHeight w:val="126"/>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4th Quarter 2026</w:t>
            </w: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8"/>
                <w:szCs w:val="8"/>
                <w:color w:val="auto"/>
              </w:rPr>
              <w:t>7</w:t>
            </w: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8"/>
                <w:szCs w:val="8"/>
                <w:color w:val="auto"/>
              </w:rPr>
              <w:t>71,121</w:t>
            </w: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8"/>
                <w:szCs w:val="8"/>
                <w:color w:val="auto"/>
              </w:rPr>
              <w:t>35,836</w:t>
            </w: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8"/>
                <w:szCs w:val="8"/>
                <w:color w:val="auto"/>
              </w:rPr>
              <w:t>0.5 %</w:t>
            </w:r>
          </w:p>
        </w:tc>
        <w:tc>
          <w:tcPr>
            <w:tcW w:w="1020" w:type="dxa"/>
            <w:vAlign w:val="bottom"/>
            <w:tcBorders>
              <w:bottom w:val="single" w:sz="8" w:color="auto"/>
            </w:tcBorders>
          </w:tcPr>
          <w:p>
            <w:pPr>
              <w:jc w:val="right"/>
              <w:ind w:right="221"/>
              <w:spacing w:after="0"/>
              <w:rPr>
                <w:sz w:val="20"/>
                <w:szCs w:val="20"/>
                <w:color w:val="auto"/>
              </w:rPr>
            </w:pPr>
            <w:r>
              <w:rPr>
                <w:rFonts w:ascii="Arial" w:cs="Arial" w:eastAsia="Arial" w:hAnsi="Arial"/>
                <w:sz w:val="8"/>
                <w:szCs w:val="8"/>
                <w:color w:val="auto"/>
              </w:rPr>
              <w:t>6,944,216</w:t>
            </w: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8"/>
                <w:szCs w:val="8"/>
                <w:color w:val="auto"/>
              </w:rPr>
              <w:t>3,495,094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97.64</w:t>
            </w:r>
          </w:p>
        </w:tc>
      </w:tr>
      <w:tr>
        <w:trPr>
          <w:trHeight w:val="134"/>
        </w:trPr>
        <w:tc>
          <w:tcPr>
            <w:tcW w:w="1100" w:type="dxa"/>
            <w:vAlign w:val="bottom"/>
          </w:tcPr>
          <w:p>
            <w:pPr>
              <w:jc w:val="right"/>
              <w:ind w:right="61"/>
              <w:spacing w:after="0"/>
              <w:rPr>
                <w:sz w:val="20"/>
                <w:szCs w:val="20"/>
                <w:color w:val="auto"/>
              </w:rPr>
            </w:pPr>
            <w:r>
              <w:rPr>
                <w:rFonts w:ascii="Arial" w:cs="Arial" w:eastAsia="Arial" w:hAnsi="Arial"/>
                <w:sz w:val="8"/>
                <w:szCs w:val="8"/>
                <w:b w:val="1"/>
                <w:bCs w:val="1"/>
                <w:color w:val="auto"/>
              </w:rPr>
              <w:t>Total 2026</w:t>
            </w:r>
          </w:p>
        </w:tc>
        <w:tc>
          <w:tcPr>
            <w:tcW w:w="1200" w:type="dxa"/>
            <w:vAlign w:val="bottom"/>
          </w:tcPr>
          <w:p>
            <w:pPr>
              <w:jc w:val="right"/>
              <w:ind w:right="241"/>
              <w:spacing w:after="0"/>
              <w:rPr>
                <w:sz w:val="20"/>
                <w:szCs w:val="20"/>
                <w:color w:val="auto"/>
              </w:rPr>
            </w:pPr>
            <w:r>
              <w:rPr>
                <w:rFonts w:ascii="Arial" w:cs="Arial" w:eastAsia="Arial" w:hAnsi="Arial"/>
                <w:sz w:val="8"/>
                <w:szCs w:val="8"/>
                <w:b w:val="1"/>
                <w:bCs w:val="1"/>
                <w:color w:val="auto"/>
              </w:rPr>
              <w:t>15</w:t>
            </w:r>
          </w:p>
        </w:tc>
        <w:tc>
          <w:tcPr>
            <w:tcW w:w="1000" w:type="dxa"/>
            <w:vAlign w:val="bottom"/>
          </w:tcPr>
          <w:p>
            <w:pPr>
              <w:jc w:val="right"/>
              <w:ind w:right="281"/>
              <w:spacing w:after="0"/>
              <w:rPr>
                <w:sz w:val="20"/>
                <w:szCs w:val="20"/>
                <w:color w:val="auto"/>
              </w:rPr>
            </w:pPr>
            <w:r>
              <w:rPr>
                <w:rFonts w:ascii="Arial" w:cs="Arial" w:eastAsia="Arial" w:hAnsi="Arial"/>
                <w:sz w:val="8"/>
                <w:szCs w:val="8"/>
                <w:b w:val="1"/>
                <w:bCs w:val="1"/>
                <w:color w:val="auto"/>
              </w:rPr>
              <w:t>148,992</w:t>
            </w:r>
          </w:p>
        </w:tc>
        <w:tc>
          <w:tcPr>
            <w:tcW w:w="1040" w:type="dxa"/>
            <w:vAlign w:val="bottom"/>
          </w:tcPr>
          <w:p>
            <w:pPr>
              <w:jc w:val="right"/>
              <w:ind w:right="341"/>
              <w:spacing w:after="0"/>
              <w:rPr>
                <w:sz w:val="20"/>
                <w:szCs w:val="20"/>
                <w:color w:val="auto"/>
              </w:rPr>
            </w:pPr>
            <w:r>
              <w:rPr>
                <w:rFonts w:ascii="Arial" w:cs="Arial" w:eastAsia="Arial" w:hAnsi="Arial"/>
                <w:sz w:val="8"/>
                <w:szCs w:val="8"/>
                <w:b w:val="1"/>
                <w:bCs w:val="1"/>
                <w:color w:val="auto"/>
              </w:rPr>
              <w:t>75,287</w:t>
            </w:r>
          </w:p>
        </w:tc>
        <w:tc>
          <w:tcPr>
            <w:tcW w:w="920" w:type="dxa"/>
            <w:vAlign w:val="bottom"/>
          </w:tcPr>
          <w:p>
            <w:pPr>
              <w:jc w:val="right"/>
              <w:ind w:right="201"/>
              <w:spacing w:after="0"/>
              <w:rPr>
                <w:sz w:val="20"/>
                <w:szCs w:val="20"/>
                <w:color w:val="auto"/>
              </w:rPr>
            </w:pPr>
            <w:r>
              <w:rPr>
                <w:rFonts w:ascii="Arial" w:cs="Arial" w:eastAsia="Arial" w:hAnsi="Arial"/>
                <w:sz w:val="8"/>
                <w:szCs w:val="8"/>
                <w:b w:val="1"/>
                <w:bCs w:val="1"/>
                <w:color w:val="auto"/>
              </w:rPr>
              <w:t>1.1 %</w:t>
            </w:r>
          </w:p>
        </w:tc>
        <w:tc>
          <w:tcPr>
            <w:tcW w:w="1020" w:type="dxa"/>
            <w:vAlign w:val="bottom"/>
          </w:tcPr>
          <w:p>
            <w:pPr>
              <w:jc w:val="right"/>
              <w:ind w:right="221"/>
              <w:spacing w:after="0"/>
              <w:rPr>
                <w:sz w:val="20"/>
                <w:szCs w:val="20"/>
                <w:color w:val="auto"/>
              </w:rPr>
            </w:pPr>
            <w:r>
              <w:rPr>
                <w:rFonts w:ascii="Arial" w:cs="Arial" w:eastAsia="Arial" w:hAnsi="Arial"/>
                <w:sz w:val="8"/>
                <w:szCs w:val="8"/>
                <w:b w:val="1"/>
                <w:bCs w:val="1"/>
                <w:color w:val="auto"/>
              </w:rPr>
              <w:t>$14,798,347</w:t>
            </w:r>
          </w:p>
        </w:tc>
        <w:tc>
          <w:tcPr>
            <w:tcW w:w="1100" w:type="dxa"/>
            <w:vAlign w:val="bottom"/>
          </w:tcPr>
          <w:p>
            <w:pPr>
              <w:jc w:val="right"/>
              <w:ind w:right="341"/>
              <w:spacing w:after="0"/>
              <w:rPr>
                <w:sz w:val="20"/>
                <w:szCs w:val="20"/>
                <w:color w:val="auto"/>
              </w:rPr>
            </w:pPr>
            <w:r>
              <w:rPr>
                <w:rFonts w:ascii="Arial" w:cs="Arial" w:eastAsia="Arial" w:hAnsi="Arial"/>
                <w:sz w:val="8"/>
                <w:szCs w:val="8"/>
                <w:b w:val="1"/>
                <w:bCs w:val="1"/>
                <w:color w:val="auto"/>
              </w:rPr>
              <w:t>$7,528,228</w:t>
            </w:r>
          </w:p>
        </w:tc>
        <w:tc>
          <w:tcPr>
            <w:tcW w:w="720" w:type="dxa"/>
            <w:vAlign w:val="bottom"/>
          </w:tcPr>
          <w:p>
            <w:pPr>
              <w:jc w:val="right"/>
              <w:ind w:right="21"/>
              <w:spacing w:after="0"/>
              <w:rPr>
                <w:sz w:val="20"/>
                <w:szCs w:val="20"/>
                <w:color w:val="auto"/>
              </w:rPr>
            </w:pPr>
            <w:r>
              <w:rPr>
                <w:rFonts w:ascii="Arial" w:cs="Arial" w:eastAsia="Arial" w:hAnsi="Arial"/>
                <w:sz w:val="8"/>
                <w:szCs w:val="8"/>
                <w:b w:val="1"/>
                <w:bCs w:val="1"/>
                <w:color w:val="auto"/>
              </w:rPr>
              <w:t>$99.32</w:t>
            </w:r>
          </w:p>
        </w:tc>
      </w:tr>
      <w:tr>
        <w:trPr>
          <w:trHeight w:val="236"/>
        </w:trPr>
        <w:tc>
          <w:tcPr>
            <w:tcW w:w="1100" w:type="dxa"/>
            <w:vAlign w:val="bottom"/>
          </w:tcPr>
          <w:p>
            <w:pPr>
              <w:jc w:val="right"/>
              <w:ind w:right="61"/>
              <w:spacing w:after="0"/>
              <w:rPr>
                <w:sz w:val="20"/>
                <w:szCs w:val="20"/>
                <w:color w:val="auto"/>
              </w:rPr>
            </w:pPr>
            <w:r>
              <w:rPr>
                <w:rFonts w:ascii="Arial" w:cs="Arial" w:eastAsia="Arial" w:hAnsi="Arial"/>
                <w:sz w:val="8"/>
                <w:szCs w:val="8"/>
                <w:b w:val="1"/>
                <w:bCs w:val="1"/>
                <w:color w:val="auto"/>
              </w:rPr>
              <w:t>2027</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19</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228,802</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105,564</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1.7 %</w:t>
            </w:r>
          </w:p>
        </w:tc>
        <w:tc>
          <w:tcPr>
            <w:tcW w:w="1020" w:type="dxa"/>
            <w:vAlign w:val="bottom"/>
          </w:tcPr>
          <w:p>
            <w:pPr>
              <w:jc w:val="right"/>
              <w:ind w:right="221"/>
              <w:spacing w:after="0"/>
              <w:rPr>
                <w:sz w:val="20"/>
                <w:szCs w:val="20"/>
                <w:color w:val="auto"/>
              </w:rPr>
            </w:pPr>
            <w:r>
              <w:rPr>
                <w:rFonts w:ascii="Arial" w:cs="Arial" w:eastAsia="Arial" w:hAnsi="Arial"/>
                <w:sz w:val="8"/>
                <w:szCs w:val="8"/>
                <w:color w:val="auto"/>
              </w:rPr>
              <w:t>$32,268,708</w:t>
            </w:r>
          </w:p>
        </w:tc>
        <w:tc>
          <w:tcPr>
            <w:tcW w:w="1100" w:type="dxa"/>
            <w:vAlign w:val="bottom"/>
          </w:tcPr>
          <w:p>
            <w:pPr>
              <w:jc w:val="right"/>
              <w:ind w:right="341"/>
              <w:spacing w:after="0"/>
              <w:rPr>
                <w:sz w:val="20"/>
                <w:szCs w:val="20"/>
                <w:color w:val="auto"/>
              </w:rPr>
            </w:pPr>
            <w:r>
              <w:rPr>
                <w:rFonts w:ascii="Arial" w:cs="Arial" w:eastAsia="Arial" w:hAnsi="Arial"/>
                <w:sz w:val="8"/>
                <w:szCs w:val="8"/>
                <w:color w:val="auto"/>
              </w:rPr>
              <w:t>$15,525,627</w:t>
            </w:r>
          </w:p>
        </w:tc>
        <w:tc>
          <w:tcPr>
            <w:tcW w:w="720" w:type="dxa"/>
            <w:vAlign w:val="bottom"/>
          </w:tcPr>
          <w:p>
            <w:pPr>
              <w:jc w:val="right"/>
              <w:spacing w:after="0"/>
              <w:rPr>
                <w:sz w:val="20"/>
                <w:szCs w:val="20"/>
                <w:color w:val="auto"/>
              </w:rPr>
            </w:pPr>
            <w:r>
              <w:rPr>
                <w:rFonts w:ascii="Arial" w:cs="Arial" w:eastAsia="Arial" w:hAnsi="Arial"/>
                <w:sz w:val="8"/>
                <w:szCs w:val="8"/>
                <w:color w:val="auto"/>
              </w:rPr>
              <w:t>$141.03</w:t>
            </w:r>
          </w:p>
        </w:tc>
      </w:tr>
      <w:tr>
        <w:trPr>
          <w:trHeight w:val="114"/>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2028</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24</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265,713</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131,808</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2.0 %</w:t>
            </w:r>
          </w:p>
        </w:tc>
        <w:tc>
          <w:tcPr>
            <w:tcW w:w="1020" w:type="dxa"/>
            <w:vAlign w:val="bottom"/>
          </w:tcPr>
          <w:p>
            <w:pPr>
              <w:jc w:val="right"/>
              <w:ind w:right="261"/>
              <w:spacing w:after="0"/>
              <w:rPr>
                <w:sz w:val="20"/>
                <w:szCs w:val="20"/>
                <w:color w:val="auto"/>
              </w:rPr>
            </w:pPr>
            <w:r>
              <w:rPr>
                <w:rFonts w:ascii="Arial" w:cs="Arial" w:eastAsia="Arial" w:hAnsi="Arial"/>
                <w:sz w:val="8"/>
                <w:szCs w:val="8"/>
                <w:color w:val="auto"/>
              </w:rPr>
              <w:t>36,377,019</w:t>
            </w:r>
          </w:p>
        </w:tc>
        <w:tc>
          <w:tcPr>
            <w:tcW w:w="1100" w:type="dxa"/>
            <w:vAlign w:val="bottom"/>
          </w:tcPr>
          <w:p>
            <w:pPr>
              <w:jc w:val="right"/>
              <w:ind w:right="381"/>
              <w:spacing w:after="0"/>
              <w:rPr>
                <w:sz w:val="20"/>
                <w:szCs w:val="20"/>
                <w:color w:val="auto"/>
              </w:rPr>
            </w:pPr>
            <w:r>
              <w:rPr>
                <w:rFonts w:ascii="Arial" w:cs="Arial" w:eastAsia="Arial" w:hAnsi="Arial"/>
                <w:sz w:val="8"/>
                <w:szCs w:val="8"/>
                <w:color w:val="auto"/>
              </w:rPr>
              <w:t>18,368,649</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136.90</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2029</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13</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126,372</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61,122</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0.9 %</w:t>
            </w:r>
          </w:p>
        </w:tc>
        <w:tc>
          <w:tcPr>
            <w:tcW w:w="1020" w:type="dxa"/>
            <w:vAlign w:val="bottom"/>
          </w:tcPr>
          <w:p>
            <w:pPr>
              <w:jc w:val="right"/>
              <w:ind w:right="261"/>
              <w:spacing w:after="0"/>
              <w:rPr>
                <w:sz w:val="20"/>
                <w:szCs w:val="20"/>
                <w:color w:val="auto"/>
              </w:rPr>
            </w:pPr>
            <w:r>
              <w:rPr>
                <w:rFonts w:ascii="Arial" w:cs="Arial" w:eastAsia="Arial" w:hAnsi="Arial"/>
                <w:sz w:val="8"/>
                <w:szCs w:val="8"/>
                <w:color w:val="auto"/>
              </w:rPr>
              <w:t>14,956,247</w:t>
            </w:r>
          </w:p>
        </w:tc>
        <w:tc>
          <w:tcPr>
            <w:tcW w:w="1100" w:type="dxa"/>
            <w:vAlign w:val="bottom"/>
          </w:tcPr>
          <w:p>
            <w:pPr>
              <w:jc w:val="right"/>
              <w:ind w:right="381"/>
              <w:spacing w:after="0"/>
              <w:rPr>
                <w:sz w:val="20"/>
                <w:szCs w:val="20"/>
                <w:color w:val="auto"/>
              </w:rPr>
            </w:pPr>
            <w:r>
              <w:rPr>
                <w:rFonts w:ascii="Arial" w:cs="Arial" w:eastAsia="Arial" w:hAnsi="Arial"/>
                <w:sz w:val="8"/>
                <w:szCs w:val="8"/>
                <w:color w:val="auto"/>
              </w:rPr>
              <w:t>6,954,891</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118.35</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2030</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15</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262,781</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139,499</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2.0 %</w:t>
            </w:r>
          </w:p>
        </w:tc>
        <w:tc>
          <w:tcPr>
            <w:tcW w:w="1020" w:type="dxa"/>
            <w:vAlign w:val="bottom"/>
          </w:tcPr>
          <w:p>
            <w:pPr>
              <w:jc w:val="right"/>
              <w:ind w:right="261"/>
              <w:spacing w:after="0"/>
              <w:rPr>
                <w:sz w:val="20"/>
                <w:szCs w:val="20"/>
                <w:color w:val="auto"/>
              </w:rPr>
            </w:pPr>
            <w:r>
              <w:rPr>
                <w:rFonts w:ascii="Arial" w:cs="Arial" w:eastAsia="Arial" w:hAnsi="Arial"/>
                <w:sz w:val="8"/>
                <w:szCs w:val="8"/>
                <w:color w:val="auto"/>
              </w:rPr>
              <w:t>35,344,982</w:t>
            </w:r>
          </w:p>
        </w:tc>
        <w:tc>
          <w:tcPr>
            <w:tcW w:w="1100" w:type="dxa"/>
            <w:vAlign w:val="bottom"/>
          </w:tcPr>
          <w:p>
            <w:pPr>
              <w:jc w:val="right"/>
              <w:ind w:right="381"/>
              <w:spacing w:after="0"/>
              <w:rPr>
                <w:sz w:val="20"/>
                <w:szCs w:val="20"/>
                <w:color w:val="auto"/>
              </w:rPr>
            </w:pPr>
            <w:r>
              <w:rPr>
                <w:rFonts w:ascii="Arial" w:cs="Arial" w:eastAsia="Arial" w:hAnsi="Arial"/>
                <w:sz w:val="8"/>
                <w:szCs w:val="8"/>
                <w:color w:val="auto"/>
              </w:rPr>
              <w:t>18,903,138</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134.50</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2031</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24</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2,708,326</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1,517,750</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20.2 %</w:t>
            </w:r>
          </w:p>
        </w:tc>
        <w:tc>
          <w:tcPr>
            <w:tcW w:w="1020" w:type="dxa"/>
            <w:vAlign w:val="bottom"/>
          </w:tcPr>
          <w:p>
            <w:pPr>
              <w:jc w:val="right"/>
              <w:ind w:right="261"/>
              <w:spacing w:after="0"/>
              <w:rPr>
                <w:sz w:val="20"/>
                <w:szCs w:val="20"/>
                <w:color w:val="auto"/>
              </w:rPr>
            </w:pPr>
            <w:r>
              <w:rPr>
                <w:rFonts w:ascii="Arial" w:cs="Arial" w:eastAsia="Arial" w:hAnsi="Arial"/>
                <w:sz w:val="8"/>
                <w:szCs w:val="8"/>
                <w:color w:val="auto"/>
              </w:rPr>
              <w:t>213,173,907</w:t>
            </w:r>
          </w:p>
        </w:tc>
        <w:tc>
          <w:tcPr>
            <w:tcW w:w="1100" w:type="dxa"/>
            <w:vAlign w:val="bottom"/>
          </w:tcPr>
          <w:p>
            <w:pPr>
              <w:jc w:val="right"/>
              <w:ind w:right="381"/>
              <w:spacing w:after="0"/>
              <w:rPr>
                <w:sz w:val="20"/>
                <w:szCs w:val="20"/>
                <w:color w:val="auto"/>
              </w:rPr>
            </w:pPr>
            <w:r>
              <w:rPr>
                <w:rFonts w:ascii="Arial" w:cs="Arial" w:eastAsia="Arial" w:hAnsi="Arial"/>
                <w:sz w:val="8"/>
                <w:szCs w:val="8"/>
                <w:color w:val="auto"/>
              </w:rPr>
              <w:t>118,931,173</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78.71</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2032</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14</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1,012,994</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509,831</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7.5 %</w:t>
            </w:r>
          </w:p>
        </w:tc>
        <w:tc>
          <w:tcPr>
            <w:tcW w:w="1020" w:type="dxa"/>
            <w:vAlign w:val="bottom"/>
          </w:tcPr>
          <w:p>
            <w:pPr>
              <w:jc w:val="right"/>
              <w:ind w:right="261"/>
              <w:spacing w:after="0"/>
              <w:rPr>
                <w:sz w:val="20"/>
                <w:szCs w:val="20"/>
                <w:color w:val="auto"/>
              </w:rPr>
            </w:pPr>
            <w:r>
              <w:rPr>
                <w:rFonts w:ascii="Arial" w:cs="Arial" w:eastAsia="Arial" w:hAnsi="Arial"/>
                <w:sz w:val="8"/>
                <w:szCs w:val="8"/>
                <w:color w:val="auto"/>
              </w:rPr>
              <w:t>93,263,152</w:t>
            </w:r>
          </w:p>
        </w:tc>
        <w:tc>
          <w:tcPr>
            <w:tcW w:w="1100" w:type="dxa"/>
            <w:vAlign w:val="bottom"/>
          </w:tcPr>
          <w:p>
            <w:pPr>
              <w:jc w:val="right"/>
              <w:ind w:right="381"/>
              <w:spacing w:after="0"/>
              <w:rPr>
                <w:sz w:val="20"/>
                <w:szCs w:val="20"/>
                <w:color w:val="auto"/>
              </w:rPr>
            </w:pPr>
            <w:r>
              <w:rPr>
                <w:rFonts w:ascii="Arial" w:cs="Arial" w:eastAsia="Arial" w:hAnsi="Arial"/>
                <w:sz w:val="8"/>
                <w:szCs w:val="8"/>
                <w:color w:val="auto"/>
              </w:rPr>
              <w:t>46,763,453</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92.07</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2033</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11</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267,630</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137,287</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2.0 %</w:t>
            </w:r>
          </w:p>
        </w:tc>
        <w:tc>
          <w:tcPr>
            <w:tcW w:w="1020" w:type="dxa"/>
            <w:vAlign w:val="bottom"/>
          </w:tcPr>
          <w:p>
            <w:pPr>
              <w:jc w:val="right"/>
              <w:ind w:right="261"/>
              <w:spacing w:after="0"/>
              <w:rPr>
                <w:sz w:val="20"/>
                <w:szCs w:val="20"/>
                <w:color w:val="auto"/>
              </w:rPr>
            </w:pPr>
            <w:r>
              <w:rPr>
                <w:rFonts w:ascii="Arial" w:cs="Arial" w:eastAsia="Arial" w:hAnsi="Arial"/>
                <w:sz w:val="8"/>
                <w:szCs w:val="8"/>
                <w:color w:val="auto"/>
              </w:rPr>
              <w:t>29,049,160</w:t>
            </w:r>
          </w:p>
        </w:tc>
        <w:tc>
          <w:tcPr>
            <w:tcW w:w="1100" w:type="dxa"/>
            <w:vAlign w:val="bottom"/>
          </w:tcPr>
          <w:p>
            <w:pPr>
              <w:jc w:val="right"/>
              <w:ind w:right="381"/>
              <w:spacing w:after="0"/>
              <w:rPr>
                <w:sz w:val="20"/>
                <w:szCs w:val="20"/>
                <w:color w:val="auto"/>
              </w:rPr>
            </w:pPr>
            <w:r>
              <w:rPr>
                <w:rFonts w:ascii="Arial" w:cs="Arial" w:eastAsia="Arial" w:hAnsi="Arial"/>
                <w:sz w:val="8"/>
                <w:szCs w:val="8"/>
                <w:color w:val="auto"/>
              </w:rPr>
              <w:t>15,129,267</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108.54</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2034</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7</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410,560</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201,596</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3.0 %</w:t>
            </w:r>
          </w:p>
        </w:tc>
        <w:tc>
          <w:tcPr>
            <w:tcW w:w="1020" w:type="dxa"/>
            <w:vAlign w:val="bottom"/>
          </w:tcPr>
          <w:p>
            <w:pPr>
              <w:jc w:val="right"/>
              <w:ind w:right="261"/>
              <w:spacing w:after="0"/>
              <w:rPr>
                <w:sz w:val="20"/>
                <w:szCs w:val="20"/>
                <w:color w:val="auto"/>
              </w:rPr>
            </w:pPr>
            <w:r>
              <w:rPr>
                <w:rFonts w:ascii="Arial" w:cs="Arial" w:eastAsia="Arial" w:hAnsi="Arial"/>
                <w:sz w:val="8"/>
                <w:szCs w:val="8"/>
                <w:color w:val="auto"/>
              </w:rPr>
              <w:t>41,691,627</w:t>
            </w:r>
          </w:p>
        </w:tc>
        <w:tc>
          <w:tcPr>
            <w:tcW w:w="1100" w:type="dxa"/>
            <w:vAlign w:val="bottom"/>
          </w:tcPr>
          <w:p>
            <w:pPr>
              <w:jc w:val="right"/>
              <w:ind w:right="381"/>
              <w:spacing w:after="0"/>
              <w:rPr>
                <w:sz w:val="20"/>
                <w:szCs w:val="20"/>
                <w:color w:val="auto"/>
              </w:rPr>
            </w:pPr>
            <w:r>
              <w:rPr>
                <w:rFonts w:ascii="Arial" w:cs="Arial" w:eastAsia="Arial" w:hAnsi="Arial"/>
                <w:sz w:val="8"/>
                <w:szCs w:val="8"/>
                <w:color w:val="auto"/>
              </w:rPr>
              <w:t>20,548,083</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101.55</w:t>
            </w:r>
          </w:p>
        </w:tc>
      </w:tr>
      <w:tr>
        <w:trPr>
          <w:trHeight w:val="118"/>
        </w:trPr>
        <w:tc>
          <w:tcPr>
            <w:tcW w:w="1100" w:type="dxa"/>
            <w:vAlign w:val="bottom"/>
          </w:tcPr>
          <w:p>
            <w:pPr>
              <w:jc w:val="right"/>
              <w:ind w:right="61"/>
              <w:spacing w:after="0"/>
              <w:rPr>
                <w:sz w:val="20"/>
                <w:szCs w:val="20"/>
                <w:color w:val="auto"/>
              </w:rPr>
            </w:pPr>
            <w:r>
              <w:rPr>
                <w:rFonts w:ascii="Arial" w:cs="Arial" w:eastAsia="Arial" w:hAnsi="Arial"/>
                <w:sz w:val="8"/>
                <w:szCs w:val="8"/>
                <w:color w:val="auto"/>
              </w:rPr>
              <w:t>2035</w:t>
            </w:r>
          </w:p>
        </w:tc>
        <w:tc>
          <w:tcPr>
            <w:tcW w:w="1200" w:type="dxa"/>
            <w:vAlign w:val="bottom"/>
          </w:tcPr>
          <w:p>
            <w:pPr>
              <w:jc w:val="right"/>
              <w:ind w:right="241"/>
              <w:spacing w:after="0"/>
              <w:rPr>
                <w:sz w:val="20"/>
                <w:szCs w:val="20"/>
                <w:color w:val="auto"/>
              </w:rPr>
            </w:pPr>
            <w:r>
              <w:rPr>
                <w:rFonts w:ascii="Arial" w:cs="Arial" w:eastAsia="Arial" w:hAnsi="Arial"/>
                <w:sz w:val="8"/>
                <w:szCs w:val="8"/>
                <w:color w:val="auto"/>
              </w:rPr>
              <w:t>7</w:t>
            </w:r>
          </w:p>
        </w:tc>
        <w:tc>
          <w:tcPr>
            <w:tcW w:w="1000" w:type="dxa"/>
            <w:vAlign w:val="bottom"/>
          </w:tcPr>
          <w:p>
            <w:pPr>
              <w:jc w:val="right"/>
              <w:ind w:right="281"/>
              <w:spacing w:after="0"/>
              <w:rPr>
                <w:sz w:val="20"/>
                <w:szCs w:val="20"/>
                <w:color w:val="auto"/>
              </w:rPr>
            </w:pPr>
            <w:r>
              <w:rPr>
                <w:rFonts w:ascii="Arial" w:cs="Arial" w:eastAsia="Arial" w:hAnsi="Arial"/>
                <w:sz w:val="8"/>
                <w:szCs w:val="8"/>
                <w:color w:val="auto"/>
              </w:rPr>
              <w:t>370,189</w:t>
            </w:r>
          </w:p>
        </w:tc>
        <w:tc>
          <w:tcPr>
            <w:tcW w:w="1040" w:type="dxa"/>
            <w:vAlign w:val="bottom"/>
          </w:tcPr>
          <w:p>
            <w:pPr>
              <w:jc w:val="right"/>
              <w:ind w:right="341"/>
              <w:spacing w:after="0"/>
              <w:rPr>
                <w:sz w:val="20"/>
                <w:szCs w:val="20"/>
                <w:color w:val="auto"/>
              </w:rPr>
            </w:pPr>
            <w:r>
              <w:rPr>
                <w:rFonts w:ascii="Arial" w:cs="Arial" w:eastAsia="Arial" w:hAnsi="Arial"/>
                <w:sz w:val="8"/>
                <w:szCs w:val="8"/>
                <w:color w:val="auto"/>
              </w:rPr>
              <w:t>162,145</w:t>
            </w:r>
          </w:p>
        </w:tc>
        <w:tc>
          <w:tcPr>
            <w:tcW w:w="920" w:type="dxa"/>
            <w:vAlign w:val="bottom"/>
          </w:tcPr>
          <w:p>
            <w:pPr>
              <w:jc w:val="right"/>
              <w:ind w:right="201"/>
              <w:spacing w:after="0"/>
              <w:rPr>
                <w:sz w:val="20"/>
                <w:szCs w:val="20"/>
                <w:color w:val="auto"/>
              </w:rPr>
            </w:pPr>
            <w:r>
              <w:rPr>
                <w:rFonts w:ascii="Arial" w:cs="Arial" w:eastAsia="Arial" w:hAnsi="Arial"/>
                <w:sz w:val="8"/>
                <w:szCs w:val="8"/>
                <w:color w:val="auto"/>
              </w:rPr>
              <w:t>2.8 %</w:t>
            </w:r>
          </w:p>
        </w:tc>
        <w:tc>
          <w:tcPr>
            <w:tcW w:w="1020" w:type="dxa"/>
            <w:vAlign w:val="bottom"/>
          </w:tcPr>
          <w:p>
            <w:pPr>
              <w:jc w:val="right"/>
              <w:ind w:right="261"/>
              <w:spacing w:after="0"/>
              <w:rPr>
                <w:sz w:val="20"/>
                <w:szCs w:val="20"/>
                <w:color w:val="auto"/>
              </w:rPr>
            </w:pPr>
            <w:r>
              <w:rPr>
                <w:rFonts w:ascii="Arial" w:cs="Arial" w:eastAsia="Arial" w:hAnsi="Arial"/>
                <w:sz w:val="8"/>
                <w:szCs w:val="8"/>
                <w:color w:val="auto"/>
              </w:rPr>
              <w:t>39,596,597</w:t>
            </w:r>
          </w:p>
        </w:tc>
        <w:tc>
          <w:tcPr>
            <w:tcW w:w="1100" w:type="dxa"/>
            <w:vAlign w:val="bottom"/>
          </w:tcPr>
          <w:p>
            <w:pPr>
              <w:jc w:val="right"/>
              <w:ind w:right="381"/>
              <w:spacing w:after="0"/>
              <w:rPr>
                <w:sz w:val="20"/>
                <w:szCs w:val="20"/>
                <w:color w:val="auto"/>
              </w:rPr>
            </w:pPr>
            <w:r>
              <w:rPr>
                <w:rFonts w:ascii="Arial" w:cs="Arial" w:eastAsia="Arial" w:hAnsi="Arial"/>
                <w:sz w:val="8"/>
                <w:szCs w:val="8"/>
                <w:color w:val="auto"/>
              </w:rPr>
              <w:t>15,699,203</w:t>
            </w:r>
          </w:p>
        </w:tc>
        <w:tc>
          <w:tcPr>
            <w:tcW w:w="720" w:type="dxa"/>
            <w:vAlign w:val="bottom"/>
          </w:tcPr>
          <w:p>
            <w:pPr>
              <w:jc w:val="right"/>
              <w:ind w:right="21"/>
              <w:spacing w:after="0"/>
              <w:rPr>
                <w:sz w:val="20"/>
                <w:szCs w:val="20"/>
                <w:color w:val="auto"/>
              </w:rPr>
            </w:pPr>
            <w:r>
              <w:rPr>
                <w:rFonts w:ascii="Arial" w:cs="Arial" w:eastAsia="Arial" w:hAnsi="Arial"/>
                <w:sz w:val="8"/>
                <w:szCs w:val="8"/>
                <w:color w:val="auto"/>
              </w:rPr>
              <w:t>106.96</w:t>
            </w:r>
          </w:p>
        </w:tc>
      </w:tr>
      <w:tr>
        <w:trPr>
          <w:trHeight w:val="128"/>
        </w:trPr>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8"/>
                <w:szCs w:val="8"/>
                <w:b w:val="1"/>
                <w:bCs w:val="1"/>
                <w:color w:val="auto"/>
              </w:rPr>
              <w:t>Thereafter</w:t>
            </w: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8"/>
                <w:szCs w:val="8"/>
                <w:color w:val="auto"/>
              </w:rPr>
              <w:t>92</w:t>
            </w: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8"/>
                <w:szCs w:val="8"/>
                <w:color w:val="auto"/>
              </w:rPr>
              <w:t>7,634,438</w:t>
            </w: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8"/>
                <w:szCs w:val="8"/>
                <w:color w:val="auto"/>
              </w:rPr>
              <w:t>3,781,308</w:t>
            </w: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8"/>
                <w:szCs w:val="8"/>
                <w:color w:val="auto"/>
              </w:rPr>
              <w:t>56.8 %</w:t>
            </w: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8"/>
                <w:szCs w:val="8"/>
                <w:color w:val="auto"/>
              </w:rPr>
              <w:t>794,264,197</w:t>
            </w: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8"/>
                <w:szCs w:val="8"/>
                <w:color w:val="auto"/>
              </w:rPr>
              <w:t>389,202,830</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color w:val="auto"/>
              </w:rPr>
              <w:t>104.04</w:t>
            </w:r>
          </w:p>
        </w:tc>
      </w:tr>
      <w:tr>
        <w:trPr>
          <w:trHeight w:val="103"/>
        </w:trPr>
        <w:tc>
          <w:tcPr>
            <w:tcW w:w="1100" w:type="dxa"/>
            <w:vAlign w:val="bottom"/>
          </w:tcPr>
          <w:p>
            <w:pPr>
              <w:jc w:val="right"/>
              <w:ind w:right="61"/>
              <w:spacing w:after="0"/>
              <w:rPr>
                <w:sz w:val="20"/>
                <w:szCs w:val="20"/>
                <w:color w:val="auto"/>
              </w:rPr>
            </w:pPr>
            <w:r>
              <w:rPr>
                <w:rFonts w:ascii="Arial" w:cs="Arial" w:eastAsia="Arial" w:hAnsi="Arial"/>
                <w:sz w:val="8"/>
                <w:szCs w:val="8"/>
                <w:b w:val="1"/>
                <w:bCs w:val="1"/>
                <w:color w:val="auto"/>
              </w:rPr>
              <w:t>Grand Total</w:t>
            </w:r>
          </w:p>
        </w:tc>
        <w:tc>
          <w:tcPr>
            <w:tcW w:w="1200" w:type="dxa"/>
            <w:vAlign w:val="bottom"/>
          </w:tcPr>
          <w:p>
            <w:pPr>
              <w:jc w:val="right"/>
              <w:ind w:right="241"/>
              <w:spacing w:after="0"/>
              <w:rPr>
                <w:sz w:val="20"/>
                <w:szCs w:val="20"/>
                <w:color w:val="auto"/>
              </w:rPr>
            </w:pPr>
            <w:r>
              <w:rPr>
                <w:rFonts w:ascii="Arial" w:cs="Arial" w:eastAsia="Arial" w:hAnsi="Arial"/>
                <w:sz w:val="8"/>
                <w:szCs w:val="8"/>
                <w:b w:val="1"/>
                <w:bCs w:val="1"/>
                <w:color w:val="auto"/>
              </w:rPr>
              <w:t>241</w:t>
            </w:r>
          </w:p>
        </w:tc>
        <w:tc>
          <w:tcPr>
            <w:tcW w:w="1000" w:type="dxa"/>
            <w:vAlign w:val="bottom"/>
          </w:tcPr>
          <w:p>
            <w:pPr>
              <w:jc w:val="right"/>
              <w:ind w:right="281"/>
              <w:spacing w:after="0"/>
              <w:rPr>
                <w:sz w:val="20"/>
                <w:szCs w:val="20"/>
                <w:color w:val="auto"/>
              </w:rPr>
            </w:pPr>
            <w:r>
              <w:rPr>
                <w:rFonts w:ascii="Arial" w:cs="Arial" w:eastAsia="Arial" w:hAnsi="Arial"/>
                <w:sz w:val="8"/>
                <w:szCs w:val="8"/>
                <w:b w:val="1"/>
                <w:bCs w:val="1"/>
                <w:color w:val="auto"/>
              </w:rPr>
              <w:t>13,436,797</w:t>
            </w:r>
          </w:p>
        </w:tc>
        <w:tc>
          <w:tcPr>
            <w:tcW w:w="1040" w:type="dxa"/>
            <w:vAlign w:val="bottom"/>
          </w:tcPr>
          <w:p>
            <w:pPr>
              <w:jc w:val="right"/>
              <w:ind w:right="341"/>
              <w:spacing w:after="0"/>
              <w:rPr>
                <w:sz w:val="20"/>
                <w:szCs w:val="20"/>
                <w:color w:val="auto"/>
              </w:rPr>
            </w:pPr>
            <w:r>
              <w:rPr>
                <w:rFonts w:ascii="Arial" w:cs="Arial" w:eastAsia="Arial" w:hAnsi="Arial"/>
                <w:sz w:val="8"/>
                <w:szCs w:val="8"/>
                <w:b w:val="1"/>
                <w:bCs w:val="1"/>
                <w:color w:val="auto"/>
              </w:rPr>
              <w:t>6,823,197</w:t>
            </w:r>
          </w:p>
        </w:tc>
        <w:tc>
          <w:tcPr>
            <w:tcW w:w="920" w:type="dxa"/>
            <w:vAlign w:val="bottom"/>
          </w:tcPr>
          <w:p>
            <w:pPr>
              <w:jc w:val="right"/>
              <w:ind w:right="201"/>
              <w:spacing w:after="0"/>
              <w:rPr>
                <w:sz w:val="20"/>
                <w:szCs w:val="20"/>
                <w:color w:val="auto"/>
              </w:rPr>
            </w:pPr>
            <w:r>
              <w:rPr>
                <w:rFonts w:ascii="Arial" w:cs="Arial" w:eastAsia="Arial" w:hAnsi="Arial"/>
                <w:sz w:val="8"/>
                <w:szCs w:val="8"/>
                <w:b w:val="1"/>
                <w:bCs w:val="1"/>
                <w:color w:val="auto"/>
              </w:rPr>
              <w:t>100.0 %</w:t>
            </w:r>
          </w:p>
        </w:tc>
        <w:tc>
          <w:tcPr>
            <w:tcW w:w="1020" w:type="dxa"/>
            <w:vAlign w:val="bottom"/>
          </w:tcPr>
          <w:p>
            <w:pPr>
              <w:jc w:val="right"/>
              <w:ind w:right="221"/>
              <w:spacing w:after="0"/>
              <w:rPr>
                <w:sz w:val="20"/>
                <w:szCs w:val="20"/>
                <w:color w:val="auto"/>
              </w:rPr>
            </w:pPr>
            <w:r>
              <w:rPr>
                <w:rFonts w:ascii="Arial" w:cs="Arial" w:eastAsia="Arial" w:hAnsi="Arial"/>
                <w:sz w:val="8"/>
                <w:szCs w:val="8"/>
                <w:b w:val="1"/>
                <w:bCs w:val="1"/>
                <w:color w:val="auto"/>
              </w:rPr>
              <w:t>$1,344,783,943</w:t>
            </w:r>
          </w:p>
        </w:tc>
        <w:tc>
          <w:tcPr>
            <w:tcW w:w="1100" w:type="dxa"/>
            <w:vAlign w:val="bottom"/>
          </w:tcPr>
          <w:p>
            <w:pPr>
              <w:jc w:val="right"/>
              <w:ind w:right="341"/>
              <w:spacing w:after="0"/>
              <w:rPr>
                <w:sz w:val="20"/>
                <w:szCs w:val="20"/>
                <w:color w:val="auto"/>
              </w:rPr>
            </w:pPr>
            <w:r>
              <w:rPr>
                <w:rFonts w:ascii="Arial" w:cs="Arial" w:eastAsia="Arial" w:hAnsi="Arial"/>
                <w:sz w:val="8"/>
                <w:szCs w:val="8"/>
                <w:b w:val="1"/>
                <w:bCs w:val="1"/>
                <w:color w:val="auto"/>
              </w:rPr>
              <w:t>$673,554,542</w:t>
            </w:r>
          </w:p>
        </w:tc>
        <w:tc>
          <w:tcPr>
            <w:tcW w:w="720" w:type="dxa"/>
            <w:vAlign w:val="bottom"/>
          </w:tcPr>
          <w:p>
            <w:pPr>
              <w:jc w:val="right"/>
              <w:ind w:right="21"/>
              <w:spacing w:after="0"/>
              <w:rPr>
                <w:sz w:val="20"/>
                <w:szCs w:val="20"/>
                <w:color w:val="auto"/>
              </w:rPr>
            </w:pPr>
            <w:r>
              <w:rPr>
                <w:rFonts w:ascii="Arial" w:cs="Arial" w:eastAsia="Arial" w:hAnsi="Arial"/>
                <w:sz w:val="8"/>
                <w:szCs w:val="8"/>
                <w:b w:val="1"/>
                <w:bCs w:val="1"/>
                <w:color w:val="auto"/>
              </w:rPr>
              <w:t>$100.08</w:t>
            </w:r>
          </w:p>
        </w:tc>
      </w:tr>
    </w:tbl>
    <w:p>
      <w:pPr>
        <w:spacing w:after="0" w:line="251" w:lineRule="exact"/>
        <w:rPr>
          <w:sz w:val="20"/>
          <w:szCs w:val="20"/>
          <w:color w:val="auto"/>
        </w:rPr>
      </w:pPr>
    </w:p>
    <w:p>
      <w:pPr>
        <w:ind w:left="620" w:hanging="110"/>
        <w:spacing w:after="0"/>
        <w:tabs>
          <w:tab w:leader="none" w:pos="620" w:val="left"/>
        </w:tabs>
        <w:numPr>
          <w:ilvl w:val="0"/>
          <w:numId w:val="27"/>
        </w:numPr>
        <w:rPr>
          <w:rFonts w:ascii="Arial" w:cs="Arial" w:eastAsia="Arial" w:hAnsi="Arial"/>
          <w:sz w:val="8"/>
          <w:szCs w:val="8"/>
          <w:color w:val="auto"/>
        </w:rPr>
      </w:pPr>
      <w:r>
        <w:rPr>
          <w:rFonts w:ascii="Arial" w:cs="Arial" w:eastAsia="Arial" w:hAnsi="Arial"/>
          <w:sz w:val="8"/>
          <w:szCs w:val="8"/>
          <w:color w:val="auto"/>
        </w:rPr>
        <w:t>Tenants may have multiple leases.</w:t>
      </w:r>
    </w:p>
    <w:p>
      <w:pPr>
        <w:spacing w:after="0" w:line="26" w:lineRule="exact"/>
        <w:rPr>
          <w:rFonts w:ascii="Arial" w:cs="Arial" w:eastAsia="Arial" w:hAnsi="Arial"/>
          <w:sz w:val="8"/>
          <w:szCs w:val="8"/>
          <w:color w:val="auto"/>
        </w:rPr>
      </w:pPr>
    </w:p>
    <w:p>
      <w:pPr>
        <w:ind w:left="620" w:hanging="110"/>
        <w:spacing w:after="0"/>
        <w:tabs>
          <w:tab w:leader="none" w:pos="620" w:val="left"/>
        </w:tabs>
        <w:numPr>
          <w:ilvl w:val="0"/>
          <w:numId w:val="27"/>
        </w:numPr>
        <w:rPr>
          <w:rFonts w:ascii="Arial" w:cs="Arial" w:eastAsia="Arial" w:hAnsi="Arial"/>
          <w:sz w:val="8"/>
          <w:szCs w:val="8"/>
          <w:color w:val="auto"/>
        </w:rPr>
      </w:pPr>
      <w:r>
        <w:rPr>
          <w:rFonts w:ascii="Arial" w:cs="Arial" w:eastAsia="Arial" w:hAnsi="Arial"/>
          <w:sz w:val="8"/>
          <w:szCs w:val="8"/>
          <w:color w:val="auto"/>
        </w:rPr>
        <w:t>Represents in place annualized contractual cash rent allocated by year of expiration.</w:t>
      </w:r>
    </w:p>
    <w:p>
      <w:pPr>
        <w:spacing w:after="0" w:line="26" w:lineRule="exact"/>
        <w:rPr>
          <w:rFonts w:ascii="Arial" w:cs="Arial" w:eastAsia="Arial" w:hAnsi="Arial"/>
          <w:sz w:val="8"/>
          <w:szCs w:val="8"/>
          <w:color w:val="auto"/>
        </w:rPr>
      </w:pPr>
    </w:p>
    <w:p>
      <w:pPr>
        <w:ind w:left="620" w:hanging="110"/>
        <w:spacing w:after="0"/>
        <w:tabs>
          <w:tab w:leader="none" w:pos="620" w:val="left"/>
        </w:tabs>
        <w:numPr>
          <w:ilvl w:val="0"/>
          <w:numId w:val="27"/>
        </w:numPr>
        <w:rPr>
          <w:rFonts w:ascii="Arial" w:cs="Arial" w:eastAsia="Arial" w:hAnsi="Arial"/>
          <w:sz w:val="8"/>
          <w:szCs w:val="8"/>
          <w:color w:val="auto"/>
        </w:rPr>
      </w:pPr>
      <w:r>
        <w:rPr>
          <w:rFonts w:ascii="Arial" w:cs="Arial" w:eastAsia="Arial" w:hAnsi="Arial"/>
          <w:sz w:val="8"/>
          <w:szCs w:val="8"/>
          <w:color w:val="auto"/>
        </w:rPr>
        <w:t>Includes month to month holdover tenants that expired prior to March 31, 2026.</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38</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7" w:right="141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576453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-17780</wp:posOffset>
            </wp:positionV>
            <wp:extent cx="1136650" cy="3244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ind w:right="2340"/>
        <w:spacing w:after="0" w:line="213" w:lineRule="auto"/>
        <w:rPr>
          <w:sz w:val="20"/>
          <w:szCs w:val="20"/>
          <w:color w:val="auto"/>
        </w:rPr>
      </w:pPr>
      <w:r>
        <w:rPr>
          <w:rFonts w:ascii="Arial" w:cs="Arial" w:eastAsia="Arial" w:hAnsi="Arial"/>
          <w:sz w:val="13"/>
          <w:szCs w:val="13"/>
          <w:b w:val="1"/>
          <w:bCs w:val="1"/>
          <w:color w:val="auto"/>
        </w:rPr>
        <w:t>Retail Leases Within Operating, Development / Redevelopment and Alternative Strategy Portfolio Properties Wholly-Owned and Consolidated JV's</w:t>
      </w:r>
    </w:p>
    <w:p>
      <w:pPr>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111760</wp:posOffset>
            </wp:positionV>
            <wp:extent cx="576453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86360</wp:posOffset>
            </wp:positionV>
            <wp:extent cx="576453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64530" cy="63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490" w:type="dxa"/>
        <w:tblCellMar>
          <w:top w:w="0" w:type="dxa"/>
          <w:left w:w="0" w:type="dxa"/>
          <w:bottom w:w="0" w:type="dxa"/>
          <w:right w:w="0" w:type="dxa"/>
        </w:tblCellMar>
      </w:tblPr>
      <w:tr>
        <w:trPr>
          <w:trHeight w:val="106"/>
        </w:trPr>
        <w:tc>
          <w:tcPr>
            <w:tcW w:w="1060" w:type="dxa"/>
            <w:vAlign w:val="bottom"/>
            <w:tcBorders>
              <w:top w:val="single" w:sz="8" w:color="auto"/>
              <w:left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vMerge w:val="restart"/>
          </w:tcPr>
          <w:p>
            <w:pPr>
              <w:jc w:val="right"/>
              <w:ind w:right="284"/>
              <w:spacing w:after="0"/>
              <w:rPr>
                <w:sz w:val="20"/>
                <w:szCs w:val="20"/>
                <w:color w:val="auto"/>
              </w:rPr>
            </w:pPr>
            <w:r>
              <w:rPr>
                <w:rFonts w:ascii="Arial" w:cs="Arial" w:eastAsia="Arial" w:hAnsi="Arial"/>
                <w:sz w:val="7"/>
                <w:szCs w:val="7"/>
                <w:b w:val="1"/>
                <w:bCs w:val="1"/>
                <w:color w:val="auto"/>
              </w:rPr>
              <w:t>SLG Share</w:t>
            </w:r>
          </w:p>
        </w:tc>
        <w:tc>
          <w:tcPr>
            <w:tcW w:w="8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7"/>
                <w:szCs w:val="7"/>
                <w:b w:val="1"/>
                <w:bCs w:val="1"/>
                <w:color w:val="auto"/>
              </w:rPr>
              <w:t>Annualized Contractual</w:t>
            </w:r>
          </w:p>
        </w:tc>
        <w:tc>
          <w:tcPr>
            <w:tcW w:w="980" w:type="dxa"/>
            <w:vAlign w:val="bottom"/>
            <w:tcBorders>
              <w:top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SLG Share</w:t>
            </w:r>
          </w:p>
        </w:tc>
        <w:tc>
          <w:tcPr>
            <w:tcW w:w="1040" w:type="dxa"/>
            <w:vAlign w:val="bottom"/>
            <w:tcBorders>
              <w:top w:val="single" w:sz="8" w:color="auto"/>
              <w:right w:val="single" w:sz="8" w:color="auto"/>
            </w:tcBorders>
            <w:vMerge w:val="restart"/>
          </w:tcPr>
          <w:p>
            <w:pPr>
              <w:jc w:val="right"/>
              <w:ind w:right="4"/>
              <w:spacing w:after="0"/>
              <w:rPr>
                <w:sz w:val="20"/>
                <w:szCs w:val="20"/>
                <w:color w:val="auto"/>
              </w:rPr>
            </w:pPr>
            <w:r>
              <w:rPr>
                <w:rFonts w:ascii="Arial" w:cs="Arial" w:eastAsia="Arial" w:hAnsi="Arial"/>
                <w:sz w:val="7"/>
                <w:szCs w:val="7"/>
                <w:b w:val="1"/>
                <w:bCs w:val="1"/>
                <w:color w:val="auto"/>
              </w:rPr>
              <w:t>Annualized Contractual</w:t>
            </w:r>
          </w:p>
        </w:tc>
        <w:tc>
          <w:tcPr>
            <w:tcW w:w="0" w:type="dxa"/>
            <w:vAlign w:val="bottom"/>
          </w:tcPr>
          <w:p>
            <w:pPr>
              <w:spacing w:after="0"/>
              <w:rPr>
                <w:sz w:val="1"/>
                <w:szCs w:val="1"/>
                <w:color w:val="auto"/>
              </w:rPr>
            </w:pPr>
          </w:p>
        </w:tc>
      </w:tr>
      <w:tr>
        <w:trPr>
          <w:trHeight w:val="71"/>
        </w:trPr>
        <w:tc>
          <w:tcPr>
            <w:tcW w:w="1060" w:type="dxa"/>
            <w:vAlign w:val="bottom"/>
            <w:tcBorders>
              <w:left w:val="single" w:sz="8" w:color="auto"/>
            </w:tcBorders>
          </w:tcPr>
          <w:p>
            <w:pPr>
              <w:spacing w:after="0"/>
              <w:rPr>
                <w:sz w:val="6"/>
                <w:szCs w:val="6"/>
                <w:color w:val="auto"/>
              </w:rPr>
            </w:pPr>
          </w:p>
        </w:tc>
        <w:tc>
          <w:tcPr>
            <w:tcW w:w="1060" w:type="dxa"/>
            <w:vAlign w:val="bottom"/>
            <w:vMerge w:val="restart"/>
          </w:tcPr>
          <w:p>
            <w:pPr>
              <w:jc w:val="right"/>
              <w:ind w:right="24"/>
              <w:spacing w:after="0"/>
              <w:rPr>
                <w:sz w:val="20"/>
                <w:szCs w:val="20"/>
                <w:color w:val="auto"/>
              </w:rPr>
            </w:pPr>
            <w:r>
              <w:rPr>
                <w:rFonts w:ascii="Arial" w:cs="Arial" w:eastAsia="Arial" w:hAnsi="Arial"/>
                <w:sz w:val="7"/>
                <w:szCs w:val="7"/>
                <w:b w:val="1"/>
                <w:bCs w:val="1"/>
                <w:color w:val="auto"/>
              </w:rPr>
              <w:t>Number of Expiring Leases</w:t>
            </w:r>
          </w:p>
        </w:tc>
        <w:tc>
          <w:tcPr>
            <w:tcW w:w="960" w:type="dxa"/>
            <w:vAlign w:val="bottom"/>
            <w:vMerge w:val="restart"/>
          </w:tcPr>
          <w:p>
            <w:pPr>
              <w:jc w:val="right"/>
              <w:ind w:right="4"/>
              <w:spacing w:after="0"/>
              <w:rPr>
                <w:sz w:val="20"/>
                <w:szCs w:val="20"/>
                <w:color w:val="auto"/>
              </w:rPr>
            </w:pPr>
            <w:r>
              <w:rPr>
                <w:rFonts w:ascii="Arial" w:cs="Arial" w:eastAsia="Arial" w:hAnsi="Arial"/>
                <w:sz w:val="7"/>
                <w:szCs w:val="7"/>
                <w:b w:val="1"/>
                <w:bCs w:val="1"/>
                <w:color w:val="auto"/>
              </w:rPr>
              <w:t>Rentable Square Footage</w:t>
            </w:r>
          </w:p>
        </w:tc>
        <w:tc>
          <w:tcPr>
            <w:tcW w:w="1240" w:type="dxa"/>
            <w:vAlign w:val="bottom"/>
            <w:vMerge w:val="continue"/>
          </w:tcPr>
          <w:p>
            <w:pPr>
              <w:spacing w:after="0"/>
              <w:rPr>
                <w:sz w:val="6"/>
                <w:szCs w:val="6"/>
                <w:color w:val="auto"/>
              </w:rPr>
            </w:pPr>
          </w:p>
        </w:tc>
        <w:tc>
          <w:tcPr>
            <w:tcW w:w="800" w:type="dxa"/>
            <w:vAlign w:val="bottom"/>
            <w:vMerge w:val="restart"/>
          </w:tcPr>
          <w:p>
            <w:pPr>
              <w:jc w:val="right"/>
              <w:ind w:right="84"/>
              <w:spacing w:after="0"/>
              <w:rPr>
                <w:sz w:val="20"/>
                <w:szCs w:val="20"/>
                <w:color w:val="auto"/>
              </w:rPr>
            </w:pPr>
            <w:r>
              <w:rPr>
                <w:rFonts w:ascii="Arial" w:cs="Arial" w:eastAsia="Arial" w:hAnsi="Arial"/>
                <w:sz w:val="7"/>
                <w:szCs w:val="7"/>
                <w:b w:val="1"/>
                <w:bCs w:val="1"/>
                <w:color w:val="auto"/>
              </w:rPr>
              <w:t>Percentage of Total</w:t>
            </w:r>
          </w:p>
        </w:tc>
        <w:tc>
          <w:tcPr>
            <w:tcW w:w="980" w:type="dxa"/>
            <w:vAlign w:val="bottom"/>
            <w:vMerge w:val="continue"/>
          </w:tcPr>
          <w:p>
            <w:pPr>
              <w:spacing w:after="0"/>
              <w:rPr>
                <w:sz w:val="6"/>
                <w:szCs w:val="6"/>
                <w:color w:val="auto"/>
              </w:rPr>
            </w:pPr>
          </w:p>
        </w:tc>
        <w:tc>
          <w:tcPr>
            <w:tcW w:w="980" w:type="dxa"/>
            <w:vAlign w:val="bottom"/>
          </w:tcPr>
          <w:p>
            <w:pPr>
              <w:jc w:val="right"/>
              <w:ind w:right="44"/>
              <w:spacing w:after="0" w:line="72" w:lineRule="exact"/>
              <w:rPr>
                <w:sz w:val="20"/>
                <w:szCs w:val="20"/>
                <w:color w:val="auto"/>
              </w:rPr>
            </w:pPr>
            <w:r>
              <w:rPr>
                <w:rFonts w:ascii="Arial" w:cs="Arial" w:eastAsia="Arial" w:hAnsi="Arial"/>
                <w:sz w:val="7"/>
                <w:szCs w:val="7"/>
                <w:b w:val="1"/>
                <w:bCs w:val="1"/>
                <w:color w:val="auto"/>
              </w:rPr>
              <w:t>Annualized Contractual</w:t>
            </w:r>
          </w:p>
        </w:tc>
        <w:tc>
          <w:tcPr>
            <w:tcW w:w="10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060" w:type="dxa"/>
            <w:vAlign w:val="bottom"/>
            <w:tcBorders>
              <w:left w:val="single" w:sz="8" w:color="auto"/>
            </w:tcBorders>
            <w:vMerge w:val="restart"/>
          </w:tcPr>
          <w:p>
            <w:pPr>
              <w:jc w:val="right"/>
              <w:ind w:right="24"/>
              <w:spacing w:after="0"/>
              <w:rPr>
                <w:sz w:val="20"/>
                <w:szCs w:val="20"/>
                <w:color w:val="auto"/>
              </w:rPr>
            </w:pPr>
            <w:r>
              <w:rPr>
                <w:rFonts w:ascii="Arial" w:cs="Arial" w:eastAsia="Arial" w:hAnsi="Arial"/>
                <w:sz w:val="7"/>
                <w:szCs w:val="7"/>
                <w:b w:val="1"/>
                <w:bCs w:val="1"/>
                <w:color w:val="auto"/>
              </w:rPr>
              <w:t>Year of Lease Expiration</w:t>
            </w:r>
          </w:p>
        </w:tc>
        <w:tc>
          <w:tcPr>
            <w:tcW w:w="10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40" w:type="dxa"/>
            <w:vAlign w:val="bottom"/>
          </w:tcPr>
          <w:p>
            <w:pPr>
              <w:jc w:val="right"/>
              <w:ind w:right="284"/>
              <w:spacing w:after="0" w:line="69" w:lineRule="exact"/>
              <w:rPr>
                <w:sz w:val="20"/>
                <w:szCs w:val="20"/>
                <w:color w:val="auto"/>
              </w:rPr>
            </w:pPr>
            <w:r>
              <w:rPr>
                <w:rFonts w:ascii="Arial" w:cs="Arial" w:eastAsia="Arial" w:hAnsi="Arial"/>
                <w:sz w:val="7"/>
                <w:szCs w:val="7"/>
                <w:b w:val="1"/>
                <w:bCs w:val="1"/>
                <w:color w:val="auto"/>
              </w:rPr>
              <w:t>Rentable Square Footage</w:t>
            </w:r>
          </w:p>
        </w:tc>
        <w:tc>
          <w:tcPr>
            <w:tcW w:w="800" w:type="dxa"/>
            <w:vAlign w:val="bottom"/>
            <w:vMerge w:val="continue"/>
          </w:tcPr>
          <w:p>
            <w:pPr>
              <w:spacing w:after="0"/>
              <w:rPr>
                <w:sz w:val="5"/>
                <w:szCs w:val="5"/>
                <w:color w:val="auto"/>
              </w:rPr>
            </w:pPr>
          </w:p>
        </w:tc>
        <w:tc>
          <w:tcPr>
            <w:tcW w:w="980" w:type="dxa"/>
            <w:vAlign w:val="bottom"/>
          </w:tcPr>
          <w:p>
            <w:pPr>
              <w:jc w:val="right"/>
              <w:ind w:right="44"/>
              <w:spacing w:after="0" w:line="69" w:lineRule="exact"/>
              <w:rPr>
                <w:sz w:val="20"/>
                <w:szCs w:val="20"/>
                <w:color w:val="auto"/>
              </w:rPr>
            </w:pPr>
            <w:r>
              <w:rPr>
                <w:rFonts w:ascii="Arial" w:cs="Arial" w:eastAsia="Arial" w:hAnsi="Arial"/>
                <w:sz w:val="7"/>
                <w:szCs w:val="7"/>
                <w:b w:val="1"/>
                <w:bCs w:val="1"/>
                <w:color w:val="auto"/>
              </w:rPr>
              <w:t>Cash Rent of Expiring</w:t>
            </w:r>
          </w:p>
        </w:tc>
        <w:tc>
          <w:tcPr>
            <w:tcW w:w="980" w:type="dxa"/>
            <w:vAlign w:val="bottom"/>
          </w:tcPr>
          <w:p>
            <w:pPr>
              <w:jc w:val="right"/>
              <w:ind w:right="44"/>
              <w:spacing w:after="0" w:line="69" w:lineRule="exact"/>
              <w:rPr>
                <w:sz w:val="20"/>
                <w:szCs w:val="20"/>
                <w:color w:val="auto"/>
              </w:rPr>
            </w:pPr>
            <w:r>
              <w:rPr>
                <w:rFonts w:ascii="Arial" w:cs="Arial" w:eastAsia="Arial" w:hAnsi="Arial"/>
                <w:sz w:val="7"/>
                <w:szCs w:val="7"/>
                <w:b w:val="1"/>
                <w:bCs w:val="1"/>
                <w:color w:val="auto"/>
              </w:rPr>
              <w:t>Cash Rent of Expiring</w:t>
            </w:r>
          </w:p>
        </w:tc>
        <w:tc>
          <w:tcPr>
            <w:tcW w:w="1040" w:type="dxa"/>
            <w:vAlign w:val="bottom"/>
            <w:tcBorders>
              <w:right w:val="single" w:sz="8" w:color="auto"/>
            </w:tcBorders>
          </w:tcPr>
          <w:p>
            <w:pPr>
              <w:jc w:val="right"/>
              <w:ind w:right="4"/>
              <w:spacing w:after="0" w:line="69" w:lineRule="exact"/>
              <w:rPr>
                <w:sz w:val="20"/>
                <w:szCs w:val="20"/>
                <w:color w:val="auto"/>
              </w:rPr>
            </w:pPr>
            <w:r>
              <w:rPr>
                <w:rFonts w:ascii="Arial" w:cs="Arial" w:eastAsia="Arial" w:hAnsi="Arial"/>
                <w:sz w:val="7"/>
                <w:szCs w:val="7"/>
                <w:b w:val="1"/>
                <w:bCs w:val="1"/>
                <w:color w:val="auto"/>
              </w:rPr>
              <w:t>Cash Rent Per Square Foot</w:t>
            </w:r>
          </w:p>
        </w:tc>
        <w:tc>
          <w:tcPr>
            <w:tcW w:w="0" w:type="dxa"/>
            <w:vAlign w:val="bottom"/>
          </w:tcPr>
          <w:p>
            <w:pPr>
              <w:spacing w:after="0"/>
              <w:rPr>
                <w:sz w:val="1"/>
                <w:szCs w:val="1"/>
                <w:color w:val="auto"/>
              </w:rPr>
            </w:pPr>
          </w:p>
        </w:tc>
      </w:tr>
      <w:tr>
        <w:trPr>
          <w:trHeight w:val="98"/>
        </w:trPr>
        <w:tc>
          <w:tcPr>
            <w:tcW w:w="1060" w:type="dxa"/>
            <w:vAlign w:val="bottom"/>
            <w:tcBorders>
              <w:left w:val="single" w:sz="8" w:color="auto"/>
              <w:bottom w:val="single" w:sz="8" w:color="auto"/>
            </w:tcBorders>
            <w:vMerge w:val="continue"/>
          </w:tcPr>
          <w:p>
            <w:pPr>
              <w:spacing w:after="0"/>
              <w:rPr>
                <w:sz w:val="8"/>
                <w:szCs w:val="8"/>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(1)</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of Expiring Leases</w:t>
            </w:r>
          </w:p>
        </w:tc>
        <w:tc>
          <w:tcPr>
            <w:tcW w:w="1240" w:type="dxa"/>
            <w:vAlign w:val="bottom"/>
            <w:tcBorders>
              <w:bottom w:val="single" w:sz="8" w:color="auto"/>
            </w:tcBorders>
          </w:tcPr>
          <w:p>
            <w:pPr>
              <w:jc w:val="right"/>
              <w:ind w:right="284"/>
              <w:spacing w:after="0"/>
              <w:rPr>
                <w:sz w:val="20"/>
                <w:szCs w:val="20"/>
                <w:color w:val="auto"/>
              </w:rPr>
            </w:pPr>
            <w:r>
              <w:rPr>
                <w:rFonts w:ascii="Arial" w:cs="Arial" w:eastAsia="Arial" w:hAnsi="Arial"/>
                <w:sz w:val="7"/>
                <w:szCs w:val="7"/>
                <w:b w:val="1"/>
                <w:bCs w:val="1"/>
                <w:color w:val="auto"/>
              </w:rPr>
              <w:t>of Expiring Leases</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Sq. Ft.</w:t>
            </w: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Leases</w:t>
            </w: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Leases</w:t>
            </w:r>
          </w:p>
        </w:tc>
        <w:tc>
          <w:tcPr>
            <w:tcW w:w="104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of Expiring Leases $/psf (2)</w:t>
            </w:r>
          </w:p>
        </w:tc>
        <w:tc>
          <w:tcPr>
            <w:tcW w:w="0" w:type="dxa"/>
            <w:vAlign w:val="bottom"/>
          </w:tcPr>
          <w:p>
            <w:pPr>
              <w:spacing w:after="0"/>
              <w:rPr>
                <w:sz w:val="1"/>
                <w:szCs w:val="1"/>
                <w:color w:val="auto"/>
              </w:rPr>
            </w:pPr>
          </w:p>
        </w:tc>
      </w:tr>
      <w:tr>
        <w:trPr>
          <w:trHeight w:val="114"/>
        </w:trPr>
        <w:tc>
          <w:tcPr>
            <w:tcW w:w="106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2"/>
          </w:tcPr>
          <w:p>
            <w:pPr>
              <w:jc w:val="right"/>
              <w:ind w:right="684"/>
              <w:spacing w:after="0"/>
              <w:rPr>
                <w:sz w:val="20"/>
                <w:szCs w:val="20"/>
                <w:color w:val="auto"/>
              </w:rPr>
            </w:pPr>
            <w:r>
              <w:rPr>
                <w:rFonts w:ascii="Arial" w:cs="Arial" w:eastAsia="Arial" w:hAnsi="Arial"/>
                <w:sz w:val="9"/>
                <w:szCs w:val="9"/>
                <w:b w:val="1"/>
                <w:bCs w:val="1"/>
                <w:color w:val="auto"/>
              </w:rPr>
              <w:t>High Street Retail</w:t>
            </w: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auto"/>
            </w:tcBorders>
          </w:tcPr>
          <w:p>
            <w:pPr>
              <w:jc w:val="right"/>
              <w:ind w:right="24"/>
              <w:spacing w:after="0"/>
              <w:rPr>
                <w:sz w:val="20"/>
                <w:szCs w:val="20"/>
                <w:color w:val="auto"/>
              </w:rPr>
            </w:pPr>
            <w:r>
              <w:rPr>
                <w:rFonts w:ascii="Arial" w:cs="Arial" w:eastAsia="Arial" w:hAnsi="Arial"/>
                <w:sz w:val="7"/>
                <w:szCs w:val="7"/>
                <w:color w:val="auto"/>
              </w:rPr>
              <w:t>2026 (3)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2027</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2028</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2029</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2,238</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2,238</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1.2 %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558,108</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558,108</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249.38</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2030</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2,418</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2,418</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1.3 %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594,141</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594,141</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245.72</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2031</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2032</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1,445</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1,445</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0.8 %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258,757</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258,757</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179.07</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2,900</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2,900</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1.7 %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424,456</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424,456</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146.36</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2034</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2035</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12"/>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Thereafter</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5</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170,792</w:t>
            </w:r>
          </w:p>
        </w:tc>
        <w:tc>
          <w:tcPr>
            <w:tcW w:w="1240" w:type="dxa"/>
            <w:vAlign w:val="bottom"/>
            <w:tcBorders>
              <w:bottom w:val="single" w:sz="8" w:color="auto"/>
            </w:tcBorders>
          </w:tcPr>
          <w:p>
            <w:pPr>
              <w:jc w:val="right"/>
              <w:ind w:right="304"/>
              <w:spacing w:after="0"/>
              <w:rPr>
                <w:sz w:val="20"/>
                <w:szCs w:val="20"/>
                <w:color w:val="auto"/>
              </w:rPr>
            </w:pPr>
            <w:r>
              <w:rPr>
                <w:rFonts w:ascii="Arial" w:cs="Arial" w:eastAsia="Arial" w:hAnsi="Arial"/>
                <w:sz w:val="7"/>
                <w:szCs w:val="7"/>
                <w:color w:val="auto"/>
              </w:rPr>
              <w:t>170,792</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95.0 %</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28,442,078</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28,442,078</w:t>
            </w:r>
          </w:p>
        </w:tc>
        <w:tc>
          <w:tcPr>
            <w:tcW w:w="104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166.53</w:t>
            </w:r>
          </w:p>
        </w:tc>
        <w:tc>
          <w:tcPr>
            <w:tcW w:w="0" w:type="dxa"/>
            <w:vAlign w:val="bottom"/>
          </w:tcPr>
          <w:p>
            <w:pPr>
              <w:spacing w:after="0"/>
              <w:rPr>
                <w:sz w:val="1"/>
                <w:szCs w:val="1"/>
                <w:color w:val="auto"/>
              </w:rPr>
            </w:pPr>
          </w:p>
        </w:tc>
      </w:tr>
      <w:tr>
        <w:trPr>
          <w:trHeight w:val="98"/>
        </w:trPr>
        <w:tc>
          <w:tcPr>
            <w:tcW w:w="1060" w:type="dxa"/>
            <w:vAlign w:val="bottom"/>
            <w:tcBorders>
              <w:left w:val="single" w:sz="8" w:color="auto"/>
            </w:tcBorders>
          </w:tcPr>
          <w:p>
            <w:pPr>
              <w:spacing w:after="0"/>
              <w:rPr>
                <w:sz w:val="8"/>
                <w:szCs w:val="8"/>
                <w:color w:val="auto"/>
              </w:rPr>
            </w:pPr>
          </w:p>
        </w:tc>
        <w:tc>
          <w:tcPr>
            <w:tcW w:w="1060" w:type="dxa"/>
            <w:vAlign w:val="bottom"/>
          </w:tcPr>
          <w:p>
            <w:pPr>
              <w:jc w:val="right"/>
              <w:ind w:right="64"/>
              <w:spacing w:after="0"/>
              <w:rPr>
                <w:sz w:val="20"/>
                <w:szCs w:val="20"/>
                <w:color w:val="auto"/>
              </w:rPr>
            </w:pPr>
            <w:r>
              <w:rPr>
                <w:rFonts w:ascii="Arial" w:cs="Arial" w:eastAsia="Arial" w:hAnsi="Arial"/>
                <w:sz w:val="7"/>
                <w:szCs w:val="7"/>
                <w:b w:val="1"/>
                <w:bCs w:val="1"/>
                <w:color w:val="auto"/>
              </w:rPr>
              <w:t>10</w:t>
            </w:r>
          </w:p>
        </w:tc>
        <w:tc>
          <w:tcPr>
            <w:tcW w:w="960" w:type="dxa"/>
            <w:vAlign w:val="bottom"/>
          </w:tcPr>
          <w:p>
            <w:pPr>
              <w:jc w:val="right"/>
              <w:ind w:right="44"/>
              <w:spacing w:after="0"/>
              <w:rPr>
                <w:sz w:val="20"/>
                <w:szCs w:val="20"/>
                <w:color w:val="auto"/>
              </w:rPr>
            </w:pPr>
            <w:r>
              <w:rPr>
                <w:rFonts w:ascii="Arial" w:cs="Arial" w:eastAsia="Arial" w:hAnsi="Arial"/>
                <w:sz w:val="7"/>
                <w:szCs w:val="7"/>
                <w:b w:val="1"/>
                <w:bCs w:val="1"/>
                <w:color w:val="auto"/>
              </w:rPr>
              <w:t>179,793</w:t>
            </w:r>
          </w:p>
        </w:tc>
        <w:tc>
          <w:tcPr>
            <w:tcW w:w="1240" w:type="dxa"/>
            <w:vAlign w:val="bottom"/>
          </w:tcPr>
          <w:p>
            <w:pPr>
              <w:jc w:val="right"/>
              <w:ind w:right="304"/>
              <w:spacing w:after="0"/>
              <w:rPr>
                <w:sz w:val="20"/>
                <w:szCs w:val="20"/>
                <w:color w:val="auto"/>
              </w:rPr>
            </w:pPr>
            <w:r>
              <w:rPr>
                <w:rFonts w:ascii="Arial" w:cs="Arial" w:eastAsia="Arial" w:hAnsi="Arial"/>
                <w:sz w:val="7"/>
                <w:szCs w:val="7"/>
                <w:b w:val="1"/>
                <w:bCs w:val="1"/>
                <w:color w:val="auto"/>
              </w:rPr>
              <w:t>179,793</w:t>
            </w:r>
          </w:p>
        </w:tc>
        <w:tc>
          <w:tcPr>
            <w:tcW w:w="800" w:type="dxa"/>
            <w:vAlign w:val="bottom"/>
          </w:tcPr>
          <w:p>
            <w:pPr>
              <w:jc w:val="right"/>
              <w:ind w:right="64"/>
              <w:spacing w:after="0"/>
              <w:rPr>
                <w:sz w:val="20"/>
                <w:szCs w:val="20"/>
                <w:color w:val="auto"/>
              </w:rPr>
            </w:pPr>
            <w:r>
              <w:rPr>
                <w:rFonts w:ascii="Arial" w:cs="Arial" w:eastAsia="Arial" w:hAnsi="Arial"/>
                <w:sz w:val="7"/>
                <w:szCs w:val="7"/>
                <w:b w:val="1"/>
                <w:bCs w:val="1"/>
                <w:color w:val="auto"/>
              </w:rPr>
              <w:t>100.0 %</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$30,277,540</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$30,277,540</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$168.40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Vacancy (4)</w:t>
            </w: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48,529</w:t>
            </w: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Grand Total</w:t>
            </w:r>
          </w:p>
        </w:tc>
        <w:tc>
          <w:tcPr>
            <w:tcW w:w="1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228,322</w:t>
            </w:r>
          </w:p>
        </w:tc>
        <w:tc>
          <w:tcPr>
            <w:tcW w:w="1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6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Other Retail</w:t>
            </w:r>
          </w:p>
        </w:tc>
        <w:tc>
          <w:tcPr>
            <w:tcW w:w="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auto"/>
            </w:tcBorders>
          </w:tcPr>
          <w:p>
            <w:pPr>
              <w:jc w:val="right"/>
              <w:ind w:right="24"/>
              <w:spacing w:after="0"/>
              <w:rPr>
                <w:sz w:val="20"/>
                <w:szCs w:val="20"/>
                <w:color w:val="auto"/>
              </w:rPr>
            </w:pPr>
            <w:r>
              <w:rPr>
                <w:rFonts w:ascii="Arial" w:cs="Arial" w:eastAsia="Arial" w:hAnsi="Arial"/>
                <w:sz w:val="7"/>
                <w:szCs w:val="7"/>
                <w:color w:val="auto"/>
              </w:rPr>
              <w:t>2026 (3)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2,681</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2,681</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0.5 %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$94,058</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$94,058</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$35.08</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2027</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3</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21,199</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21,199</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4.2 %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3,766,323</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3,766,323</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177.67</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2028</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5</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16,034</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16,034</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3.2 %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3,140,558</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3,140,558</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195.87</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2029</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4</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27,702</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27,702</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5.5 %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2,616,429</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2,616,429</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94.45</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2030</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3</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35,231</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35,231</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7.0 %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5,210,533</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5,210,533</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147.90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2031</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7</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19,252</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19,252</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3.8 %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3,060,618</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3,060,618</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158.98</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2032</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7</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23,127</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23,127</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4.6 %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3,515,933</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3,515,933</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152.03</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7</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98,105</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98,105</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19.6 %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9,453,130</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9,453,130</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96.36</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2034</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61,926</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61,926</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12.3 %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4,536,387</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4,536,387</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73.25</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2035</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8,832</w:t>
            </w:r>
          </w:p>
        </w:tc>
        <w:tc>
          <w:tcPr>
            <w:tcW w:w="1240" w:type="dxa"/>
            <w:vAlign w:val="bottom"/>
          </w:tcPr>
          <w:p>
            <w:pPr>
              <w:jc w:val="right"/>
              <w:ind w:right="304"/>
              <w:spacing w:after="0"/>
              <w:rPr>
                <w:sz w:val="20"/>
                <w:szCs w:val="20"/>
                <w:color w:val="auto"/>
              </w:rPr>
            </w:pPr>
            <w:r>
              <w:rPr>
                <w:rFonts w:ascii="Arial" w:cs="Arial" w:eastAsia="Arial" w:hAnsi="Arial"/>
                <w:sz w:val="7"/>
                <w:szCs w:val="7"/>
                <w:color w:val="auto"/>
              </w:rPr>
              <w:t>8,832</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1.8 %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1,024,535</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1,024,535</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116.00</w:t>
            </w:r>
          </w:p>
        </w:tc>
        <w:tc>
          <w:tcPr>
            <w:tcW w:w="0" w:type="dxa"/>
            <w:vAlign w:val="bottom"/>
          </w:tcPr>
          <w:p>
            <w:pPr>
              <w:spacing w:after="0"/>
              <w:rPr>
                <w:sz w:val="1"/>
                <w:szCs w:val="1"/>
                <w:color w:val="auto"/>
              </w:rPr>
            </w:pPr>
          </w:p>
        </w:tc>
      </w:tr>
      <w:tr>
        <w:trPr>
          <w:trHeight w:val="112"/>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Thereafter</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23</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187,696</w:t>
            </w:r>
          </w:p>
        </w:tc>
        <w:tc>
          <w:tcPr>
            <w:tcW w:w="1240" w:type="dxa"/>
            <w:vAlign w:val="bottom"/>
            <w:tcBorders>
              <w:bottom w:val="single" w:sz="8" w:color="auto"/>
            </w:tcBorders>
          </w:tcPr>
          <w:p>
            <w:pPr>
              <w:jc w:val="right"/>
              <w:ind w:right="304"/>
              <w:spacing w:after="0"/>
              <w:rPr>
                <w:sz w:val="20"/>
                <w:szCs w:val="20"/>
                <w:color w:val="auto"/>
              </w:rPr>
            </w:pPr>
            <w:r>
              <w:rPr>
                <w:rFonts w:ascii="Arial" w:cs="Arial" w:eastAsia="Arial" w:hAnsi="Arial"/>
                <w:sz w:val="7"/>
                <w:szCs w:val="7"/>
                <w:color w:val="auto"/>
              </w:rPr>
              <w:t>187,696</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37.5 %</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18,535,135</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18,535,135</w:t>
            </w:r>
          </w:p>
        </w:tc>
        <w:tc>
          <w:tcPr>
            <w:tcW w:w="104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98.75</w:t>
            </w:r>
          </w:p>
        </w:tc>
        <w:tc>
          <w:tcPr>
            <w:tcW w:w="0" w:type="dxa"/>
            <w:vAlign w:val="bottom"/>
          </w:tcPr>
          <w:p>
            <w:pPr>
              <w:spacing w:after="0"/>
              <w:rPr>
                <w:sz w:val="1"/>
                <w:szCs w:val="1"/>
                <w:color w:val="auto"/>
              </w:rPr>
            </w:pPr>
          </w:p>
        </w:tc>
      </w:tr>
      <w:tr>
        <w:trPr>
          <w:trHeight w:val="98"/>
        </w:trPr>
        <w:tc>
          <w:tcPr>
            <w:tcW w:w="1060" w:type="dxa"/>
            <w:vAlign w:val="bottom"/>
            <w:tcBorders>
              <w:left w:val="single" w:sz="8" w:color="auto"/>
            </w:tcBorders>
          </w:tcPr>
          <w:p>
            <w:pPr>
              <w:spacing w:after="0"/>
              <w:rPr>
                <w:sz w:val="8"/>
                <w:szCs w:val="8"/>
                <w:color w:val="auto"/>
              </w:rPr>
            </w:pPr>
          </w:p>
        </w:tc>
        <w:tc>
          <w:tcPr>
            <w:tcW w:w="1060" w:type="dxa"/>
            <w:vAlign w:val="bottom"/>
          </w:tcPr>
          <w:p>
            <w:pPr>
              <w:jc w:val="right"/>
              <w:ind w:right="64"/>
              <w:spacing w:after="0"/>
              <w:rPr>
                <w:sz w:val="20"/>
                <w:szCs w:val="20"/>
                <w:color w:val="auto"/>
              </w:rPr>
            </w:pPr>
            <w:r>
              <w:rPr>
                <w:rFonts w:ascii="Arial" w:cs="Arial" w:eastAsia="Arial" w:hAnsi="Arial"/>
                <w:sz w:val="7"/>
                <w:szCs w:val="7"/>
                <w:b w:val="1"/>
                <w:bCs w:val="1"/>
                <w:color w:val="auto"/>
              </w:rPr>
              <w:t>74</w:t>
            </w:r>
          </w:p>
        </w:tc>
        <w:tc>
          <w:tcPr>
            <w:tcW w:w="960" w:type="dxa"/>
            <w:vAlign w:val="bottom"/>
          </w:tcPr>
          <w:p>
            <w:pPr>
              <w:jc w:val="right"/>
              <w:ind w:right="44"/>
              <w:spacing w:after="0"/>
              <w:rPr>
                <w:sz w:val="20"/>
                <w:szCs w:val="20"/>
                <w:color w:val="auto"/>
              </w:rPr>
            </w:pPr>
            <w:r>
              <w:rPr>
                <w:rFonts w:ascii="Arial" w:cs="Arial" w:eastAsia="Arial" w:hAnsi="Arial"/>
                <w:sz w:val="7"/>
                <w:szCs w:val="7"/>
                <w:b w:val="1"/>
                <w:bCs w:val="1"/>
                <w:color w:val="auto"/>
              </w:rPr>
              <w:t>501,785</w:t>
            </w:r>
          </w:p>
        </w:tc>
        <w:tc>
          <w:tcPr>
            <w:tcW w:w="1240" w:type="dxa"/>
            <w:vAlign w:val="bottom"/>
          </w:tcPr>
          <w:p>
            <w:pPr>
              <w:jc w:val="right"/>
              <w:ind w:right="304"/>
              <w:spacing w:after="0"/>
              <w:rPr>
                <w:sz w:val="20"/>
                <w:szCs w:val="20"/>
                <w:color w:val="auto"/>
              </w:rPr>
            </w:pPr>
            <w:r>
              <w:rPr>
                <w:rFonts w:ascii="Arial" w:cs="Arial" w:eastAsia="Arial" w:hAnsi="Arial"/>
                <w:sz w:val="7"/>
                <w:szCs w:val="7"/>
                <w:b w:val="1"/>
                <w:bCs w:val="1"/>
                <w:color w:val="auto"/>
              </w:rPr>
              <w:t>501,785</w:t>
            </w:r>
          </w:p>
        </w:tc>
        <w:tc>
          <w:tcPr>
            <w:tcW w:w="800" w:type="dxa"/>
            <w:vAlign w:val="bottom"/>
          </w:tcPr>
          <w:p>
            <w:pPr>
              <w:jc w:val="right"/>
              <w:ind w:right="64"/>
              <w:spacing w:after="0"/>
              <w:rPr>
                <w:sz w:val="20"/>
                <w:szCs w:val="20"/>
                <w:color w:val="auto"/>
              </w:rPr>
            </w:pPr>
            <w:r>
              <w:rPr>
                <w:rFonts w:ascii="Arial" w:cs="Arial" w:eastAsia="Arial" w:hAnsi="Arial"/>
                <w:sz w:val="7"/>
                <w:szCs w:val="7"/>
                <w:b w:val="1"/>
                <w:bCs w:val="1"/>
                <w:color w:val="auto"/>
              </w:rPr>
              <w:t>100.0 %</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$54,953,639</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$54,953,639</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$109.52</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Vacancy (4)</w:t>
            </w: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42,441</w:t>
            </w: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Grand Total</w:t>
            </w:r>
          </w:p>
        </w:tc>
        <w:tc>
          <w:tcPr>
            <w:tcW w:w="1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544,226</w:t>
            </w:r>
          </w:p>
        </w:tc>
        <w:tc>
          <w:tcPr>
            <w:tcW w:w="1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80" w:hanging="90"/>
        <w:spacing w:after="0"/>
        <w:tabs>
          <w:tab w:leader="none" w:pos="580" w:val="left"/>
        </w:tabs>
        <w:numPr>
          <w:ilvl w:val="0"/>
          <w:numId w:val="28"/>
        </w:numPr>
        <w:rPr>
          <w:rFonts w:ascii="Arial" w:cs="Arial" w:eastAsia="Arial" w:hAnsi="Arial"/>
          <w:sz w:val="7"/>
          <w:szCs w:val="7"/>
          <w:color w:val="auto"/>
        </w:rPr>
      </w:pPr>
      <w:r>
        <w:rPr>
          <w:rFonts w:ascii="Arial" w:cs="Arial" w:eastAsia="Arial" w:hAnsi="Arial"/>
          <w:sz w:val="7"/>
          <w:szCs w:val="7"/>
          <w:color w:val="auto"/>
        </w:rPr>
        <w:t>Tenants may have multiple leases.</w:t>
      </w:r>
    </w:p>
    <w:p>
      <w:pPr>
        <w:spacing w:after="0" w:line="27" w:lineRule="exact"/>
        <w:rPr>
          <w:rFonts w:ascii="Arial" w:cs="Arial" w:eastAsia="Arial" w:hAnsi="Arial"/>
          <w:sz w:val="7"/>
          <w:szCs w:val="7"/>
          <w:color w:val="auto"/>
        </w:rPr>
      </w:pPr>
    </w:p>
    <w:p>
      <w:pPr>
        <w:ind w:left="580" w:hanging="90"/>
        <w:spacing w:after="0"/>
        <w:tabs>
          <w:tab w:leader="none" w:pos="580" w:val="left"/>
        </w:tabs>
        <w:numPr>
          <w:ilvl w:val="0"/>
          <w:numId w:val="28"/>
        </w:numPr>
        <w:rPr>
          <w:rFonts w:ascii="Arial" w:cs="Arial" w:eastAsia="Arial" w:hAnsi="Arial"/>
          <w:sz w:val="7"/>
          <w:szCs w:val="7"/>
          <w:color w:val="auto"/>
        </w:rPr>
      </w:pPr>
      <w:r>
        <w:rPr>
          <w:rFonts w:ascii="Arial" w:cs="Arial" w:eastAsia="Arial" w:hAnsi="Arial"/>
          <w:sz w:val="7"/>
          <w:szCs w:val="7"/>
          <w:color w:val="auto"/>
        </w:rPr>
        <w:t>Represents in place annualized contractual cash rent allocated by year of expiration.</w:t>
      </w:r>
    </w:p>
    <w:p>
      <w:pPr>
        <w:spacing w:after="0" w:line="27" w:lineRule="exact"/>
        <w:rPr>
          <w:rFonts w:ascii="Arial" w:cs="Arial" w:eastAsia="Arial" w:hAnsi="Arial"/>
          <w:sz w:val="7"/>
          <w:szCs w:val="7"/>
          <w:color w:val="auto"/>
        </w:rPr>
      </w:pPr>
    </w:p>
    <w:p>
      <w:pPr>
        <w:ind w:left="580" w:hanging="90"/>
        <w:spacing w:after="0"/>
        <w:tabs>
          <w:tab w:leader="none" w:pos="580" w:val="left"/>
        </w:tabs>
        <w:numPr>
          <w:ilvl w:val="0"/>
          <w:numId w:val="28"/>
        </w:numPr>
        <w:rPr>
          <w:rFonts w:ascii="Arial" w:cs="Arial" w:eastAsia="Arial" w:hAnsi="Arial"/>
          <w:sz w:val="7"/>
          <w:szCs w:val="7"/>
          <w:color w:val="auto"/>
        </w:rPr>
      </w:pPr>
      <w:r>
        <w:rPr>
          <w:rFonts w:ascii="Arial" w:cs="Arial" w:eastAsia="Arial" w:hAnsi="Arial"/>
          <w:sz w:val="7"/>
          <w:szCs w:val="7"/>
          <w:color w:val="auto"/>
        </w:rPr>
        <w:t>Includes month to month holdover tenants that expired prior to March 31, 2026.</w:t>
      </w:r>
    </w:p>
    <w:p>
      <w:pPr>
        <w:spacing w:after="0" w:line="27" w:lineRule="exact"/>
        <w:rPr>
          <w:rFonts w:ascii="Arial" w:cs="Arial" w:eastAsia="Arial" w:hAnsi="Arial"/>
          <w:sz w:val="7"/>
          <w:szCs w:val="7"/>
          <w:color w:val="auto"/>
        </w:rPr>
      </w:pPr>
    </w:p>
    <w:p>
      <w:pPr>
        <w:ind w:left="580" w:hanging="90"/>
        <w:spacing w:after="0"/>
        <w:tabs>
          <w:tab w:leader="none" w:pos="580" w:val="left"/>
        </w:tabs>
        <w:numPr>
          <w:ilvl w:val="0"/>
          <w:numId w:val="28"/>
        </w:numPr>
        <w:rPr>
          <w:rFonts w:ascii="Arial" w:cs="Arial" w:eastAsia="Arial" w:hAnsi="Arial"/>
          <w:sz w:val="7"/>
          <w:szCs w:val="7"/>
          <w:color w:val="auto"/>
        </w:rPr>
      </w:pPr>
      <w:r>
        <w:rPr>
          <w:rFonts w:ascii="Arial" w:cs="Arial" w:eastAsia="Arial" w:hAnsi="Arial"/>
          <w:sz w:val="7"/>
          <w:szCs w:val="7"/>
          <w:color w:val="auto"/>
        </w:rPr>
        <w:t>Includes square footage of leases signed but not yet commenced.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4440" w:val="left"/>
          <w:tab w:leader="none" w:pos="828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39</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60"/>
          </w:cols>
          <w:pgMar w:left="1420" w:top="298" w:right="141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576453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-17780</wp:posOffset>
            </wp:positionV>
            <wp:extent cx="1136650" cy="3244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ind w:right="2340"/>
        <w:spacing w:after="0" w:line="213" w:lineRule="auto"/>
        <w:rPr>
          <w:sz w:val="20"/>
          <w:szCs w:val="20"/>
          <w:color w:val="auto"/>
        </w:rPr>
      </w:pPr>
      <w:r>
        <w:rPr>
          <w:rFonts w:ascii="Arial" w:cs="Arial" w:eastAsia="Arial" w:hAnsi="Arial"/>
          <w:sz w:val="13"/>
          <w:szCs w:val="13"/>
          <w:b w:val="1"/>
          <w:bCs w:val="1"/>
          <w:color w:val="auto"/>
        </w:rPr>
        <w:t>Retail Leases Within Operating, Development / Redevelopment and Alternative Strategy Portfolio Properties Unconsolidated JV's</w:t>
      </w:r>
    </w:p>
    <w:p>
      <w:pPr>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111760</wp:posOffset>
            </wp:positionV>
            <wp:extent cx="576453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86360</wp:posOffset>
            </wp:positionV>
            <wp:extent cx="576453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64530" cy="63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490" w:type="dxa"/>
        <w:tblCellMar>
          <w:top w:w="0" w:type="dxa"/>
          <w:left w:w="0" w:type="dxa"/>
          <w:bottom w:w="0" w:type="dxa"/>
          <w:right w:w="0" w:type="dxa"/>
        </w:tblCellMar>
      </w:tblPr>
      <w:tr>
        <w:trPr>
          <w:trHeight w:val="98"/>
        </w:trPr>
        <w:tc>
          <w:tcPr>
            <w:tcW w:w="1060" w:type="dxa"/>
            <w:vAlign w:val="bottom"/>
            <w:tcBorders>
              <w:top w:val="single" w:sz="8" w:color="auto"/>
              <w:left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7"/>
                <w:szCs w:val="7"/>
                <w:b w:val="1"/>
                <w:bCs w:val="1"/>
                <w:color w:val="auto"/>
              </w:rPr>
              <w:t>SLG Share</w:t>
            </w:r>
          </w:p>
        </w:tc>
        <w:tc>
          <w:tcPr>
            <w:tcW w:w="8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7"/>
                <w:szCs w:val="7"/>
                <w:b w:val="1"/>
                <w:bCs w:val="1"/>
                <w:color w:val="auto"/>
              </w:rPr>
              <w:t>Annualized Contractual</w:t>
            </w:r>
          </w:p>
        </w:tc>
        <w:tc>
          <w:tcPr>
            <w:tcW w:w="980" w:type="dxa"/>
            <w:vAlign w:val="bottom"/>
            <w:tcBorders>
              <w:top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SLG Share</w:t>
            </w:r>
          </w:p>
        </w:tc>
        <w:tc>
          <w:tcPr>
            <w:tcW w:w="1040" w:type="dxa"/>
            <w:vAlign w:val="bottom"/>
            <w:tcBorders>
              <w:top w:val="single" w:sz="8" w:color="auto"/>
              <w:right w:val="single" w:sz="8" w:color="auto"/>
            </w:tcBorders>
            <w:vMerge w:val="restart"/>
          </w:tcPr>
          <w:p>
            <w:pPr>
              <w:jc w:val="right"/>
              <w:ind w:right="4"/>
              <w:spacing w:after="0"/>
              <w:rPr>
                <w:sz w:val="20"/>
                <w:szCs w:val="20"/>
                <w:color w:val="auto"/>
              </w:rPr>
            </w:pPr>
            <w:r>
              <w:rPr>
                <w:rFonts w:ascii="Arial" w:cs="Arial" w:eastAsia="Arial" w:hAnsi="Arial"/>
                <w:sz w:val="7"/>
                <w:szCs w:val="7"/>
                <w:b w:val="1"/>
                <w:bCs w:val="1"/>
                <w:color w:val="auto"/>
              </w:rPr>
              <w:t>Annualized Contractual</w:t>
            </w:r>
          </w:p>
        </w:tc>
        <w:tc>
          <w:tcPr>
            <w:tcW w:w="0" w:type="dxa"/>
            <w:vAlign w:val="bottom"/>
          </w:tcPr>
          <w:p>
            <w:pPr>
              <w:spacing w:after="0"/>
              <w:rPr>
                <w:sz w:val="1"/>
                <w:szCs w:val="1"/>
                <w:color w:val="auto"/>
              </w:rPr>
            </w:pPr>
          </w:p>
        </w:tc>
      </w:tr>
      <w:tr>
        <w:trPr>
          <w:trHeight w:val="69"/>
        </w:trPr>
        <w:tc>
          <w:tcPr>
            <w:tcW w:w="1060" w:type="dxa"/>
            <w:vAlign w:val="bottom"/>
            <w:tcBorders>
              <w:left w:val="single" w:sz="8" w:color="auto"/>
            </w:tcBorders>
          </w:tcPr>
          <w:p>
            <w:pPr>
              <w:spacing w:after="0"/>
              <w:rPr>
                <w:sz w:val="5"/>
                <w:szCs w:val="5"/>
                <w:color w:val="auto"/>
              </w:rPr>
            </w:pPr>
          </w:p>
        </w:tc>
        <w:tc>
          <w:tcPr>
            <w:tcW w:w="1060" w:type="dxa"/>
            <w:vAlign w:val="bottom"/>
            <w:vMerge w:val="restart"/>
          </w:tcPr>
          <w:p>
            <w:pPr>
              <w:jc w:val="right"/>
              <w:ind w:right="24"/>
              <w:spacing w:after="0"/>
              <w:rPr>
                <w:sz w:val="20"/>
                <w:szCs w:val="20"/>
                <w:color w:val="auto"/>
              </w:rPr>
            </w:pPr>
            <w:r>
              <w:rPr>
                <w:rFonts w:ascii="Arial" w:cs="Arial" w:eastAsia="Arial" w:hAnsi="Arial"/>
                <w:sz w:val="7"/>
                <w:szCs w:val="7"/>
                <w:b w:val="1"/>
                <w:bCs w:val="1"/>
                <w:color w:val="auto"/>
              </w:rPr>
              <w:t>Number of Expiring Leases</w:t>
            </w:r>
          </w:p>
        </w:tc>
        <w:tc>
          <w:tcPr>
            <w:tcW w:w="960" w:type="dxa"/>
            <w:vAlign w:val="bottom"/>
            <w:vMerge w:val="restart"/>
          </w:tcPr>
          <w:p>
            <w:pPr>
              <w:jc w:val="right"/>
              <w:ind w:right="4"/>
              <w:spacing w:after="0"/>
              <w:rPr>
                <w:sz w:val="20"/>
                <w:szCs w:val="20"/>
                <w:color w:val="auto"/>
              </w:rPr>
            </w:pPr>
            <w:r>
              <w:rPr>
                <w:rFonts w:ascii="Arial" w:cs="Arial" w:eastAsia="Arial" w:hAnsi="Arial"/>
                <w:sz w:val="7"/>
                <w:szCs w:val="7"/>
                <w:b w:val="1"/>
                <w:bCs w:val="1"/>
                <w:color w:val="auto"/>
              </w:rPr>
              <w:t>Rentable Square Footage</w:t>
            </w:r>
          </w:p>
        </w:tc>
        <w:tc>
          <w:tcPr>
            <w:tcW w:w="1240" w:type="dxa"/>
            <w:vAlign w:val="bottom"/>
            <w:vMerge w:val="continue"/>
          </w:tcPr>
          <w:p>
            <w:pPr>
              <w:spacing w:after="0"/>
              <w:rPr>
                <w:sz w:val="5"/>
                <w:szCs w:val="5"/>
                <w:color w:val="auto"/>
              </w:rPr>
            </w:pPr>
          </w:p>
        </w:tc>
        <w:tc>
          <w:tcPr>
            <w:tcW w:w="800" w:type="dxa"/>
            <w:vAlign w:val="bottom"/>
            <w:vMerge w:val="restart"/>
          </w:tcPr>
          <w:p>
            <w:pPr>
              <w:jc w:val="right"/>
              <w:ind w:right="84"/>
              <w:spacing w:after="0"/>
              <w:rPr>
                <w:sz w:val="20"/>
                <w:szCs w:val="20"/>
                <w:color w:val="auto"/>
              </w:rPr>
            </w:pPr>
            <w:r>
              <w:rPr>
                <w:rFonts w:ascii="Arial" w:cs="Arial" w:eastAsia="Arial" w:hAnsi="Arial"/>
                <w:sz w:val="7"/>
                <w:szCs w:val="7"/>
                <w:b w:val="1"/>
                <w:bCs w:val="1"/>
                <w:color w:val="auto"/>
              </w:rPr>
              <w:t>Percentage of Total</w:t>
            </w:r>
          </w:p>
        </w:tc>
        <w:tc>
          <w:tcPr>
            <w:tcW w:w="980" w:type="dxa"/>
            <w:vAlign w:val="bottom"/>
            <w:vMerge w:val="continue"/>
          </w:tcPr>
          <w:p>
            <w:pPr>
              <w:spacing w:after="0"/>
              <w:rPr>
                <w:sz w:val="5"/>
                <w:szCs w:val="5"/>
                <w:color w:val="auto"/>
              </w:rPr>
            </w:pPr>
          </w:p>
        </w:tc>
        <w:tc>
          <w:tcPr>
            <w:tcW w:w="980" w:type="dxa"/>
            <w:vAlign w:val="bottom"/>
          </w:tcPr>
          <w:p>
            <w:pPr>
              <w:jc w:val="right"/>
              <w:ind w:right="44"/>
              <w:spacing w:after="0" w:line="69" w:lineRule="exact"/>
              <w:rPr>
                <w:sz w:val="20"/>
                <w:szCs w:val="20"/>
                <w:color w:val="auto"/>
              </w:rPr>
            </w:pPr>
            <w:r>
              <w:rPr>
                <w:rFonts w:ascii="Arial" w:cs="Arial" w:eastAsia="Arial" w:hAnsi="Arial"/>
                <w:sz w:val="7"/>
                <w:szCs w:val="7"/>
                <w:b w:val="1"/>
                <w:bCs w:val="1"/>
                <w:color w:val="auto"/>
              </w:rPr>
              <w:t>Annualized Contractual</w:t>
            </w:r>
          </w:p>
        </w:tc>
        <w:tc>
          <w:tcPr>
            <w:tcW w:w="10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060" w:type="dxa"/>
            <w:vAlign w:val="bottom"/>
            <w:tcBorders>
              <w:left w:val="single" w:sz="8" w:color="auto"/>
            </w:tcBorders>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40" w:type="dxa"/>
            <w:vAlign w:val="bottom"/>
          </w:tcPr>
          <w:p>
            <w:pPr>
              <w:jc w:val="right"/>
              <w:ind w:right="283"/>
              <w:spacing w:after="0" w:line="69" w:lineRule="exact"/>
              <w:rPr>
                <w:sz w:val="20"/>
                <w:szCs w:val="20"/>
                <w:color w:val="auto"/>
              </w:rPr>
            </w:pPr>
            <w:r>
              <w:rPr>
                <w:rFonts w:ascii="Arial" w:cs="Arial" w:eastAsia="Arial" w:hAnsi="Arial"/>
                <w:sz w:val="7"/>
                <w:szCs w:val="7"/>
                <w:b w:val="1"/>
                <w:bCs w:val="1"/>
                <w:color w:val="auto"/>
              </w:rPr>
              <w:t>Rentable Square Footage</w:t>
            </w:r>
          </w:p>
        </w:tc>
        <w:tc>
          <w:tcPr>
            <w:tcW w:w="800" w:type="dxa"/>
            <w:vAlign w:val="bottom"/>
            <w:vMerge w:val="continue"/>
          </w:tcPr>
          <w:p>
            <w:pPr>
              <w:spacing w:after="0"/>
              <w:rPr>
                <w:sz w:val="5"/>
                <w:szCs w:val="5"/>
                <w:color w:val="auto"/>
              </w:rPr>
            </w:pPr>
          </w:p>
        </w:tc>
        <w:tc>
          <w:tcPr>
            <w:tcW w:w="980" w:type="dxa"/>
            <w:vAlign w:val="bottom"/>
          </w:tcPr>
          <w:p>
            <w:pPr>
              <w:jc w:val="right"/>
              <w:ind w:right="44"/>
              <w:spacing w:after="0" w:line="69" w:lineRule="exact"/>
              <w:rPr>
                <w:sz w:val="20"/>
                <w:szCs w:val="20"/>
                <w:color w:val="auto"/>
              </w:rPr>
            </w:pPr>
            <w:r>
              <w:rPr>
                <w:rFonts w:ascii="Arial" w:cs="Arial" w:eastAsia="Arial" w:hAnsi="Arial"/>
                <w:sz w:val="7"/>
                <w:szCs w:val="7"/>
                <w:b w:val="1"/>
                <w:bCs w:val="1"/>
                <w:color w:val="auto"/>
              </w:rPr>
              <w:t>Cash Rent of Expiring</w:t>
            </w:r>
          </w:p>
        </w:tc>
        <w:tc>
          <w:tcPr>
            <w:tcW w:w="980" w:type="dxa"/>
            <w:vAlign w:val="bottom"/>
          </w:tcPr>
          <w:p>
            <w:pPr>
              <w:jc w:val="right"/>
              <w:ind w:right="44"/>
              <w:spacing w:after="0" w:line="69" w:lineRule="exact"/>
              <w:rPr>
                <w:sz w:val="20"/>
                <w:szCs w:val="20"/>
                <w:color w:val="auto"/>
              </w:rPr>
            </w:pPr>
            <w:r>
              <w:rPr>
                <w:rFonts w:ascii="Arial" w:cs="Arial" w:eastAsia="Arial" w:hAnsi="Arial"/>
                <w:sz w:val="7"/>
                <w:szCs w:val="7"/>
                <w:b w:val="1"/>
                <w:bCs w:val="1"/>
                <w:color w:val="auto"/>
              </w:rPr>
              <w:t>Cash Rent of Expiring</w:t>
            </w:r>
          </w:p>
        </w:tc>
        <w:tc>
          <w:tcPr>
            <w:tcW w:w="1040" w:type="dxa"/>
            <w:vAlign w:val="bottom"/>
            <w:tcBorders>
              <w:right w:val="single" w:sz="8" w:color="auto"/>
            </w:tcBorders>
          </w:tcPr>
          <w:p>
            <w:pPr>
              <w:jc w:val="right"/>
              <w:ind w:right="4"/>
              <w:spacing w:after="0" w:line="69" w:lineRule="exact"/>
              <w:rPr>
                <w:sz w:val="20"/>
                <w:szCs w:val="20"/>
                <w:color w:val="auto"/>
              </w:rPr>
            </w:pPr>
            <w:r>
              <w:rPr>
                <w:rFonts w:ascii="Arial" w:cs="Arial" w:eastAsia="Arial" w:hAnsi="Arial"/>
                <w:sz w:val="7"/>
                <w:szCs w:val="7"/>
                <w:b w:val="1"/>
                <w:bCs w:val="1"/>
                <w:color w:val="auto"/>
              </w:rPr>
              <w:t>Cash Rent Per Square Foot</w:t>
            </w:r>
          </w:p>
        </w:tc>
        <w:tc>
          <w:tcPr>
            <w:tcW w:w="0" w:type="dxa"/>
            <w:vAlign w:val="bottom"/>
          </w:tcPr>
          <w:p>
            <w:pPr>
              <w:spacing w:after="0"/>
              <w:rPr>
                <w:sz w:val="1"/>
                <w:szCs w:val="1"/>
                <w:color w:val="auto"/>
              </w:rPr>
            </w:pPr>
          </w:p>
        </w:tc>
      </w:tr>
      <w:tr>
        <w:trPr>
          <w:trHeight w:val="106"/>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Year of Lease Expiration</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(1)</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of Expiring Leases</w:t>
            </w:r>
          </w:p>
        </w:tc>
        <w:tc>
          <w:tcPr>
            <w:tcW w:w="1240" w:type="dxa"/>
            <w:vAlign w:val="bottom"/>
            <w:tcBorders>
              <w:bottom w:val="single" w:sz="8" w:color="auto"/>
            </w:tcBorders>
          </w:tcPr>
          <w:p>
            <w:pPr>
              <w:jc w:val="right"/>
              <w:ind w:right="283"/>
              <w:spacing w:after="0"/>
              <w:rPr>
                <w:sz w:val="20"/>
                <w:szCs w:val="20"/>
                <w:color w:val="auto"/>
              </w:rPr>
            </w:pPr>
            <w:r>
              <w:rPr>
                <w:rFonts w:ascii="Arial" w:cs="Arial" w:eastAsia="Arial" w:hAnsi="Arial"/>
                <w:sz w:val="7"/>
                <w:szCs w:val="7"/>
                <w:b w:val="1"/>
                <w:bCs w:val="1"/>
                <w:color w:val="auto"/>
              </w:rPr>
              <w:t>of Expiring Leases</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Sq. Ft.</w:t>
            </w: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Leases</w:t>
            </w: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Leases</w:t>
            </w:r>
          </w:p>
        </w:tc>
        <w:tc>
          <w:tcPr>
            <w:tcW w:w="104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of Expiring Leases $/psf (2)</w:t>
            </w:r>
          </w:p>
        </w:tc>
        <w:tc>
          <w:tcPr>
            <w:tcW w:w="0" w:type="dxa"/>
            <w:vAlign w:val="bottom"/>
          </w:tcPr>
          <w:p>
            <w:pPr>
              <w:spacing w:after="0"/>
              <w:rPr>
                <w:sz w:val="1"/>
                <w:szCs w:val="1"/>
                <w:color w:val="auto"/>
              </w:rPr>
            </w:pPr>
          </w:p>
        </w:tc>
      </w:tr>
      <w:tr>
        <w:trPr>
          <w:trHeight w:val="115"/>
        </w:trPr>
        <w:tc>
          <w:tcPr>
            <w:tcW w:w="106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2"/>
          </w:tcPr>
          <w:p>
            <w:pPr>
              <w:jc w:val="center"/>
              <w:ind w:right="64"/>
              <w:spacing w:after="0"/>
              <w:rPr>
                <w:sz w:val="20"/>
                <w:szCs w:val="20"/>
                <w:color w:val="auto"/>
              </w:rPr>
            </w:pPr>
            <w:r>
              <w:rPr>
                <w:rFonts w:ascii="Arial" w:cs="Arial" w:eastAsia="Arial" w:hAnsi="Arial"/>
                <w:sz w:val="9"/>
                <w:szCs w:val="9"/>
                <w:b w:val="1"/>
                <w:bCs w:val="1"/>
                <w:color w:val="auto"/>
                <w:w w:val="93"/>
              </w:rPr>
              <w:t>High Street Retail</w:t>
            </w: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auto"/>
            </w:tcBorders>
          </w:tcPr>
          <w:p>
            <w:pPr>
              <w:jc w:val="right"/>
              <w:ind w:right="24"/>
              <w:spacing w:after="0"/>
              <w:rPr>
                <w:sz w:val="20"/>
                <w:szCs w:val="20"/>
                <w:color w:val="auto"/>
              </w:rPr>
            </w:pPr>
            <w:r>
              <w:rPr>
                <w:rFonts w:ascii="Arial" w:cs="Arial" w:eastAsia="Arial" w:hAnsi="Arial"/>
                <w:sz w:val="7"/>
                <w:szCs w:val="7"/>
                <w:color w:val="auto"/>
              </w:rPr>
              <w:t>2026 (3)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2027</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2028</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2029</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2030</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2031</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2032</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2034</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2035</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12,520</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6,260</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100.0 %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4,200,000</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2,100,000</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335.46</w:t>
            </w:r>
          </w:p>
        </w:tc>
        <w:tc>
          <w:tcPr>
            <w:tcW w:w="0" w:type="dxa"/>
            <w:vAlign w:val="bottom"/>
          </w:tcPr>
          <w:p>
            <w:pPr>
              <w:spacing w:after="0"/>
              <w:rPr>
                <w:sz w:val="1"/>
                <w:szCs w:val="1"/>
                <w:color w:val="auto"/>
              </w:rPr>
            </w:pPr>
          </w:p>
        </w:tc>
      </w:tr>
      <w:tr>
        <w:trPr>
          <w:trHeight w:val="112"/>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Thereafter</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Borders>
              <w:bottom w:val="single" w:sz="8" w:color="auto"/>
            </w:tcBorders>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8"/>
        </w:trPr>
        <w:tc>
          <w:tcPr>
            <w:tcW w:w="1060" w:type="dxa"/>
            <w:vAlign w:val="bottom"/>
            <w:tcBorders>
              <w:left w:val="single" w:sz="8" w:color="auto"/>
            </w:tcBorders>
          </w:tcPr>
          <w:p>
            <w:pPr>
              <w:spacing w:after="0"/>
              <w:rPr>
                <w:sz w:val="8"/>
                <w:szCs w:val="8"/>
                <w:color w:val="auto"/>
              </w:rPr>
            </w:pPr>
          </w:p>
        </w:tc>
        <w:tc>
          <w:tcPr>
            <w:tcW w:w="1060" w:type="dxa"/>
            <w:vAlign w:val="bottom"/>
          </w:tcPr>
          <w:p>
            <w:pPr>
              <w:jc w:val="right"/>
              <w:ind w:right="64"/>
              <w:spacing w:after="0"/>
              <w:rPr>
                <w:sz w:val="20"/>
                <w:szCs w:val="20"/>
                <w:color w:val="auto"/>
              </w:rPr>
            </w:pPr>
            <w:r>
              <w:rPr>
                <w:rFonts w:ascii="Arial" w:cs="Arial" w:eastAsia="Arial" w:hAnsi="Arial"/>
                <w:sz w:val="7"/>
                <w:szCs w:val="7"/>
                <w:b w:val="1"/>
                <w:bCs w:val="1"/>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b w:val="1"/>
                <w:bCs w:val="1"/>
                <w:color w:val="auto"/>
              </w:rPr>
              <w:t>12,520</w:t>
            </w:r>
          </w:p>
        </w:tc>
        <w:tc>
          <w:tcPr>
            <w:tcW w:w="1240" w:type="dxa"/>
            <w:vAlign w:val="bottom"/>
          </w:tcPr>
          <w:p>
            <w:pPr>
              <w:jc w:val="right"/>
              <w:ind w:right="303"/>
              <w:spacing w:after="0"/>
              <w:rPr>
                <w:sz w:val="20"/>
                <w:szCs w:val="20"/>
                <w:color w:val="auto"/>
              </w:rPr>
            </w:pPr>
            <w:r>
              <w:rPr>
                <w:rFonts w:ascii="Arial" w:cs="Arial" w:eastAsia="Arial" w:hAnsi="Arial"/>
                <w:sz w:val="7"/>
                <w:szCs w:val="7"/>
                <w:b w:val="1"/>
                <w:bCs w:val="1"/>
                <w:color w:val="auto"/>
              </w:rPr>
              <w:t>6,260</w:t>
            </w:r>
          </w:p>
        </w:tc>
        <w:tc>
          <w:tcPr>
            <w:tcW w:w="800" w:type="dxa"/>
            <w:vAlign w:val="bottom"/>
          </w:tcPr>
          <w:p>
            <w:pPr>
              <w:jc w:val="right"/>
              <w:ind w:right="64"/>
              <w:spacing w:after="0"/>
              <w:rPr>
                <w:sz w:val="20"/>
                <w:szCs w:val="20"/>
                <w:color w:val="auto"/>
              </w:rPr>
            </w:pPr>
            <w:r>
              <w:rPr>
                <w:rFonts w:ascii="Arial" w:cs="Arial" w:eastAsia="Arial" w:hAnsi="Arial"/>
                <w:sz w:val="7"/>
                <w:szCs w:val="7"/>
                <w:b w:val="1"/>
                <w:bCs w:val="1"/>
                <w:color w:val="auto"/>
              </w:rPr>
              <w:t>100.0 %</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$4,200,000</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$2,100,000</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$335.46</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Vacancy (4)</w:t>
            </w: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Grand Total</w:t>
            </w:r>
          </w:p>
        </w:tc>
        <w:tc>
          <w:tcPr>
            <w:tcW w:w="1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12,520</w:t>
            </w:r>
          </w:p>
        </w:tc>
        <w:tc>
          <w:tcPr>
            <w:tcW w:w="1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6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jc w:val="center"/>
              <w:ind w:left="663"/>
              <w:spacing w:after="0"/>
              <w:rPr>
                <w:sz w:val="20"/>
                <w:szCs w:val="20"/>
                <w:color w:val="auto"/>
              </w:rPr>
            </w:pPr>
            <w:r>
              <w:rPr>
                <w:rFonts w:ascii="Arial" w:cs="Arial" w:eastAsia="Arial" w:hAnsi="Arial"/>
                <w:sz w:val="9"/>
                <w:szCs w:val="9"/>
                <w:b w:val="1"/>
                <w:bCs w:val="1"/>
                <w:color w:val="auto"/>
                <w:w w:val="97"/>
              </w:rPr>
              <w:t>Other Retail</w:t>
            </w:r>
          </w:p>
        </w:tc>
        <w:tc>
          <w:tcPr>
            <w:tcW w:w="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auto"/>
            </w:tcBorders>
          </w:tcPr>
          <w:p>
            <w:pPr>
              <w:jc w:val="right"/>
              <w:ind w:right="24"/>
              <w:spacing w:after="0"/>
              <w:rPr>
                <w:sz w:val="20"/>
                <w:szCs w:val="20"/>
                <w:color w:val="auto"/>
              </w:rPr>
            </w:pPr>
            <w:r>
              <w:rPr>
                <w:rFonts w:ascii="Arial" w:cs="Arial" w:eastAsia="Arial" w:hAnsi="Arial"/>
                <w:sz w:val="7"/>
                <w:szCs w:val="7"/>
                <w:color w:val="auto"/>
              </w:rPr>
              <w:t>2026 (3)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2027</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3</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19,225</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10,237</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3.8 %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11,859,294</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6,692,932</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616.87</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2028</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4</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29,892</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16,169</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5.9 %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6,891,357</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3,839,403</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230.54</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2029</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28,316</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14,785</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5.6 %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4,175,735</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1,861,661</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147.47</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2030</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11,970</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6,811</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2.4 %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7,297,361</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4,152,199</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609.64</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2031</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5</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47,335</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24,141</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9.3 %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4,282,918</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2,243,443</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90.48</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2032</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18,864</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9,499</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3.7 %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1,360,854</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686,709</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72.14</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4,721</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2,412</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0.9 %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590,005</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301,218</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124.97</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2034</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2035</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3</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8,147</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3,131</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1.6 %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789,408</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285,964</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96.90</w:t>
            </w:r>
          </w:p>
        </w:tc>
        <w:tc>
          <w:tcPr>
            <w:tcW w:w="0" w:type="dxa"/>
            <w:vAlign w:val="bottom"/>
          </w:tcPr>
          <w:p>
            <w:pPr>
              <w:spacing w:after="0"/>
              <w:rPr>
                <w:sz w:val="1"/>
                <w:szCs w:val="1"/>
                <w:color w:val="auto"/>
              </w:rPr>
            </w:pPr>
          </w:p>
        </w:tc>
      </w:tr>
      <w:tr>
        <w:trPr>
          <w:trHeight w:val="112"/>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Thereafter</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23</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337,847</w:t>
            </w:r>
          </w:p>
        </w:tc>
        <w:tc>
          <w:tcPr>
            <w:tcW w:w="1240" w:type="dxa"/>
            <w:vAlign w:val="bottom"/>
            <w:tcBorders>
              <w:bottom w:val="single" w:sz="8" w:color="auto"/>
            </w:tcBorders>
          </w:tcPr>
          <w:p>
            <w:pPr>
              <w:jc w:val="right"/>
              <w:ind w:right="303"/>
              <w:spacing w:after="0"/>
              <w:rPr>
                <w:sz w:val="20"/>
                <w:szCs w:val="20"/>
                <w:color w:val="auto"/>
              </w:rPr>
            </w:pPr>
            <w:r>
              <w:rPr>
                <w:rFonts w:ascii="Arial" w:cs="Arial" w:eastAsia="Arial" w:hAnsi="Arial"/>
                <w:sz w:val="7"/>
                <w:szCs w:val="7"/>
                <w:color w:val="auto"/>
              </w:rPr>
              <w:t>159,464</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66.8 %</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20,050,324</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9,568,230</w:t>
            </w:r>
          </w:p>
        </w:tc>
        <w:tc>
          <w:tcPr>
            <w:tcW w:w="104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59.35</w:t>
            </w:r>
          </w:p>
        </w:tc>
        <w:tc>
          <w:tcPr>
            <w:tcW w:w="0" w:type="dxa"/>
            <w:vAlign w:val="bottom"/>
          </w:tcPr>
          <w:p>
            <w:pPr>
              <w:spacing w:after="0"/>
              <w:rPr>
                <w:sz w:val="1"/>
                <w:szCs w:val="1"/>
                <w:color w:val="auto"/>
              </w:rPr>
            </w:pPr>
          </w:p>
        </w:tc>
      </w:tr>
      <w:tr>
        <w:trPr>
          <w:trHeight w:val="98"/>
        </w:trPr>
        <w:tc>
          <w:tcPr>
            <w:tcW w:w="1060" w:type="dxa"/>
            <w:vAlign w:val="bottom"/>
            <w:tcBorders>
              <w:left w:val="single" w:sz="8" w:color="auto"/>
            </w:tcBorders>
          </w:tcPr>
          <w:p>
            <w:pPr>
              <w:spacing w:after="0"/>
              <w:rPr>
                <w:sz w:val="8"/>
                <w:szCs w:val="8"/>
                <w:color w:val="auto"/>
              </w:rPr>
            </w:pPr>
          </w:p>
        </w:tc>
        <w:tc>
          <w:tcPr>
            <w:tcW w:w="1060" w:type="dxa"/>
            <w:vAlign w:val="bottom"/>
          </w:tcPr>
          <w:p>
            <w:pPr>
              <w:jc w:val="right"/>
              <w:ind w:right="64"/>
              <w:spacing w:after="0"/>
              <w:rPr>
                <w:sz w:val="20"/>
                <w:szCs w:val="20"/>
                <w:color w:val="auto"/>
              </w:rPr>
            </w:pPr>
            <w:r>
              <w:rPr>
                <w:rFonts w:ascii="Arial" w:cs="Arial" w:eastAsia="Arial" w:hAnsi="Arial"/>
                <w:sz w:val="7"/>
                <w:szCs w:val="7"/>
                <w:b w:val="1"/>
                <w:bCs w:val="1"/>
                <w:color w:val="auto"/>
              </w:rPr>
              <w:t>46</w:t>
            </w:r>
          </w:p>
        </w:tc>
        <w:tc>
          <w:tcPr>
            <w:tcW w:w="960" w:type="dxa"/>
            <w:vAlign w:val="bottom"/>
          </w:tcPr>
          <w:p>
            <w:pPr>
              <w:jc w:val="right"/>
              <w:ind w:right="44"/>
              <w:spacing w:after="0"/>
              <w:rPr>
                <w:sz w:val="20"/>
                <w:szCs w:val="20"/>
                <w:color w:val="auto"/>
              </w:rPr>
            </w:pPr>
            <w:r>
              <w:rPr>
                <w:rFonts w:ascii="Arial" w:cs="Arial" w:eastAsia="Arial" w:hAnsi="Arial"/>
                <w:sz w:val="7"/>
                <w:szCs w:val="7"/>
                <w:b w:val="1"/>
                <w:bCs w:val="1"/>
                <w:color w:val="auto"/>
              </w:rPr>
              <w:t>506,317</w:t>
            </w:r>
          </w:p>
        </w:tc>
        <w:tc>
          <w:tcPr>
            <w:tcW w:w="1240" w:type="dxa"/>
            <w:vAlign w:val="bottom"/>
          </w:tcPr>
          <w:p>
            <w:pPr>
              <w:jc w:val="right"/>
              <w:ind w:right="303"/>
              <w:spacing w:after="0"/>
              <w:rPr>
                <w:sz w:val="20"/>
                <w:szCs w:val="20"/>
                <w:color w:val="auto"/>
              </w:rPr>
            </w:pPr>
            <w:r>
              <w:rPr>
                <w:rFonts w:ascii="Arial" w:cs="Arial" w:eastAsia="Arial" w:hAnsi="Arial"/>
                <w:sz w:val="7"/>
                <w:szCs w:val="7"/>
                <w:b w:val="1"/>
                <w:bCs w:val="1"/>
                <w:color w:val="auto"/>
              </w:rPr>
              <w:t>246,649</w:t>
            </w:r>
          </w:p>
        </w:tc>
        <w:tc>
          <w:tcPr>
            <w:tcW w:w="800" w:type="dxa"/>
            <w:vAlign w:val="bottom"/>
          </w:tcPr>
          <w:p>
            <w:pPr>
              <w:jc w:val="right"/>
              <w:ind w:right="64"/>
              <w:spacing w:after="0"/>
              <w:rPr>
                <w:sz w:val="20"/>
                <w:szCs w:val="20"/>
                <w:color w:val="auto"/>
              </w:rPr>
            </w:pPr>
            <w:r>
              <w:rPr>
                <w:rFonts w:ascii="Arial" w:cs="Arial" w:eastAsia="Arial" w:hAnsi="Arial"/>
                <w:sz w:val="7"/>
                <w:szCs w:val="7"/>
                <w:b w:val="1"/>
                <w:bCs w:val="1"/>
                <w:color w:val="auto"/>
              </w:rPr>
              <w:t>100.0 %</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$57,297,256</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$29,631,759</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$113.16</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Vacancy (4)</w:t>
            </w: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26,276</w:t>
            </w: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Grand Total</w:t>
            </w:r>
          </w:p>
        </w:tc>
        <w:tc>
          <w:tcPr>
            <w:tcW w:w="1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532,593</w:t>
            </w:r>
          </w:p>
        </w:tc>
        <w:tc>
          <w:tcPr>
            <w:tcW w:w="1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6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2"/>
          </w:tcPr>
          <w:p>
            <w:pPr>
              <w:jc w:val="center"/>
              <w:ind w:right="64"/>
              <w:spacing w:after="0"/>
              <w:rPr>
                <w:sz w:val="20"/>
                <w:szCs w:val="20"/>
                <w:color w:val="auto"/>
              </w:rPr>
            </w:pPr>
            <w:r>
              <w:rPr>
                <w:rFonts w:ascii="Arial" w:cs="Arial" w:eastAsia="Arial" w:hAnsi="Arial"/>
                <w:sz w:val="9"/>
                <w:szCs w:val="9"/>
                <w:b w:val="1"/>
                <w:bCs w:val="1"/>
                <w:color w:val="auto"/>
                <w:w w:val="94"/>
              </w:rPr>
              <w:t>Alternative Strategy Portfolio</w:t>
            </w: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auto"/>
            </w:tcBorders>
          </w:tcPr>
          <w:p>
            <w:pPr>
              <w:jc w:val="right"/>
              <w:ind w:right="24"/>
              <w:spacing w:after="0"/>
              <w:rPr>
                <w:sz w:val="20"/>
                <w:szCs w:val="20"/>
                <w:color w:val="auto"/>
              </w:rPr>
            </w:pPr>
            <w:r>
              <w:rPr>
                <w:rFonts w:ascii="Arial" w:cs="Arial" w:eastAsia="Arial" w:hAnsi="Arial"/>
                <w:sz w:val="7"/>
                <w:szCs w:val="7"/>
                <w:color w:val="auto"/>
              </w:rPr>
              <w:t>2026 (3)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3</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17,645</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6,326</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13.3 %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$7,064,172</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$2,994,812</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$400.35</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2027</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3,186</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798</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2.4 %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548,087</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137,295</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172.03</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2028</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1,819</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456</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1.4 %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221,150</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55,398</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121.58</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2029</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595</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149</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0.4 %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112,357</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28,145</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188.83</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2030</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2031</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1,830</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458</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1.4 %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197,188</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49,395</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107.75</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2032</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21,706</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20,621</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16.3 %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7,537,545</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7,160,667</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347.26</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2033</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69,214</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34,607</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52.0 %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43,839,396</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21,919,698</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633.39</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2034</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16,343</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15,526</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12.3 %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7,057,884</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6,704,990</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431.86</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tcBorders>
          </w:tcPr>
          <w:p>
            <w:pPr>
              <w:jc w:val="right"/>
              <w:ind w:right="44"/>
              <w:spacing w:after="0"/>
              <w:rPr>
                <w:sz w:val="20"/>
                <w:szCs w:val="20"/>
                <w:color w:val="auto"/>
              </w:rPr>
            </w:pPr>
            <w:r>
              <w:rPr>
                <w:rFonts w:ascii="Arial" w:cs="Arial" w:eastAsia="Arial" w:hAnsi="Arial"/>
                <w:sz w:val="7"/>
                <w:szCs w:val="7"/>
                <w:color w:val="auto"/>
              </w:rPr>
              <w:t>2035</w:t>
            </w:r>
          </w:p>
        </w:tc>
        <w:tc>
          <w:tcPr>
            <w:tcW w:w="10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96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303"/>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64"/>
              <w:spacing w:after="0"/>
              <w:rPr>
                <w:sz w:val="20"/>
                <w:szCs w:val="20"/>
                <w:color w:val="auto"/>
              </w:rPr>
            </w:pPr>
            <w:r>
              <w:rPr>
                <w:rFonts w:ascii="Arial" w:cs="Arial" w:eastAsia="Arial" w:hAnsi="Arial"/>
                <w:sz w:val="7"/>
                <w:szCs w:val="7"/>
                <w:color w:val="auto"/>
              </w:rPr>
              <w:t>— %</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12"/>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Thereafter</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647</w:t>
            </w:r>
          </w:p>
        </w:tc>
        <w:tc>
          <w:tcPr>
            <w:tcW w:w="1240" w:type="dxa"/>
            <w:vAlign w:val="bottom"/>
            <w:tcBorders>
              <w:bottom w:val="single" w:sz="8" w:color="auto"/>
            </w:tcBorders>
          </w:tcPr>
          <w:p>
            <w:pPr>
              <w:jc w:val="right"/>
              <w:ind w:right="303"/>
              <w:spacing w:after="0"/>
              <w:rPr>
                <w:sz w:val="20"/>
                <w:szCs w:val="20"/>
                <w:color w:val="auto"/>
              </w:rPr>
            </w:pPr>
            <w:r>
              <w:rPr>
                <w:rFonts w:ascii="Arial" w:cs="Arial" w:eastAsia="Arial" w:hAnsi="Arial"/>
                <w:sz w:val="7"/>
                <w:szCs w:val="7"/>
                <w:color w:val="auto"/>
              </w:rPr>
              <w:t>162</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0.5 %</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87,480</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21,914</w:t>
            </w:r>
          </w:p>
        </w:tc>
        <w:tc>
          <w:tcPr>
            <w:tcW w:w="104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7"/>
                <w:szCs w:val="7"/>
                <w:color w:val="auto"/>
              </w:rPr>
              <w:t>135.21</w:t>
            </w:r>
          </w:p>
        </w:tc>
        <w:tc>
          <w:tcPr>
            <w:tcW w:w="0" w:type="dxa"/>
            <w:vAlign w:val="bottom"/>
          </w:tcPr>
          <w:p>
            <w:pPr>
              <w:spacing w:after="0"/>
              <w:rPr>
                <w:sz w:val="1"/>
                <w:szCs w:val="1"/>
                <w:color w:val="auto"/>
              </w:rPr>
            </w:pPr>
          </w:p>
        </w:tc>
      </w:tr>
      <w:tr>
        <w:trPr>
          <w:trHeight w:val="98"/>
        </w:trPr>
        <w:tc>
          <w:tcPr>
            <w:tcW w:w="1060" w:type="dxa"/>
            <w:vAlign w:val="bottom"/>
            <w:tcBorders>
              <w:left w:val="single" w:sz="8" w:color="auto"/>
            </w:tcBorders>
          </w:tcPr>
          <w:p>
            <w:pPr>
              <w:spacing w:after="0"/>
              <w:rPr>
                <w:sz w:val="8"/>
                <w:szCs w:val="8"/>
                <w:color w:val="auto"/>
              </w:rPr>
            </w:pPr>
          </w:p>
        </w:tc>
        <w:tc>
          <w:tcPr>
            <w:tcW w:w="1060" w:type="dxa"/>
            <w:vAlign w:val="bottom"/>
          </w:tcPr>
          <w:p>
            <w:pPr>
              <w:jc w:val="right"/>
              <w:ind w:right="64"/>
              <w:spacing w:after="0"/>
              <w:rPr>
                <w:sz w:val="20"/>
                <w:szCs w:val="20"/>
                <w:color w:val="auto"/>
              </w:rPr>
            </w:pPr>
            <w:r>
              <w:rPr>
                <w:rFonts w:ascii="Arial" w:cs="Arial" w:eastAsia="Arial" w:hAnsi="Arial"/>
                <w:sz w:val="7"/>
                <w:szCs w:val="7"/>
                <w:b w:val="1"/>
                <w:bCs w:val="1"/>
                <w:color w:val="auto"/>
              </w:rPr>
              <w:t>12</w:t>
            </w:r>
          </w:p>
        </w:tc>
        <w:tc>
          <w:tcPr>
            <w:tcW w:w="960" w:type="dxa"/>
            <w:vAlign w:val="bottom"/>
          </w:tcPr>
          <w:p>
            <w:pPr>
              <w:jc w:val="right"/>
              <w:ind w:right="44"/>
              <w:spacing w:after="0"/>
              <w:rPr>
                <w:sz w:val="20"/>
                <w:szCs w:val="20"/>
                <w:color w:val="auto"/>
              </w:rPr>
            </w:pPr>
            <w:r>
              <w:rPr>
                <w:rFonts w:ascii="Arial" w:cs="Arial" w:eastAsia="Arial" w:hAnsi="Arial"/>
                <w:sz w:val="7"/>
                <w:szCs w:val="7"/>
                <w:b w:val="1"/>
                <w:bCs w:val="1"/>
                <w:color w:val="auto"/>
              </w:rPr>
              <w:t>132,985</w:t>
            </w:r>
          </w:p>
        </w:tc>
        <w:tc>
          <w:tcPr>
            <w:tcW w:w="1240" w:type="dxa"/>
            <w:vAlign w:val="bottom"/>
          </w:tcPr>
          <w:p>
            <w:pPr>
              <w:jc w:val="right"/>
              <w:ind w:right="303"/>
              <w:spacing w:after="0"/>
              <w:rPr>
                <w:sz w:val="20"/>
                <w:szCs w:val="20"/>
                <w:color w:val="auto"/>
              </w:rPr>
            </w:pPr>
            <w:r>
              <w:rPr>
                <w:rFonts w:ascii="Arial" w:cs="Arial" w:eastAsia="Arial" w:hAnsi="Arial"/>
                <w:sz w:val="7"/>
                <w:szCs w:val="7"/>
                <w:b w:val="1"/>
                <w:bCs w:val="1"/>
                <w:color w:val="auto"/>
              </w:rPr>
              <w:t>79,103</w:t>
            </w:r>
          </w:p>
        </w:tc>
        <w:tc>
          <w:tcPr>
            <w:tcW w:w="800" w:type="dxa"/>
            <w:vAlign w:val="bottom"/>
          </w:tcPr>
          <w:p>
            <w:pPr>
              <w:jc w:val="right"/>
              <w:ind w:right="64"/>
              <w:spacing w:after="0"/>
              <w:rPr>
                <w:sz w:val="20"/>
                <w:szCs w:val="20"/>
                <w:color w:val="auto"/>
              </w:rPr>
            </w:pPr>
            <w:r>
              <w:rPr>
                <w:rFonts w:ascii="Arial" w:cs="Arial" w:eastAsia="Arial" w:hAnsi="Arial"/>
                <w:sz w:val="7"/>
                <w:szCs w:val="7"/>
                <w:b w:val="1"/>
                <w:bCs w:val="1"/>
                <w:color w:val="auto"/>
              </w:rPr>
              <w:t>100.0 %</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$66,665,259</w:t>
            </w:r>
          </w:p>
        </w:tc>
        <w:tc>
          <w:tcPr>
            <w:tcW w:w="980" w:type="dxa"/>
            <w:vAlign w:val="bottom"/>
          </w:tcPr>
          <w:p>
            <w:pPr>
              <w:jc w:val="right"/>
              <w:ind w:right="84"/>
              <w:spacing w:after="0"/>
              <w:rPr>
                <w:sz w:val="20"/>
                <w:szCs w:val="20"/>
                <w:color w:val="auto"/>
              </w:rPr>
            </w:pPr>
            <w:r>
              <w:rPr>
                <w:rFonts w:ascii="Arial" w:cs="Arial" w:eastAsia="Arial" w:hAnsi="Arial"/>
                <w:sz w:val="7"/>
                <w:szCs w:val="7"/>
                <w:b w:val="1"/>
                <w:bCs w:val="1"/>
                <w:color w:val="auto"/>
              </w:rPr>
              <w:t>$39,072,314</w:t>
            </w:r>
          </w:p>
        </w:tc>
        <w:tc>
          <w:tcPr>
            <w:tcW w:w="1040" w:type="dxa"/>
            <w:vAlign w:val="bottom"/>
            <w:tcBorders>
              <w:right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$501.30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color w:val="auto"/>
              </w:rPr>
              <w:t>Vacancy (4)</w:t>
            </w: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57,455</w:t>
            </w: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06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Grand Total</w:t>
            </w:r>
          </w:p>
        </w:tc>
        <w:tc>
          <w:tcPr>
            <w:tcW w:w="1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190,440</w:t>
            </w:r>
          </w:p>
        </w:tc>
        <w:tc>
          <w:tcPr>
            <w:tcW w:w="1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80" w:hanging="90"/>
        <w:spacing w:after="0"/>
        <w:tabs>
          <w:tab w:leader="none" w:pos="580" w:val="left"/>
        </w:tabs>
        <w:numPr>
          <w:ilvl w:val="0"/>
          <w:numId w:val="29"/>
        </w:numPr>
        <w:rPr>
          <w:rFonts w:ascii="Arial" w:cs="Arial" w:eastAsia="Arial" w:hAnsi="Arial"/>
          <w:sz w:val="7"/>
          <w:szCs w:val="7"/>
          <w:color w:val="auto"/>
        </w:rPr>
      </w:pPr>
      <w:r>
        <w:rPr>
          <w:rFonts w:ascii="Arial" w:cs="Arial" w:eastAsia="Arial" w:hAnsi="Arial"/>
          <w:sz w:val="7"/>
          <w:szCs w:val="7"/>
          <w:color w:val="auto"/>
        </w:rPr>
        <w:t>Tenants may have multiple leases.</w:t>
      </w:r>
    </w:p>
    <w:p>
      <w:pPr>
        <w:spacing w:after="0" w:line="27" w:lineRule="exact"/>
        <w:rPr>
          <w:rFonts w:ascii="Arial" w:cs="Arial" w:eastAsia="Arial" w:hAnsi="Arial"/>
          <w:sz w:val="7"/>
          <w:szCs w:val="7"/>
          <w:color w:val="auto"/>
        </w:rPr>
      </w:pPr>
    </w:p>
    <w:p>
      <w:pPr>
        <w:ind w:left="580" w:hanging="90"/>
        <w:spacing w:after="0"/>
        <w:tabs>
          <w:tab w:leader="none" w:pos="580" w:val="left"/>
        </w:tabs>
        <w:numPr>
          <w:ilvl w:val="0"/>
          <w:numId w:val="29"/>
        </w:numPr>
        <w:rPr>
          <w:rFonts w:ascii="Arial" w:cs="Arial" w:eastAsia="Arial" w:hAnsi="Arial"/>
          <w:sz w:val="7"/>
          <w:szCs w:val="7"/>
          <w:color w:val="auto"/>
        </w:rPr>
      </w:pPr>
      <w:r>
        <w:rPr>
          <w:rFonts w:ascii="Arial" w:cs="Arial" w:eastAsia="Arial" w:hAnsi="Arial"/>
          <w:sz w:val="7"/>
          <w:szCs w:val="7"/>
          <w:color w:val="auto"/>
        </w:rPr>
        <w:t>Represents in place annualized contractual cash rent allocated by year of expiration.</w:t>
      </w:r>
    </w:p>
    <w:p>
      <w:pPr>
        <w:spacing w:after="0" w:line="27" w:lineRule="exact"/>
        <w:rPr>
          <w:rFonts w:ascii="Arial" w:cs="Arial" w:eastAsia="Arial" w:hAnsi="Arial"/>
          <w:sz w:val="7"/>
          <w:szCs w:val="7"/>
          <w:color w:val="auto"/>
        </w:rPr>
      </w:pPr>
    </w:p>
    <w:p>
      <w:pPr>
        <w:ind w:left="580" w:hanging="90"/>
        <w:spacing w:after="0"/>
        <w:tabs>
          <w:tab w:leader="none" w:pos="580" w:val="left"/>
        </w:tabs>
        <w:numPr>
          <w:ilvl w:val="0"/>
          <w:numId w:val="29"/>
        </w:numPr>
        <w:rPr>
          <w:rFonts w:ascii="Arial" w:cs="Arial" w:eastAsia="Arial" w:hAnsi="Arial"/>
          <w:sz w:val="7"/>
          <w:szCs w:val="7"/>
          <w:color w:val="auto"/>
        </w:rPr>
      </w:pPr>
      <w:r>
        <w:rPr>
          <w:rFonts w:ascii="Arial" w:cs="Arial" w:eastAsia="Arial" w:hAnsi="Arial"/>
          <w:sz w:val="7"/>
          <w:szCs w:val="7"/>
          <w:color w:val="auto"/>
        </w:rPr>
        <w:t>Includes month to month holdover tenants that expired prior to March 31, 2026.</w:t>
      </w:r>
    </w:p>
    <w:p>
      <w:pPr>
        <w:spacing w:after="0" w:line="27" w:lineRule="exact"/>
        <w:rPr>
          <w:rFonts w:ascii="Arial" w:cs="Arial" w:eastAsia="Arial" w:hAnsi="Arial"/>
          <w:sz w:val="7"/>
          <w:szCs w:val="7"/>
          <w:color w:val="auto"/>
        </w:rPr>
      </w:pPr>
    </w:p>
    <w:p>
      <w:pPr>
        <w:ind w:left="580" w:hanging="90"/>
        <w:spacing w:after="0"/>
        <w:tabs>
          <w:tab w:leader="none" w:pos="580" w:val="left"/>
        </w:tabs>
        <w:numPr>
          <w:ilvl w:val="0"/>
          <w:numId w:val="29"/>
        </w:numPr>
        <w:rPr>
          <w:rFonts w:ascii="Arial" w:cs="Arial" w:eastAsia="Arial" w:hAnsi="Arial"/>
          <w:sz w:val="7"/>
          <w:szCs w:val="7"/>
          <w:color w:val="auto"/>
        </w:rPr>
      </w:pPr>
      <w:r>
        <w:rPr>
          <w:rFonts w:ascii="Arial" w:cs="Arial" w:eastAsia="Arial" w:hAnsi="Arial"/>
          <w:sz w:val="7"/>
          <w:szCs w:val="7"/>
          <w:color w:val="auto"/>
        </w:rPr>
        <w:t>Includes square footage of leases signed but not yet commenced.</w:t>
      </w:r>
    </w:p>
    <w:p>
      <w:pPr>
        <w:spacing w:after="0" w:line="200" w:lineRule="exact"/>
        <w:rPr>
          <w:sz w:val="20"/>
          <w:szCs w:val="20"/>
          <w:color w:val="auto"/>
        </w:rPr>
      </w:pPr>
    </w:p>
    <w:p>
      <w:pPr>
        <w:spacing w:after="0" w:line="274" w:lineRule="exact"/>
        <w:rPr>
          <w:sz w:val="20"/>
          <w:szCs w:val="20"/>
          <w:color w:val="auto"/>
        </w:rPr>
      </w:pPr>
    </w:p>
    <w:p>
      <w:pPr>
        <w:spacing w:after="0"/>
        <w:tabs>
          <w:tab w:leader="none" w:pos="4440" w:val="left"/>
          <w:tab w:leader="none" w:pos="828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40</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60"/>
          </w:cols>
          <w:pgMar w:left="1420" w:top="297" w:right="141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SUMMARY OF REAL ESTATE 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3"/>
          <w:szCs w:val="13"/>
          <w:b w:val="1"/>
          <w:bCs w:val="1"/>
          <w:color w:val="auto"/>
        </w:rPr>
        <w:t>Manhattan Office</w:t>
      </w:r>
    </w:p>
    <w:p>
      <w:pPr>
        <w:spacing w:after="0" w:line="211"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w w:val="96"/>
              </w:rPr>
              <w:t>Gross Asset</w:t>
            </w: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7"/>
                <w:szCs w:val="7"/>
                <w:b w:val="1"/>
                <w:bCs w:val="1"/>
                <w:color w:val="auto"/>
              </w:rPr>
              <w:t>Occupancy (%)</w:t>
            </w: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r>
        <w:trPr>
          <w:trHeight w:val="79"/>
        </w:trPr>
        <w:tc>
          <w:tcPr>
            <w:tcW w:w="820" w:type="dxa"/>
            <w:vAlign w:val="bottom"/>
          </w:tcPr>
          <w:p>
            <w:pPr>
              <w:spacing w:after="0"/>
              <w:rPr>
                <w:sz w:val="6"/>
                <w:szCs w:val="6"/>
                <w:color w:val="auto"/>
              </w:rPr>
            </w:pPr>
          </w:p>
        </w:tc>
        <w:tc>
          <w:tcPr>
            <w:tcW w:w="1560" w:type="dxa"/>
            <w:vAlign w:val="bottom"/>
            <w:gridSpan w:val="4"/>
          </w:tcPr>
          <w:p>
            <w:pPr>
              <w:ind w:left="20"/>
              <w:spacing w:after="0" w:line="79" w:lineRule="exact"/>
              <w:rPr>
                <w:sz w:val="20"/>
                <w:szCs w:val="20"/>
                <w:color w:val="auto"/>
              </w:rPr>
            </w:pPr>
            <w:r>
              <w:rPr>
                <w:rFonts w:ascii="Arial" w:cs="Arial" w:eastAsia="Arial" w:hAnsi="Arial"/>
                <w:sz w:val="7"/>
                <w:szCs w:val="7"/>
                <w:b w:val="1"/>
                <w:bCs w:val="1"/>
                <w:color w:val="auto"/>
              </w:rPr>
              <w:t>Property</w:t>
            </w:r>
          </w:p>
        </w:tc>
        <w:tc>
          <w:tcPr>
            <w:tcW w:w="880" w:type="dxa"/>
            <w:vAlign w:val="bottom"/>
            <w:gridSpan w:val="2"/>
          </w:tcPr>
          <w:p>
            <w:pPr>
              <w:spacing w:after="0" w:line="79" w:lineRule="exact"/>
              <w:rPr>
                <w:sz w:val="20"/>
                <w:szCs w:val="20"/>
                <w:color w:val="auto"/>
              </w:rPr>
            </w:pPr>
            <w:r>
              <w:rPr>
                <w:rFonts w:ascii="Arial" w:cs="Arial" w:eastAsia="Arial" w:hAnsi="Arial"/>
                <w:sz w:val="7"/>
                <w:szCs w:val="7"/>
                <w:b w:val="1"/>
                <w:bCs w:val="1"/>
                <w:color w:val="auto"/>
              </w:rPr>
              <w:t>Submarket</w:t>
            </w:r>
          </w:p>
        </w:tc>
        <w:tc>
          <w:tcPr>
            <w:tcW w:w="900" w:type="dxa"/>
            <w:vAlign w:val="bottom"/>
            <w:gridSpan w:val="3"/>
          </w:tcPr>
          <w:p>
            <w:pPr>
              <w:ind w:left="180"/>
              <w:spacing w:after="0" w:line="79" w:lineRule="exact"/>
              <w:rPr>
                <w:sz w:val="20"/>
                <w:szCs w:val="20"/>
                <w:color w:val="auto"/>
              </w:rPr>
            </w:pPr>
            <w:r>
              <w:rPr>
                <w:rFonts w:ascii="Arial" w:cs="Arial" w:eastAsia="Arial" w:hAnsi="Arial"/>
                <w:sz w:val="7"/>
                <w:szCs w:val="7"/>
                <w:b w:val="1"/>
                <w:bCs w:val="1"/>
                <w:color w:val="auto"/>
              </w:rPr>
              <w:t>Interest Acquired</w:t>
            </w:r>
          </w:p>
        </w:tc>
        <w:tc>
          <w:tcPr>
            <w:tcW w:w="1440" w:type="dxa"/>
            <w:vAlign w:val="bottom"/>
            <w:gridSpan w:val="3"/>
          </w:tcPr>
          <w:p>
            <w:pPr>
              <w:ind w:left="180"/>
              <w:spacing w:after="0" w:line="79" w:lineRule="exact"/>
              <w:rPr>
                <w:sz w:val="20"/>
                <w:szCs w:val="20"/>
                <w:color w:val="auto"/>
              </w:rPr>
            </w:pPr>
            <w:r>
              <w:rPr>
                <w:rFonts w:ascii="Arial" w:cs="Arial" w:eastAsia="Arial" w:hAnsi="Arial"/>
                <w:sz w:val="7"/>
                <w:szCs w:val="7"/>
                <w:b w:val="1"/>
                <w:bCs w:val="1"/>
                <w:color w:val="auto"/>
              </w:rPr>
              <w:t>Type of Ownership</w:t>
            </w:r>
          </w:p>
        </w:tc>
        <w:tc>
          <w:tcPr>
            <w:tcW w:w="100" w:type="dxa"/>
            <w:vAlign w:val="bottom"/>
          </w:tcPr>
          <w:p>
            <w:pPr>
              <w:spacing w:after="0"/>
              <w:rPr>
                <w:sz w:val="6"/>
                <w:szCs w:val="6"/>
                <w:color w:val="auto"/>
              </w:rPr>
            </w:pPr>
          </w:p>
        </w:tc>
        <w:tc>
          <w:tcPr>
            <w:tcW w:w="860" w:type="dxa"/>
            <w:vAlign w:val="bottom"/>
            <w:gridSpan w:val="3"/>
          </w:tcPr>
          <w:p>
            <w:pPr>
              <w:spacing w:after="0" w:line="79" w:lineRule="exact"/>
              <w:rPr>
                <w:sz w:val="20"/>
                <w:szCs w:val="20"/>
                <w:color w:val="auto"/>
              </w:rPr>
            </w:pPr>
            <w:r>
              <w:rPr>
                <w:rFonts w:ascii="Arial" w:cs="Arial" w:eastAsia="Arial" w:hAnsi="Arial"/>
                <w:sz w:val="7"/>
                <w:szCs w:val="7"/>
                <w:b w:val="1"/>
                <w:bCs w:val="1"/>
                <w:color w:val="auto"/>
              </w:rPr>
              <w:t>Net Rentable SF</w:t>
            </w:r>
          </w:p>
        </w:tc>
        <w:tc>
          <w:tcPr>
            <w:tcW w:w="80" w:type="dxa"/>
            <w:vAlign w:val="bottom"/>
          </w:tcPr>
          <w:p>
            <w:pPr>
              <w:spacing w:after="0"/>
              <w:rPr>
                <w:sz w:val="6"/>
                <w:szCs w:val="6"/>
                <w:color w:val="auto"/>
              </w:rPr>
            </w:pPr>
          </w:p>
        </w:tc>
        <w:tc>
          <w:tcPr>
            <w:tcW w:w="620" w:type="dxa"/>
            <w:vAlign w:val="bottom"/>
            <w:gridSpan w:val="3"/>
          </w:tcPr>
          <w:p>
            <w:pPr>
              <w:jc w:val="right"/>
              <w:ind w:right="140"/>
              <w:spacing w:after="0" w:line="79" w:lineRule="exact"/>
              <w:rPr>
                <w:sz w:val="20"/>
                <w:szCs w:val="20"/>
                <w:color w:val="auto"/>
              </w:rPr>
            </w:pPr>
            <w:r>
              <w:rPr>
                <w:rFonts w:ascii="Arial" w:cs="Arial" w:eastAsia="Arial" w:hAnsi="Arial"/>
                <w:sz w:val="7"/>
                <w:szCs w:val="7"/>
                <w:b w:val="1"/>
                <w:bCs w:val="1"/>
                <w:color w:val="auto"/>
                <w:w w:val="96"/>
              </w:rPr>
              <w:t xml:space="preserve">Valuation </w:t>
            </w:r>
            <w:r>
              <w:rPr>
                <w:rFonts w:ascii="Arial" w:cs="Arial" w:eastAsia="Arial" w:hAnsi="Arial"/>
                <w:sz w:val="7"/>
                <w:szCs w:val="7"/>
                <w:b w:val="1"/>
                <w:bCs w:val="1"/>
                <w:u w:val="single" w:color="auto"/>
                <w:color w:val="auto"/>
                <w:w w:val="96"/>
              </w:rPr>
              <w:t>($</w:t>
            </w:r>
            <w:r>
              <w:rPr>
                <w:rFonts w:ascii="Arial" w:cs="Arial" w:eastAsia="Arial" w:hAnsi="Arial"/>
                <w:sz w:val="7"/>
                <w:szCs w:val="7"/>
                <w:b w:val="1"/>
                <w:bCs w:val="1"/>
                <w:color w:val="auto"/>
                <w:w w:val="96"/>
              </w:rPr>
              <w:t>'s)</w:t>
            </w:r>
          </w:p>
        </w:tc>
        <w:tc>
          <w:tcPr>
            <w:tcW w:w="260" w:type="dxa"/>
            <w:vAlign w:val="bottom"/>
          </w:tcPr>
          <w:p>
            <w:pPr>
              <w:spacing w:after="0"/>
              <w:rPr>
                <w:sz w:val="6"/>
                <w:szCs w:val="6"/>
                <w:color w:val="auto"/>
              </w:rPr>
            </w:pPr>
          </w:p>
        </w:tc>
        <w:tc>
          <w:tcPr>
            <w:tcW w:w="1020" w:type="dxa"/>
            <w:vAlign w:val="bottom"/>
            <w:gridSpan w:val="3"/>
          </w:tcPr>
          <w:p>
            <w:pPr>
              <w:jc w:val="right"/>
              <w:ind w:right="420"/>
              <w:spacing w:after="0" w:line="79" w:lineRule="exact"/>
              <w:rPr>
                <w:sz w:val="20"/>
                <w:szCs w:val="20"/>
                <w:color w:val="auto"/>
              </w:rPr>
            </w:pPr>
            <w:r>
              <w:rPr>
                <w:rFonts w:ascii="Arial" w:cs="Arial" w:eastAsia="Arial" w:hAnsi="Arial"/>
                <w:sz w:val="7"/>
                <w:szCs w:val="7"/>
                <w:b w:val="1"/>
                <w:bCs w:val="1"/>
                <w:color w:val="auto"/>
              </w:rPr>
              <w:t>at acquisition</w:t>
            </w:r>
          </w:p>
        </w:tc>
        <w:tc>
          <w:tcPr>
            <w:tcW w:w="300" w:type="dxa"/>
            <w:vAlign w:val="bottom"/>
            <w:gridSpan w:val="2"/>
          </w:tcPr>
          <w:p>
            <w:pPr>
              <w:jc w:val="right"/>
              <w:spacing w:after="0" w:line="79" w:lineRule="exact"/>
              <w:rPr>
                <w:sz w:val="20"/>
                <w:szCs w:val="20"/>
                <w:color w:val="auto"/>
              </w:rPr>
            </w:pPr>
            <w:r>
              <w:rPr>
                <w:rFonts w:ascii="Arial" w:cs="Arial" w:eastAsia="Arial" w:hAnsi="Arial"/>
                <w:sz w:val="7"/>
                <w:szCs w:val="7"/>
                <w:b w:val="1"/>
                <w:bCs w:val="1"/>
                <w:color w:val="auto"/>
                <w:w w:val="89"/>
              </w:rPr>
              <w:t>3/31/2026</w:t>
            </w:r>
          </w:p>
        </w:tc>
        <w:tc>
          <w:tcPr>
            <w:tcW w:w="240" w:type="dxa"/>
            <w:vAlign w:val="bottom"/>
          </w:tcPr>
          <w:p>
            <w:pPr>
              <w:spacing w:after="0"/>
              <w:rPr>
                <w:sz w:val="6"/>
                <w:szCs w:val="6"/>
                <w:color w:val="auto"/>
              </w:rPr>
            </w:pPr>
          </w:p>
        </w:tc>
      </w:tr>
      <w:tr>
        <w:trPr>
          <w:trHeight w:val="110"/>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93"/>
              </w:rPr>
              <w:t>2001 - 2025 Acquisitions</w:t>
            </w: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r>
      <w:tr>
        <w:trPr>
          <w:trHeight w:val="86"/>
        </w:trPr>
        <w:tc>
          <w:tcPr>
            <w:tcW w:w="820" w:type="dxa"/>
            <w:vAlign w:val="bottom"/>
          </w:tcPr>
          <w:p>
            <w:pPr>
              <w:jc w:val="center"/>
              <w:spacing w:after="0"/>
              <w:rPr>
                <w:sz w:val="20"/>
                <w:szCs w:val="20"/>
                <w:color w:val="auto"/>
              </w:rPr>
            </w:pPr>
            <w:r>
              <w:rPr>
                <w:rFonts w:ascii="Arial" w:cs="Arial" w:eastAsia="Arial" w:hAnsi="Arial"/>
                <w:sz w:val="7"/>
                <w:szCs w:val="7"/>
                <w:color w:val="auto"/>
                <w:w w:val="93"/>
              </w:rPr>
              <w:t>Jun-01</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317</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jc w:val="center"/>
              <w:ind w:left="147"/>
              <w:spacing w:after="0"/>
              <w:rPr>
                <w:sz w:val="20"/>
                <w:szCs w:val="20"/>
                <w:color w:val="auto"/>
              </w:rPr>
            </w:pPr>
            <w:r>
              <w:rPr>
                <w:rFonts w:ascii="Arial" w:cs="Arial" w:eastAsia="Arial" w:hAnsi="Arial"/>
                <w:sz w:val="7"/>
                <w:szCs w:val="7"/>
                <w:color w:val="auto"/>
                <w:w w:val="92"/>
              </w:rPr>
              <w:t>100.0%</w:t>
            </w:r>
          </w:p>
        </w:tc>
        <w:tc>
          <w:tcPr>
            <w:tcW w:w="180" w:type="dxa"/>
            <w:vAlign w:val="bottom"/>
          </w:tcPr>
          <w:p>
            <w:pPr>
              <w:spacing w:after="0"/>
              <w:rPr>
                <w:sz w:val="7"/>
                <w:szCs w:val="7"/>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450,000</w:t>
            </w:r>
          </w:p>
        </w:tc>
        <w:tc>
          <w:tcPr>
            <w:tcW w:w="280" w:type="dxa"/>
            <w:vAlign w:val="bottom"/>
          </w:tcPr>
          <w:p>
            <w:pPr>
              <w:spacing w:after="0"/>
              <w:rPr>
                <w:sz w:val="7"/>
                <w:szCs w:val="7"/>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105,600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95.0</w:t>
            </w: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Sep-01</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1250 Broadway</w:t>
            </w:r>
          </w:p>
        </w:tc>
        <w:tc>
          <w:tcPr>
            <w:tcW w:w="880" w:type="dxa"/>
            <w:vAlign w:val="bottom"/>
            <w:gridSpan w:val="2"/>
          </w:tcPr>
          <w:p>
            <w:pPr>
              <w:spacing w:after="0"/>
              <w:rPr>
                <w:sz w:val="20"/>
                <w:szCs w:val="20"/>
                <w:color w:val="auto"/>
              </w:rPr>
            </w:pPr>
            <w:r>
              <w:rPr>
                <w:rFonts w:ascii="Arial" w:cs="Arial" w:eastAsia="Arial" w:hAnsi="Arial"/>
                <w:sz w:val="7"/>
                <w:szCs w:val="7"/>
                <w:color w:val="auto"/>
              </w:rPr>
              <w:t>Penn Station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49.9</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670,000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126,500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97.7</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May-02</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1515 Broadway</w:t>
            </w:r>
          </w:p>
        </w:tc>
        <w:tc>
          <w:tcPr>
            <w:tcW w:w="88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55.0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1,750,000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483,500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98.0</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99.7</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9"/>
              </w:rPr>
              <w:t>Feb-03</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220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1,135,000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265,000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91.9</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93.8</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9"/>
              </w:rPr>
              <w:t>Mar-03</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125</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Broad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Downtown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525,000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92,000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Oct-03</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461</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200,000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60,900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93.9</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85.0</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Dec-03</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1221 Avenue of the Americas</w:t>
            </w:r>
          </w:p>
        </w:tc>
        <w:tc>
          <w:tcPr>
            <w:tcW w:w="88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2,550,000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1,000,000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98.8</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9"/>
              </w:rPr>
              <w:t>Mar-04</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19 West 44th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35.0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292,000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67,000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86.0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Jul-04</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750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779,000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255,000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100.0</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3.5</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Jul-04</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485</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30.0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921,000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225,000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100.0</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76.3</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Oct-04</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625</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563,000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231,500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68.0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9"/>
              </w:rPr>
              <w:t>Feb-05</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28 West 44th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359,000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105,000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87.0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Apr-05</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 Madison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55.0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1,177,000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803,000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96.0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Apr-05</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5 Madison Avenue Clock Tower</w:t>
            </w:r>
          </w:p>
        </w:tc>
        <w:tc>
          <w:tcPr>
            <w:tcW w:w="88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267,000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115,000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7"/>
                <w:szCs w:val="7"/>
                <w:color w:val="auto"/>
              </w:rPr>
              <w:t>N/A</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3"/>
              </w:rPr>
              <w:t>Jun-05</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19 West 44th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65.0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100" w:type="dxa"/>
            <w:vAlign w:val="bottom"/>
          </w:tcPr>
          <w:p>
            <w:pPr>
              <w:spacing w:after="0"/>
              <w:rPr>
                <w:sz w:val="9"/>
                <w:szCs w:val="9"/>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91,200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92.2</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9"/>
              </w:rPr>
              <w:t>Mar-06</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521</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460,000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210,000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97.0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3"/>
              </w:rPr>
              <w:t>Jun-06</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609</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160,000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182,000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98.5</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Dec-06</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485</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70.0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100" w:type="dxa"/>
            <w:vAlign w:val="bottom"/>
          </w:tcPr>
          <w:p>
            <w:pPr>
              <w:spacing w:after="0"/>
              <w:rPr>
                <w:sz w:val="9"/>
                <w:szCs w:val="9"/>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578,000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90.5</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76.3</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Dec-06</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800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43.0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526,000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285,000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96.9</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86.7</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3"/>
              </w:rPr>
              <w:t>Jan-07</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Reckson - NYC Portfolio</w:t>
            </w:r>
          </w:p>
        </w:tc>
        <w:tc>
          <w:tcPr>
            <w:tcW w:w="880" w:type="dxa"/>
            <w:vAlign w:val="bottom"/>
            <w:gridSpan w:val="2"/>
          </w:tcPr>
          <w:p>
            <w:pPr>
              <w:spacing w:after="0"/>
              <w:rPr>
                <w:sz w:val="20"/>
                <w:szCs w:val="20"/>
                <w:color w:val="auto"/>
              </w:rPr>
            </w:pPr>
            <w:r>
              <w:rPr>
                <w:rFonts w:ascii="Arial" w:cs="Arial" w:eastAsia="Arial" w:hAnsi="Arial"/>
                <w:sz w:val="7"/>
                <w:szCs w:val="7"/>
                <w:color w:val="auto"/>
              </w:rPr>
              <w:t>Various</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Interests / 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5,612,000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3,679,530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98.3</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85.3</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Apr-07</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331</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114,900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73,000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97.6</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Apr-07</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1745 Broadway</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32.3</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674,000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520,000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3"/>
              </w:rPr>
              <w:t>Jun-07</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333</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West 34th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Penn Station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345,400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183,000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Aug-07</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 Madison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1,177,000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1,000,000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99.8</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Dec-07</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388</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&amp; 390 Greenwich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Downtown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50.6</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2,635,000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1,575,000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3"/>
              </w:rPr>
              <w:t>Jan-10</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Church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Downtown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1,047,500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181,600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41.3</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93.3</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May-10</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600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55.0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303,515</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193,000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93.6</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Aug-10</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125</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604,245</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330,000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99.1</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98.0</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3"/>
              </w:rPr>
              <w:t>Jan-11</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521</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49.9</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460,000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245,700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80.7</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Apr-11</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1515 Broadway</w:t>
            </w:r>
          </w:p>
        </w:tc>
        <w:tc>
          <w:tcPr>
            <w:tcW w:w="88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1,750,000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1,210,000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98.5</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99.7</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5"/>
              </w:rPr>
              <w:t>May-11</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110 East 42nd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205,000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85,570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72.6</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5"/>
              </w:rPr>
              <w:t>May-11</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280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49.5</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1,219,158</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1,110,000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78.2</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94.0</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Nov-11</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180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Maiden Lane</w:t>
            </w:r>
          </w:p>
        </w:tc>
        <w:tc>
          <w:tcPr>
            <w:tcW w:w="880" w:type="dxa"/>
            <w:vAlign w:val="bottom"/>
            <w:gridSpan w:val="2"/>
          </w:tcPr>
          <w:p>
            <w:pPr>
              <w:spacing w:after="0"/>
              <w:rPr>
                <w:sz w:val="20"/>
                <w:szCs w:val="20"/>
                <w:color w:val="auto"/>
              </w:rPr>
            </w:pPr>
            <w:r>
              <w:rPr>
                <w:rFonts w:ascii="Arial" w:cs="Arial" w:eastAsia="Arial" w:hAnsi="Arial"/>
                <w:sz w:val="7"/>
                <w:szCs w:val="7"/>
                <w:color w:val="auto"/>
              </w:rPr>
              <w:t>Financial East</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49.9</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1,090,000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425,680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97.7</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Nov-11</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51 East 42nd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142,000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80,000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95.5</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9"/>
              </w:rPr>
              <w:t>Feb-12</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10 East 53rd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55.0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354,300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252,500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91.9</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95.5</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3"/>
              </w:rPr>
              <w:t>Jun-12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304</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Park Avenue South</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215,000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135,000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95.8</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91.9</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Sep-12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641</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Sixth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163,000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90,000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92.1</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Dec-12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315</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West 36th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Times Square South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35.5</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147,619</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46,000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99.2</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May-14</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388</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&amp; 390 Greenwich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Downtown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49.4</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2,635,000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1,585,000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Jul-15</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110 Greene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Soho</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90.0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223,600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255,000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84.0</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94.7</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Aug-15</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30 East 40th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60.0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69,446</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4,650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100.0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Aug-15</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11 Madison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2,314,000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2,285,000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71.6</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96.5</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Dec-15</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600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303,515</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284,000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95.5</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Oct-17</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Worldwide Plaza</w:t>
            </w:r>
          </w:p>
        </w:tc>
        <w:tc>
          <w:tcPr>
            <w:tcW w:w="880" w:type="dxa"/>
            <w:vAlign w:val="bottom"/>
            <w:gridSpan w:val="2"/>
          </w:tcPr>
          <w:p>
            <w:pPr>
              <w:spacing w:after="0"/>
              <w:rPr>
                <w:sz w:val="20"/>
                <w:szCs w:val="20"/>
                <w:color w:val="auto"/>
              </w:rPr>
            </w:pPr>
            <w:r>
              <w:rPr>
                <w:rFonts w:ascii="Arial" w:cs="Arial" w:eastAsia="Arial" w:hAnsi="Arial"/>
                <w:sz w:val="7"/>
                <w:szCs w:val="7"/>
                <w:color w:val="auto"/>
              </w:rPr>
              <w:t>Westside</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24.4</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2,048,725</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1,725,000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100.0</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61.9</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May-18</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2 Herald Square</w:t>
            </w:r>
          </w:p>
        </w:tc>
        <w:tc>
          <w:tcPr>
            <w:tcW w:w="880" w:type="dxa"/>
            <w:vAlign w:val="bottom"/>
            <w:gridSpan w:val="2"/>
          </w:tcPr>
          <w:p>
            <w:pPr>
              <w:spacing w:after="0"/>
              <w:rPr>
                <w:sz w:val="20"/>
                <w:szCs w:val="20"/>
                <w:color w:val="auto"/>
              </w:rPr>
            </w:pPr>
            <w:r>
              <w:rPr>
                <w:rFonts w:ascii="Arial" w:cs="Arial" w:eastAsia="Arial" w:hAnsi="Arial"/>
                <w:sz w:val="7"/>
                <w:szCs w:val="7"/>
                <w:color w:val="auto"/>
              </w:rPr>
              <w:t>Herald Square</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369,000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266,000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81.6</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34.3</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May-19</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110 Greene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Soho</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10.0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223,600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256,500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93.3</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94.7</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Jul-20</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885</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 / Plaza District</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 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625,300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387,932</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94.8</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84.5</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Oct-20</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590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Midtown</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103,300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107,200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90.0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3"/>
              </w:rPr>
              <w:t>Jun-22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450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25.1</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337,000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445,000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79.8</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84.6</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Sep-22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245</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1,782,793</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1,960,000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91.8</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97.7</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88"/>
              </w:rPr>
              <w:t>Dec-24</w:t>
            </w:r>
          </w:p>
        </w:tc>
        <w:tc>
          <w:tcPr>
            <w:tcW w:w="1560" w:type="dxa"/>
            <w:vAlign w:val="bottom"/>
            <w:gridSpan w:val="4"/>
          </w:tcPr>
          <w:p>
            <w:pPr>
              <w:ind w:left="20"/>
              <w:spacing w:after="0"/>
              <w:rPr>
                <w:sz w:val="20"/>
                <w:szCs w:val="20"/>
                <w:color w:val="auto"/>
              </w:rPr>
            </w:pPr>
            <w:r>
              <w:rPr>
                <w:rFonts w:ascii="Arial" w:cs="Arial" w:eastAsia="Arial" w:hAnsi="Arial"/>
                <w:sz w:val="7"/>
                <w:szCs w:val="7"/>
                <w:color w:val="auto"/>
              </w:rPr>
              <w:t>10 East 53rd Street</w:t>
            </w:r>
          </w:p>
        </w:tc>
        <w:tc>
          <w:tcPr>
            <w:tcW w:w="88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45.0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354,300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236,000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97.6</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95.5</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3"/>
              </w:rPr>
              <w:t>Jan-25</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500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91"/>
              </w:rPr>
              <w:t>100.0</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201,411</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130,000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94.5</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90.7</w:t>
            </w:r>
          </w:p>
        </w:tc>
      </w:tr>
      <w:tr>
        <w:trPr>
          <w:trHeight w:val="108"/>
        </w:trPr>
        <w:tc>
          <w:tcPr>
            <w:tcW w:w="820" w:type="dxa"/>
            <w:vAlign w:val="bottom"/>
          </w:tcPr>
          <w:p>
            <w:pPr>
              <w:jc w:val="center"/>
              <w:spacing w:after="0"/>
              <w:rPr>
                <w:sz w:val="20"/>
                <w:szCs w:val="20"/>
                <w:color w:val="auto"/>
              </w:rPr>
            </w:pPr>
            <w:r>
              <w:rPr>
                <w:rFonts w:ascii="Arial" w:cs="Arial" w:eastAsia="Arial" w:hAnsi="Arial"/>
                <w:sz w:val="7"/>
                <w:szCs w:val="7"/>
                <w:color w:val="auto"/>
                <w:w w:val="94"/>
              </w:rPr>
              <w:t>Apr-25</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49.9</w:t>
            </w:r>
          </w:p>
        </w:tc>
        <w:tc>
          <w:tcPr>
            <w:tcW w:w="180" w:type="dxa"/>
            <w:vAlign w:val="bottom"/>
          </w:tcPr>
          <w:p>
            <w:pPr>
              <w:spacing w:after="0"/>
              <w:rPr>
                <w:sz w:val="9"/>
                <w:szCs w:val="9"/>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834,000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7"/>
                <w:szCs w:val="7"/>
                <w:color w:val="auto"/>
              </w:rPr>
              <w:t>360,000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93.1</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96.8</w:t>
            </w:r>
          </w:p>
        </w:tc>
      </w:tr>
      <w:tr>
        <w:trPr>
          <w:trHeight w:val="118"/>
        </w:trPr>
        <w:tc>
          <w:tcPr>
            <w:tcW w:w="820" w:type="dxa"/>
            <w:vAlign w:val="bottom"/>
          </w:tcPr>
          <w:p>
            <w:pPr>
              <w:jc w:val="center"/>
              <w:spacing w:after="0"/>
              <w:rPr>
                <w:sz w:val="20"/>
                <w:szCs w:val="20"/>
                <w:color w:val="auto"/>
              </w:rPr>
            </w:pPr>
            <w:r>
              <w:rPr>
                <w:rFonts w:ascii="Arial" w:cs="Arial" w:eastAsia="Arial" w:hAnsi="Arial"/>
                <w:sz w:val="7"/>
                <w:szCs w:val="7"/>
                <w:color w:val="auto"/>
                <w:w w:val="94"/>
              </w:rPr>
              <w:t>Oct-25</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800</w:t>
            </w:r>
          </w:p>
        </w:tc>
        <w:tc>
          <w:tcPr>
            <w:tcW w:w="142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88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720" w:type="dxa"/>
            <w:vAlign w:val="bottom"/>
            <w:gridSpan w:val="2"/>
          </w:tcPr>
          <w:p>
            <w:pPr>
              <w:jc w:val="center"/>
              <w:ind w:left="167"/>
              <w:spacing w:after="0"/>
              <w:rPr>
                <w:sz w:val="20"/>
                <w:szCs w:val="20"/>
                <w:color w:val="auto"/>
              </w:rPr>
            </w:pPr>
            <w:r>
              <w:rPr>
                <w:rFonts w:ascii="Arial" w:cs="Arial" w:eastAsia="Arial" w:hAnsi="Arial"/>
                <w:sz w:val="7"/>
                <w:szCs w:val="7"/>
                <w:color w:val="auto"/>
                <w:w w:val="87"/>
              </w:rPr>
              <w:t>39.5</w:t>
            </w:r>
          </w:p>
        </w:tc>
        <w:tc>
          <w:tcPr>
            <w:tcW w:w="180" w:type="dxa"/>
            <w:vAlign w:val="bottom"/>
          </w:tcPr>
          <w:p>
            <w:pPr>
              <w:spacing w:after="0"/>
              <w:rPr>
                <w:sz w:val="10"/>
                <w:szCs w:val="10"/>
                <w:color w:val="auto"/>
              </w:rPr>
            </w:pPr>
          </w:p>
        </w:tc>
        <w:tc>
          <w:tcPr>
            <w:tcW w:w="144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526,000</w:t>
            </w: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205,000</w:t>
            </w:r>
          </w:p>
        </w:tc>
        <w:tc>
          <w:tcPr>
            <w:tcW w:w="1280" w:type="dxa"/>
            <w:vAlign w:val="bottom"/>
            <w:gridSpan w:val="4"/>
          </w:tcPr>
          <w:p>
            <w:pPr>
              <w:jc w:val="right"/>
              <w:ind w:right="320"/>
              <w:spacing w:after="0"/>
              <w:rPr>
                <w:sz w:val="20"/>
                <w:szCs w:val="20"/>
                <w:color w:val="auto"/>
              </w:rPr>
            </w:pPr>
            <w:r>
              <w:rPr>
                <w:rFonts w:ascii="Arial" w:cs="Arial" w:eastAsia="Arial" w:hAnsi="Arial"/>
                <w:sz w:val="7"/>
                <w:szCs w:val="7"/>
                <w:color w:val="auto"/>
              </w:rPr>
              <w:t>83.8</w:t>
            </w:r>
          </w:p>
        </w:tc>
        <w:tc>
          <w:tcPr>
            <w:tcW w:w="540" w:type="dxa"/>
            <w:vAlign w:val="bottom"/>
            <w:gridSpan w:val="3"/>
          </w:tcPr>
          <w:p>
            <w:pPr>
              <w:jc w:val="right"/>
              <w:ind w:right="47"/>
              <w:spacing w:after="0"/>
              <w:rPr>
                <w:sz w:val="20"/>
                <w:szCs w:val="20"/>
                <w:color w:val="auto"/>
              </w:rPr>
            </w:pPr>
            <w:r>
              <w:rPr>
                <w:rFonts w:ascii="Arial" w:cs="Arial" w:eastAsia="Arial" w:hAnsi="Arial"/>
                <w:sz w:val="7"/>
                <w:szCs w:val="7"/>
                <w:color w:val="auto"/>
              </w:rPr>
              <w:t>86.7</w:t>
            </w:r>
          </w:p>
        </w:tc>
      </w:tr>
      <w:tr>
        <w:trPr>
          <w:trHeight w:val="92"/>
        </w:trPr>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43,994,627</w:t>
            </w:r>
          </w:p>
        </w:tc>
        <w:tc>
          <w:tcPr>
            <w:tcW w:w="280" w:type="dxa"/>
            <w:vAlign w:val="bottom"/>
          </w:tcPr>
          <w:p>
            <w:pPr>
              <w:spacing w:after="0"/>
              <w:rPr>
                <w:sz w:val="8"/>
                <w:szCs w:val="8"/>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2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27,189,062</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357"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41</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29" w:right="141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SUMMARY OF REAL ESTATE 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3"/>
          <w:szCs w:val="13"/>
          <w:b w:val="1"/>
          <w:bCs w:val="1"/>
          <w:color w:val="auto"/>
        </w:rPr>
        <w:t>Manhattan Office</w:t>
      </w:r>
    </w:p>
    <w:p>
      <w:pPr>
        <w:spacing w:after="0" w:line="211"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140" w:type="dxa"/>
        <w:tblCellMar>
          <w:top w:w="0" w:type="dxa"/>
          <w:left w:w="0" w:type="dxa"/>
          <w:bottom w:w="0" w:type="dxa"/>
          <w:right w:w="0" w:type="dxa"/>
        </w:tblCellMar>
      </w:tblPr>
      <w:tr>
        <w:trPr>
          <w:trHeight w:val="89"/>
        </w:trPr>
        <w:tc>
          <w:tcPr>
            <w:tcW w:w="640" w:type="dxa"/>
            <w:vAlign w:val="bottom"/>
          </w:tcPr>
          <w:p>
            <w:pPr>
              <w:jc w:val="center"/>
              <w:ind w:right="47"/>
              <w:spacing w:after="0"/>
              <w:rPr>
                <w:sz w:val="20"/>
                <w:szCs w:val="20"/>
                <w:color w:val="auto"/>
              </w:rPr>
            </w:pPr>
            <w:r>
              <w:rPr>
                <w:rFonts w:ascii="Arial" w:cs="Arial" w:eastAsia="Arial" w:hAnsi="Arial"/>
                <w:sz w:val="7"/>
                <w:szCs w:val="7"/>
                <w:b w:val="1"/>
                <w:bCs w:val="1"/>
                <w:color w:val="auto"/>
                <w:w w:val="94"/>
              </w:rPr>
              <w:t>2026 Acquisitions</w:t>
            </w:r>
          </w:p>
        </w:tc>
        <w:tc>
          <w:tcPr>
            <w:tcW w:w="1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114"/>
        </w:trPr>
        <w:tc>
          <w:tcPr>
            <w:tcW w:w="640" w:type="dxa"/>
            <w:vAlign w:val="bottom"/>
          </w:tcPr>
          <w:p>
            <w:pPr>
              <w:jc w:val="center"/>
              <w:ind w:right="47"/>
              <w:spacing w:after="0"/>
              <w:rPr>
                <w:sz w:val="20"/>
                <w:szCs w:val="20"/>
                <w:color w:val="auto"/>
              </w:rPr>
            </w:pPr>
            <w:r>
              <w:rPr>
                <w:rFonts w:ascii="Arial" w:cs="Arial" w:eastAsia="Arial" w:hAnsi="Arial"/>
                <w:sz w:val="7"/>
                <w:szCs w:val="7"/>
                <w:color w:val="auto"/>
                <w:w w:val="93"/>
              </w:rPr>
              <w:t>Jan-26</w:t>
            </w:r>
          </w:p>
        </w:tc>
        <w:tc>
          <w:tcPr>
            <w:tcW w:w="1440" w:type="dxa"/>
            <w:vAlign w:val="bottom"/>
          </w:tcPr>
          <w:p>
            <w:pPr>
              <w:ind w:left="80"/>
              <w:spacing w:after="0"/>
              <w:rPr>
                <w:sz w:val="20"/>
                <w:szCs w:val="20"/>
                <w:color w:val="auto"/>
              </w:rPr>
            </w:pPr>
            <w:r>
              <w:rPr>
                <w:rFonts w:ascii="Arial" w:cs="Arial" w:eastAsia="Arial" w:hAnsi="Arial"/>
                <w:sz w:val="7"/>
                <w:szCs w:val="7"/>
                <w:color w:val="auto"/>
              </w:rPr>
              <w:t>65 East 55th Street (Park Avenue Tower)</w:t>
            </w:r>
          </w:p>
        </w:tc>
        <w:tc>
          <w:tcPr>
            <w:tcW w:w="1000" w:type="dxa"/>
            <w:vAlign w:val="bottom"/>
          </w:tcPr>
          <w:p>
            <w:pPr>
              <w:ind w:left="180"/>
              <w:spacing w:after="0"/>
              <w:rPr>
                <w:sz w:val="20"/>
                <w:szCs w:val="20"/>
                <w:color w:val="auto"/>
              </w:rPr>
            </w:pPr>
            <w:r>
              <w:rPr>
                <w:rFonts w:ascii="Arial" w:cs="Arial" w:eastAsia="Arial" w:hAnsi="Arial"/>
                <w:sz w:val="7"/>
                <w:szCs w:val="7"/>
                <w:color w:val="auto"/>
              </w:rPr>
              <w:t>Park Avenue</w:t>
            </w:r>
          </w:p>
        </w:tc>
        <w:tc>
          <w:tcPr>
            <w:tcW w:w="860" w:type="dxa"/>
            <w:vAlign w:val="bottom"/>
          </w:tcPr>
          <w:p>
            <w:pPr>
              <w:jc w:val="right"/>
              <w:ind w:right="247"/>
              <w:spacing w:after="0"/>
              <w:rPr>
                <w:sz w:val="20"/>
                <w:szCs w:val="20"/>
                <w:color w:val="auto"/>
              </w:rPr>
            </w:pPr>
            <w:r>
              <w:rPr>
                <w:rFonts w:ascii="Arial" w:cs="Arial" w:eastAsia="Arial" w:hAnsi="Arial"/>
                <w:sz w:val="7"/>
                <w:szCs w:val="7"/>
                <w:color w:val="auto"/>
              </w:rPr>
              <w:t>95.0</w:t>
            </w:r>
          </w:p>
        </w:tc>
        <w:tc>
          <w:tcPr>
            <w:tcW w:w="1540" w:type="dxa"/>
            <w:vAlign w:val="bottom"/>
          </w:tcPr>
          <w:p>
            <w:pPr>
              <w:ind w:left="280"/>
              <w:spacing w:after="0"/>
              <w:rPr>
                <w:sz w:val="20"/>
                <w:szCs w:val="20"/>
                <w:color w:val="auto"/>
              </w:rPr>
            </w:pPr>
            <w:r>
              <w:rPr>
                <w:rFonts w:ascii="Arial" w:cs="Arial" w:eastAsia="Arial" w:hAnsi="Arial"/>
                <w:sz w:val="7"/>
                <w:szCs w:val="7"/>
                <w:color w:val="auto"/>
              </w:rPr>
              <w:t>Fee Interest</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7"/>
                <w:szCs w:val="7"/>
                <w:color w:val="auto"/>
              </w:rPr>
              <w:t>622,000</w:t>
            </w: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7"/>
                <w:szCs w:val="7"/>
                <w:color w:val="auto"/>
              </w:rPr>
              <w:t>730,000</w:t>
            </w:r>
          </w:p>
        </w:tc>
        <w:tc>
          <w:tcPr>
            <w:tcW w:w="1280" w:type="dxa"/>
            <w:vAlign w:val="bottom"/>
          </w:tcPr>
          <w:p>
            <w:pPr>
              <w:jc w:val="right"/>
              <w:ind w:right="287"/>
              <w:spacing w:after="0"/>
              <w:rPr>
                <w:sz w:val="20"/>
                <w:szCs w:val="20"/>
                <w:color w:val="auto"/>
              </w:rPr>
            </w:pPr>
            <w:r>
              <w:rPr>
                <w:rFonts w:ascii="Arial" w:cs="Arial" w:eastAsia="Arial" w:hAnsi="Arial"/>
                <w:sz w:val="7"/>
                <w:szCs w:val="7"/>
                <w:color w:val="auto"/>
              </w:rPr>
              <w:t>94.8</w:t>
            </w:r>
          </w:p>
        </w:tc>
        <w:tc>
          <w:tcPr>
            <w:tcW w:w="460" w:type="dxa"/>
            <w:vAlign w:val="bottom"/>
          </w:tcPr>
          <w:p>
            <w:pPr>
              <w:jc w:val="right"/>
              <w:spacing w:after="0"/>
              <w:rPr>
                <w:sz w:val="20"/>
                <w:szCs w:val="20"/>
                <w:color w:val="auto"/>
              </w:rPr>
            </w:pPr>
            <w:r>
              <w:rPr>
                <w:rFonts w:ascii="Arial" w:cs="Arial" w:eastAsia="Arial" w:hAnsi="Arial"/>
                <w:sz w:val="7"/>
                <w:szCs w:val="7"/>
                <w:color w:val="auto"/>
              </w:rPr>
              <w:t>94.8</w:t>
            </w:r>
          </w:p>
        </w:tc>
      </w:tr>
      <w:tr>
        <w:trPr>
          <w:trHeight w:val="92"/>
        </w:trPr>
        <w:tc>
          <w:tcPr>
            <w:tcW w:w="6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80" w:type="dxa"/>
            <w:vAlign w:val="bottom"/>
          </w:tcPr>
          <w:p>
            <w:pPr>
              <w:jc w:val="right"/>
              <w:ind w:right="27"/>
              <w:spacing w:after="0"/>
              <w:rPr>
                <w:sz w:val="20"/>
                <w:szCs w:val="20"/>
                <w:color w:val="auto"/>
              </w:rPr>
            </w:pPr>
            <w:r>
              <w:rPr>
                <w:rFonts w:ascii="Arial" w:cs="Arial" w:eastAsia="Arial" w:hAnsi="Arial"/>
                <w:sz w:val="7"/>
                <w:szCs w:val="7"/>
                <w:b w:val="1"/>
                <w:bCs w:val="1"/>
                <w:color w:val="auto"/>
              </w:rPr>
              <w:t>622,000</w:t>
            </w:r>
          </w:p>
        </w:tc>
        <w:tc>
          <w:tcPr>
            <w:tcW w:w="260" w:type="dxa"/>
            <w:vAlign w:val="bottom"/>
          </w:tcPr>
          <w:p>
            <w:pPr>
              <w:spacing w:after="0"/>
              <w:rPr>
                <w:sz w:val="8"/>
                <w:szCs w:val="8"/>
                <w:color w:val="auto"/>
              </w:rPr>
            </w:pPr>
          </w:p>
        </w:tc>
        <w:tc>
          <w:tcPr>
            <w:tcW w:w="240" w:type="dxa"/>
            <w:vAlign w:val="bottom"/>
          </w:tcPr>
          <w:p>
            <w:pPr>
              <w:jc w:val="right"/>
              <w:ind w:right="173"/>
              <w:spacing w:after="0"/>
              <w:rPr>
                <w:sz w:val="20"/>
                <w:szCs w:val="20"/>
                <w:color w:val="auto"/>
              </w:rPr>
            </w:pPr>
            <w:r>
              <w:rPr>
                <w:rFonts w:ascii="Arial" w:cs="Arial" w:eastAsia="Arial" w:hAnsi="Arial"/>
                <w:sz w:val="5"/>
                <w:szCs w:val="5"/>
                <w:b w:val="1"/>
                <w:bCs w:val="1"/>
                <w:color w:val="auto"/>
                <w:w w:val="70"/>
              </w:rPr>
              <w:t>$</w:t>
            </w:r>
          </w:p>
        </w:tc>
        <w:tc>
          <w:tcPr>
            <w:tcW w:w="460" w:type="dxa"/>
            <w:vAlign w:val="bottom"/>
          </w:tcPr>
          <w:p>
            <w:pPr>
              <w:jc w:val="right"/>
              <w:ind w:right="7"/>
              <w:spacing w:after="0"/>
              <w:rPr>
                <w:sz w:val="20"/>
                <w:szCs w:val="20"/>
                <w:color w:val="auto"/>
              </w:rPr>
            </w:pPr>
            <w:r>
              <w:rPr>
                <w:rFonts w:ascii="Arial" w:cs="Arial" w:eastAsia="Arial" w:hAnsi="Arial"/>
                <w:sz w:val="7"/>
                <w:szCs w:val="7"/>
                <w:b w:val="1"/>
                <w:bCs w:val="1"/>
                <w:color w:val="auto"/>
              </w:rPr>
              <w:t>730,000</w:t>
            </w: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r>
    </w:tbl>
    <w:p>
      <w:pPr>
        <w:spacing w:after="0" w:line="357"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42</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29" w:right="141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SUMMARY OF REAL ESTATE DISPOSITION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Manhattan Office</w:t>
      </w:r>
    </w:p>
    <w:p>
      <w:pPr>
        <w:spacing w:after="0" w:line="227"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7"/>
                <w:szCs w:val="7"/>
                <w:b w:val="1"/>
                <w:bCs w:val="1"/>
                <w:color w:val="auto"/>
              </w:rPr>
              <w:t>Gross Asset Valuation</w:t>
            </w: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79"/>
        </w:trPr>
        <w:tc>
          <w:tcPr>
            <w:tcW w:w="800" w:type="dxa"/>
            <w:vAlign w:val="bottom"/>
          </w:tcPr>
          <w:p>
            <w:pPr>
              <w:spacing w:after="0"/>
              <w:rPr>
                <w:sz w:val="6"/>
                <w:szCs w:val="6"/>
                <w:color w:val="auto"/>
              </w:rPr>
            </w:pPr>
          </w:p>
        </w:tc>
        <w:tc>
          <w:tcPr>
            <w:tcW w:w="1260" w:type="dxa"/>
            <w:vAlign w:val="bottom"/>
            <w:gridSpan w:val="5"/>
          </w:tcPr>
          <w:p>
            <w:pPr>
              <w:ind w:left="40"/>
              <w:spacing w:after="0" w:line="79" w:lineRule="exact"/>
              <w:rPr>
                <w:sz w:val="20"/>
                <w:szCs w:val="20"/>
                <w:color w:val="auto"/>
              </w:rPr>
            </w:pPr>
            <w:r>
              <w:rPr>
                <w:rFonts w:ascii="Arial" w:cs="Arial" w:eastAsia="Arial" w:hAnsi="Arial"/>
                <w:sz w:val="7"/>
                <w:szCs w:val="7"/>
                <w:b w:val="1"/>
                <w:bCs w:val="1"/>
                <w:color w:val="auto"/>
              </w:rPr>
              <w:t>Property</w:t>
            </w:r>
          </w:p>
        </w:tc>
        <w:tc>
          <w:tcPr>
            <w:tcW w:w="1280" w:type="dxa"/>
            <w:vAlign w:val="bottom"/>
            <w:gridSpan w:val="3"/>
          </w:tcPr>
          <w:p>
            <w:pPr>
              <w:ind w:left="300"/>
              <w:spacing w:after="0" w:line="79" w:lineRule="exact"/>
              <w:rPr>
                <w:sz w:val="20"/>
                <w:szCs w:val="20"/>
                <w:color w:val="auto"/>
              </w:rPr>
            </w:pPr>
            <w:r>
              <w:rPr>
                <w:rFonts w:ascii="Arial" w:cs="Arial" w:eastAsia="Arial" w:hAnsi="Arial"/>
                <w:sz w:val="7"/>
                <w:szCs w:val="7"/>
                <w:b w:val="1"/>
                <w:bCs w:val="1"/>
                <w:color w:val="auto"/>
              </w:rPr>
              <w:t>Submarket</w:t>
            </w:r>
          </w:p>
        </w:tc>
        <w:tc>
          <w:tcPr>
            <w:tcW w:w="780" w:type="dxa"/>
            <w:vAlign w:val="bottom"/>
            <w:gridSpan w:val="3"/>
          </w:tcPr>
          <w:p>
            <w:pPr>
              <w:ind w:left="180"/>
              <w:spacing w:after="0" w:line="79" w:lineRule="exact"/>
              <w:rPr>
                <w:sz w:val="20"/>
                <w:szCs w:val="20"/>
                <w:color w:val="auto"/>
              </w:rPr>
            </w:pPr>
            <w:r>
              <w:rPr>
                <w:rFonts w:ascii="Arial" w:cs="Arial" w:eastAsia="Arial" w:hAnsi="Arial"/>
                <w:sz w:val="7"/>
                <w:szCs w:val="7"/>
                <w:b w:val="1"/>
                <w:bCs w:val="1"/>
                <w:color w:val="auto"/>
              </w:rPr>
              <w:t>Interest Sold</w:t>
            </w:r>
          </w:p>
        </w:tc>
        <w:tc>
          <w:tcPr>
            <w:tcW w:w="1460" w:type="dxa"/>
            <w:vAlign w:val="bottom"/>
            <w:gridSpan w:val="3"/>
          </w:tcPr>
          <w:p>
            <w:pPr>
              <w:ind w:left="200"/>
              <w:spacing w:after="0" w:line="79" w:lineRule="exact"/>
              <w:rPr>
                <w:sz w:val="20"/>
                <w:szCs w:val="20"/>
                <w:color w:val="auto"/>
              </w:rPr>
            </w:pPr>
            <w:r>
              <w:rPr>
                <w:rFonts w:ascii="Arial" w:cs="Arial" w:eastAsia="Arial" w:hAnsi="Arial"/>
                <w:sz w:val="7"/>
                <w:szCs w:val="7"/>
                <w:b w:val="1"/>
                <w:bCs w:val="1"/>
                <w:color w:val="auto"/>
              </w:rPr>
              <w:t>Type of Ownership</w:t>
            </w:r>
          </w:p>
        </w:tc>
        <w:tc>
          <w:tcPr>
            <w:tcW w:w="960" w:type="dxa"/>
            <w:vAlign w:val="bottom"/>
            <w:gridSpan w:val="4"/>
          </w:tcPr>
          <w:p>
            <w:pPr>
              <w:ind w:left="100"/>
              <w:spacing w:after="0" w:line="79" w:lineRule="exact"/>
              <w:rPr>
                <w:sz w:val="20"/>
                <w:szCs w:val="20"/>
                <w:color w:val="auto"/>
              </w:rPr>
            </w:pPr>
            <w:r>
              <w:rPr>
                <w:rFonts w:ascii="Arial" w:cs="Arial" w:eastAsia="Arial" w:hAnsi="Arial"/>
                <w:sz w:val="7"/>
                <w:szCs w:val="7"/>
                <w:b w:val="1"/>
                <w:bCs w:val="1"/>
                <w:color w:val="auto"/>
              </w:rPr>
              <w:t>Net Rentable SF</w:t>
            </w:r>
          </w:p>
        </w:tc>
        <w:tc>
          <w:tcPr>
            <w:tcW w:w="420" w:type="dxa"/>
            <w:vAlign w:val="bottom"/>
          </w:tcPr>
          <w:p>
            <w:pPr>
              <w:spacing w:after="0"/>
              <w:rPr>
                <w:sz w:val="6"/>
                <w:szCs w:val="6"/>
                <w:color w:val="auto"/>
              </w:rPr>
            </w:pPr>
          </w:p>
        </w:tc>
        <w:tc>
          <w:tcPr>
            <w:tcW w:w="1160" w:type="dxa"/>
            <w:vAlign w:val="bottom"/>
            <w:gridSpan w:val="3"/>
          </w:tcPr>
          <w:p>
            <w:pPr>
              <w:spacing w:after="0" w:line="79" w:lineRule="exact"/>
              <w:rPr>
                <w:sz w:val="20"/>
                <w:szCs w:val="20"/>
                <w:color w:val="auto"/>
              </w:rPr>
            </w:pP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's)</w:t>
            </w:r>
          </w:p>
        </w:tc>
        <w:tc>
          <w:tcPr>
            <w:tcW w:w="360" w:type="dxa"/>
            <w:vAlign w:val="bottom"/>
          </w:tcPr>
          <w:p>
            <w:pPr>
              <w:spacing w:after="0"/>
              <w:rPr>
                <w:sz w:val="6"/>
                <w:szCs w:val="6"/>
                <w:color w:val="auto"/>
              </w:rPr>
            </w:pPr>
          </w:p>
        </w:tc>
        <w:tc>
          <w:tcPr>
            <w:tcW w:w="600" w:type="dxa"/>
            <w:vAlign w:val="bottom"/>
            <w:gridSpan w:val="2"/>
          </w:tcPr>
          <w:p>
            <w:pPr>
              <w:jc w:val="right"/>
              <w:ind w:right="360"/>
              <w:spacing w:after="0" w:line="79" w:lineRule="exact"/>
              <w:rPr>
                <w:sz w:val="20"/>
                <w:szCs w:val="20"/>
                <w:color w:val="auto"/>
              </w:rPr>
            </w:pPr>
            <w:r>
              <w:rPr>
                <w:rFonts w:ascii="Arial" w:cs="Arial" w:eastAsia="Arial" w:hAnsi="Arial"/>
                <w:sz w:val="7"/>
                <w:szCs w:val="7"/>
                <w:b w:val="1"/>
                <w:bCs w:val="1"/>
                <w:u w:val="single" w:color="auto"/>
                <w:color w:val="auto"/>
                <w:w w:val="87"/>
              </w:rPr>
              <w:t>($</w:t>
            </w:r>
            <w:r>
              <w:rPr>
                <w:rFonts w:ascii="Arial" w:cs="Arial" w:eastAsia="Arial" w:hAnsi="Arial"/>
                <w:sz w:val="7"/>
                <w:szCs w:val="7"/>
                <w:b w:val="1"/>
                <w:bCs w:val="1"/>
                <w:color w:val="auto"/>
                <w:w w:val="87"/>
              </w:rPr>
              <w:t>'s/SF)</w:t>
            </w:r>
          </w:p>
        </w:tc>
      </w:tr>
      <w:tr>
        <w:trPr>
          <w:trHeight w:val="110"/>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w w:val="93"/>
              </w:rPr>
              <w:t>2001 - 2026 Dispositions</w:t>
            </w:r>
          </w:p>
        </w:tc>
        <w:tc>
          <w:tcPr>
            <w:tcW w:w="4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86"/>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Jan-01</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633</w:t>
            </w:r>
          </w:p>
        </w:tc>
        <w:tc>
          <w:tcPr>
            <w:tcW w:w="1100" w:type="dxa"/>
            <w:vAlign w:val="bottom"/>
            <w:gridSpan w:val="3"/>
          </w:tcPr>
          <w:p>
            <w:pPr>
              <w:spacing w:after="0"/>
              <w:rPr>
                <w:sz w:val="20"/>
                <w:szCs w:val="20"/>
                <w:color w:val="auto"/>
              </w:rPr>
            </w:pPr>
            <w:r>
              <w:rPr>
                <w:rFonts w:ascii="Arial" w:cs="Arial" w:eastAsia="Arial" w:hAnsi="Arial"/>
                <w:sz w:val="7"/>
                <w:szCs w:val="7"/>
                <w:color w:val="auto"/>
              </w:rPr>
              <w:t>Third Ave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North</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w w:val="92"/>
              </w:rPr>
              <w:t>100.0%</w:t>
            </w:r>
          </w:p>
        </w:tc>
        <w:tc>
          <w:tcPr>
            <w:tcW w:w="200" w:type="dxa"/>
            <w:vAlign w:val="bottom"/>
          </w:tcPr>
          <w:p>
            <w:pPr>
              <w:spacing w:after="0"/>
              <w:rPr>
                <w:sz w:val="7"/>
                <w:szCs w:val="7"/>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40,623</w:t>
            </w:r>
          </w:p>
        </w:tc>
        <w:tc>
          <w:tcPr>
            <w:tcW w:w="280" w:type="dxa"/>
            <w:vAlign w:val="bottom"/>
          </w:tcPr>
          <w:p>
            <w:pPr>
              <w:spacing w:after="0"/>
              <w:rPr>
                <w:sz w:val="7"/>
                <w:szCs w:val="7"/>
                <w:color w:val="auto"/>
              </w:rPr>
            </w:pPr>
          </w:p>
        </w:tc>
        <w:tc>
          <w:tcPr>
            <w:tcW w:w="420" w:type="dxa"/>
            <w:vAlign w:val="bottom"/>
          </w:tcPr>
          <w:p>
            <w:pPr>
              <w:jc w:val="right"/>
              <w:ind w:right="353"/>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13,250</w:t>
            </w:r>
          </w:p>
        </w:tc>
        <w:tc>
          <w:tcPr>
            <w:tcW w:w="600" w:type="dxa"/>
            <w:vAlign w:val="bottom"/>
          </w:tcPr>
          <w:p>
            <w:pPr>
              <w:spacing w:after="0"/>
              <w:rPr>
                <w:sz w:val="7"/>
                <w:szCs w:val="7"/>
                <w:color w:val="auto"/>
              </w:rPr>
            </w:pPr>
          </w:p>
        </w:tc>
        <w:tc>
          <w:tcPr>
            <w:tcW w:w="360" w:type="dxa"/>
            <w:vAlign w:val="bottom"/>
          </w:tcPr>
          <w:p>
            <w:pPr>
              <w:jc w:val="right"/>
              <w:ind w:right="267"/>
              <w:spacing w:after="0"/>
              <w:rPr>
                <w:sz w:val="20"/>
                <w:szCs w:val="20"/>
                <w:color w:val="auto"/>
              </w:rPr>
            </w:pPr>
            <w:r>
              <w:rPr>
                <w:rFonts w:ascii="Arial" w:cs="Arial" w:eastAsia="Arial" w:hAnsi="Arial"/>
                <w:sz w:val="7"/>
                <w:szCs w:val="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326</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May-01</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 Park Ave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South</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45.0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913,000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233,900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256</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Jun-01</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1412</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Times Square South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389,000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90,700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233</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Jul-01</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110 East 42nd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69,700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14,500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208</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Sep-01</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1250</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Penn Station</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45.0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670,000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126,500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189</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Jun-02</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469</w:t>
            </w:r>
          </w:p>
        </w:tc>
        <w:tc>
          <w:tcPr>
            <w:tcW w:w="1100" w:type="dxa"/>
            <w:vAlign w:val="bottom"/>
            <w:gridSpan w:val="3"/>
          </w:tcPr>
          <w:p>
            <w:pPr>
              <w:spacing w:after="0"/>
              <w:rPr>
                <w:sz w:val="20"/>
                <w:szCs w:val="20"/>
                <w:color w:val="auto"/>
              </w:rPr>
            </w:pPr>
            <w:r>
              <w:rPr>
                <w:rFonts w:ascii="Arial" w:cs="Arial" w:eastAsia="Arial" w:hAnsi="Arial"/>
                <w:sz w:val="7"/>
                <w:szCs w:val="7"/>
                <w:color w:val="auto"/>
              </w:rPr>
              <w:t>Seventh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Penn Station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253,000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53,100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210</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9"/>
              </w:rPr>
              <w:t>Mar-03</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50 West 23rd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Chelsea</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333,000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66,000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198</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Jul-03</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1370</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Times Square South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255,000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58,500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229</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Dec-03</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321</w:t>
            </w:r>
          </w:p>
        </w:tc>
        <w:tc>
          <w:tcPr>
            <w:tcW w:w="1100" w:type="dxa"/>
            <w:vAlign w:val="bottom"/>
            <w:gridSpan w:val="3"/>
          </w:tcPr>
          <w:p>
            <w:pPr>
              <w:spacing w:after="0"/>
              <w:rPr>
                <w:sz w:val="20"/>
                <w:szCs w:val="20"/>
                <w:color w:val="auto"/>
              </w:rPr>
            </w:pPr>
            <w:r>
              <w:rPr>
                <w:rFonts w:ascii="Arial" w:cs="Arial" w:eastAsia="Arial" w:hAnsi="Arial"/>
                <w:sz w:val="7"/>
                <w:szCs w:val="7"/>
                <w:color w:val="auto"/>
              </w:rPr>
              <w:t>West 44th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Times Square</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203,000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35,000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172</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May-04</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 Park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South</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75.0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913,000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318,500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349</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4"/>
              </w:rPr>
              <w:t>Oct-04</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17 Battery Place North</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Financial</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419,000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70,000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167</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Nov-04</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1466</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Times Square</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289,000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160,000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554</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4"/>
              </w:rPr>
              <w:t>Apr-05</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1414</w:t>
            </w:r>
          </w:p>
        </w:tc>
        <w:tc>
          <w:tcPr>
            <w:tcW w:w="1060" w:type="dxa"/>
            <w:vAlign w:val="bottom"/>
            <w:gridSpan w:val="2"/>
          </w:tcPr>
          <w:p>
            <w:pPr>
              <w:spacing w:after="0"/>
              <w:rPr>
                <w:sz w:val="20"/>
                <w:szCs w:val="20"/>
                <w:color w:val="auto"/>
              </w:rPr>
            </w:pPr>
            <w:r>
              <w:rPr>
                <w:rFonts w:ascii="Arial" w:cs="Arial" w:eastAsia="Arial" w:hAnsi="Arial"/>
                <w:sz w:val="7"/>
                <w:szCs w:val="7"/>
                <w:color w:val="auto"/>
              </w:rPr>
              <w:t>Avenue of the Americas</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Plaza District</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111,000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60,500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545</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Aug-05</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180</w:t>
            </w:r>
          </w:p>
        </w:tc>
        <w:tc>
          <w:tcPr>
            <w:tcW w:w="1100" w:type="dxa"/>
            <w:vAlign w:val="bottom"/>
            <w:gridSpan w:val="3"/>
          </w:tcPr>
          <w:p>
            <w:pPr>
              <w:spacing w:after="0"/>
              <w:rPr>
                <w:sz w:val="20"/>
                <w:szCs w:val="20"/>
                <w:color w:val="auto"/>
              </w:rPr>
            </w:pPr>
            <w:r>
              <w:rPr>
                <w:rFonts w:ascii="Arial" w:cs="Arial" w:eastAsia="Arial" w:hAnsi="Arial"/>
                <w:sz w:val="7"/>
                <w:szCs w:val="7"/>
                <w:color w:val="auto"/>
              </w:rPr>
              <w:t>Madison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265,000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92,700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350</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Jul-06</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286</w:t>
            </w:r>
          </w:p>
        </w:tc>
        <w:tc>
          <w:tcPr>
            <w:tcW w:w="1100" w:type="dxa"/>
            <w:vAlign w:val="bottom"/>
            <w:gridSpan w:val="3"/>
          </w:tcPr>
          <w:p>
            <w:pPr>
              <w:spacing w:after="0"/>
              <w:rPr>
                <w:sz w:val="20"/>
                <w:szCs w:val="20"/>
                <w:color w:val="auto"/>
              </w:rPr>
            </w:pPr>
            <w:r>
              <w:rPr>
                <w:rFonts w:ascii="Arial" w:cs="Arial" w:eastAsia="Arial" w:hAnsi="Arial"/>
                <w:sz w:val="7"/>
                <w:szCs w:val="7"/>
                <w:color w:val="auto"/>
              </w:rPr>
              <w:t>&amp; 290 Madison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149,000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63,000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423</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Aug-06</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1140 Avenue of the Americas</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Rockefeller Center</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191,000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97,500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510</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Dec-06</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521</w:t>
            </w:r>
          </w:p>
        </w:tc>
        <w:tc>
          <w:tcPr>
            <w:tcW w:w="1100" w:type="dxa"/>
            <w:vAlign w:val="bottom"/>
            <w:gridSpan w:val="3"/>
          </w:tcPr>
          <w:p>
            <w:pPr>
              <w:spacing w:after="0"/>
              <w:rPr>
                <w:sz w:val="20"/>
                <w:szCs w:val="20"/>
                <w:color w:val="auto"/>
              </w:rPr>
            </w:pPr>
            <w:r>
              <w:rPr>
                <w:rFonts w:ascii="Arial" w:cs="Arial" w:eastAsia="Arial" w:hAnsi="Arial"/>
                <w:sz w:val="7"/>
                <w:szCs w:val="7"/>
                <w:color w:val="auto"/>
              </w:rPr>
              <w:t>Fifth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50.0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460,000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240,000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522</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9"/>
              </w:rPr>
              <w:t>Mar-07</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 Park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South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913,000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550,000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602</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9"/>
              </w:rPr>
              <w:t>Mar-07</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70 West 36th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Garment</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151,000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61,500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407</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Jun-07</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110 East 42nd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North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181,000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111,500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616</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Jun-07</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125</w:t>
            </w:r>
          </w:p>
        </w:tc>
        <w:tc>
          <w:tcPr>
            <w:tcW w:w="1100" w:type="dxa"/>
            <w:vAlign w:val="bottom"/>
            <w:gridSpan w:val="3"/>
          </w:tcPr>
          <w:p>
            <w:pPr>
              <w:spacing w:after="0"/>
              <w:rPr>
                <w:sz w:val="20"/>
                <w:szCs w:val="20"/>
                <w:color w:val="auto"/>
              </w:rPr>
            </w:pPr>
            <w:r>
              <w:rPr>
                <w:rFonts w:ascii="Arial" w:cs="Arial" w:eastAsia="Arial" w:hAnsi="Arial"/>
                <w:sz w:val="7"/>
                <w:szCs w:val="7"/>
                <w:color w:val="auto"/>
              </w:rPr>
              <w:t>Broad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Downtown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525,000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273,000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520</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Jun-07</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5 Madison Clock Tower</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Park Avenue South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267,000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200,000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749</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Jul-07</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292</w:t>
            </w:r>
          </w:p>
        </w:tc>
        <w:tc>
          <w:tcPr>
            <w:tcW w:w="1100" w:type="dxa"/>
            <w:vAlign w:val="bottom"/>
            <w:gridSpan w:val="3"/>
          </w:tcPr>
          <w:p>
            <w:pPr>
              <w:spacing w:after="0"/>
              <w:rPr>
                <w:sz w:val="20"/>
                <w:szCs w:val="20"/>
                <w:color w:val="auto"/>
              </w:rPr>
            </w:pPr>
            <w:r>
              <w:rPr>
                <w:rFonts w:ascii="Arial" w:cs="Arial" w:eastAsia="Arial" w:hAnsi="Arial"/>
                <w:sz w:val="7"/>
                <w:szCs w:val="7"/>
                <w:color w:val="auto"/>
              </w:rPr>
              <w:t>Madison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South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187,000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140,000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749</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Jul-07</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1372</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Penn Station/Garment</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85.0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508,000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335,000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659</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Nov-07</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470</w:t>
            </w:r>
          </w:p>
        </w:tc>
        <w:tc>
          <w:tcPr>
            <w:tcW w:w="1100" w:type="dxa"/>
            <w:vAlign w:val="bottom"/>
            <w:gridSpan w:val="3"/>
          </w:tcPr>
          <w:p>
            <w:pPr>
              <w:spacing w:after="0"/>
              <w:rPr>
                <w:sz w:val="20"/>
                <w:szCs w:val="20"/>
                <w:color w:val="auto"/>
              </w:rPr>
            </w:pPr>
            <w:r>
              <w:rPr>
                <w:rFonts w:ascii="Arial" w:cs="Arial" w:eastAsia="Arial" w:hAnsi="Arial"/>
                <w:sz w:val="7"/>
                <w:szCs w:val="7"/>
                <w:color w:val="auto"/>
              </w:rPr>
              <w:t>Park Avenue South</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Park Avenue South/Flatiron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260,000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157,000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604</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Jan-08</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440</w:t>
            </w:r>
          </w:p>
        </w:tc>
        <w:tc>
          <w:tcPr>
            <w:tcW w:w="1100" w:type="dxa"/>
            <w:vAlign w:val="bottom"/>
            <w:gridSpan w:val="3"/>
          </w:tcPr>
          <w:p>
            <w:pPr>
              <w:spacing w:after="0"/>
              <w:rPr>
                <w:sz w:val="20"/>
                <w:szCs w:val="20"/>
                <w:color w:val="auto"/>
              </w:rPr>
            </w:pPr>
            <w:r>
              <w:rPr>
                <w:rFonts w:ascii="Arial" w:cs="Arial" w:eastAsia="Arial" w:hAnsi="Arial"/>
                <w:sz w:val="7"/>
                <w:szCs w:val="7"/>
                <w:color w:val="auto"/>
              </w:rPr>
              <w:t>Ninth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Penn Station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339,000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160,000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472</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May-08</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1250</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Penn Station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670,000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310,000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463</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4"/>
              </w:rPr>
              <w:t>Oct-08</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1372</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Penn Station/Garment</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15.0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508,000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274,000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539</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May-10</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1221</w:t>
            </w:r>
          </w:p>
        </w:tc>
        <w:tc>
          <w:tcPr>
            <w:tcW w:w="1060" w:type="dxa"/>
            <w:vAlign w:val="bottom"/>
            <w:gridSpan w:val="2"/>
          </w:tcPr>
          <w:p>
            <w:pPr>
              <w:spacing w:after="0"/>
              <w:rPr>
                <w:sz w:val="20"/>
                <w:szCs w:val="20"/>
                <w:color w:val="auto"/>
              </w:rPr>
            </w:pPr>
            <w:r>
              <w:rPr>
                <w:rFonts w:ascii="Arial" w:cs="Arial" w:eastAsia="Arial" w:hAnsi="Arial"/>
                <w:sz w:val="7"/>
                <w:szCs w:val="7"/>
                <w:color w:val="auto"/>
              </w:rPr>
              <w:t>Avenue of the Americas</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Rockefeller Center</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45.0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2,550,000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1,280,000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502</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Sep-10</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19 West 44th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Midtown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292,000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123,150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422</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May-11</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28 West 44th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Midtown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359,000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161,000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448</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Aug-13</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333</w:t>
            </w:r>
          </w:p>
        </w:tc>
        <w:tc>
          <w:tcPr>
            <w:tcW w:w="1100" w:type="dxa"/>
            <w:vAlign w:val="bottom"/>
            <w:gridSpan w:val="3"/>
          </w:tcPr>
          <w:p>
            <w:pPr>
              <w:spacing w:after="0"/>
              <w:rPr>
                <w:sz w:val="20"/>
                <w:szCs w:val="20"/>
                <w:color w:val="auto"/>
              </w:rPr>
            </w:pPr>
            <w:r>
              <w:rPr>
                <w:rFonts w:ascii="Arial" w:cs="Arial" w:eastAsia="Arial" w:hAnsi="Arial"/>
                <w:sz w:val="7"/>
                <w:szCs w:val="7"/>
                <w:color w:val="auto"/>
              </w:rPr>
              <w:t>West 34th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Penn Station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345,400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220,250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638</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May-14</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673</w:t>
            </w:r>
          </w:p>
        </w:tc>
        <w:tc>
          <w:tcPr>
            <w:tcW w:w="1100" w:type="dxa"/>
            <w:vAlign w:val="bottom"/>
            <w:gridSpan w:val="3"/>
          </w:tcPr>
          <w:p>
            <w:pPr>
              <w:spacing w:after="0"/>
              <w:rPr>
                <w:sz w:val="20"/>
                <w:szCs w:val="20"/>
                <w:color w:val="auto"/>
              </w:rPr>
            </w:pPr>
            <w:r>
              <w:rPr>
                <w:rFonts w:ascii="Arial" w:cs="Arial" w:eastAsia="Arial" w:hAnsi="Arial"/>
                <w:sz w:val="7"/>
                <w:szCs w:val="7"/>
                <w:color w:val="auto"/>
              </w:rPr>
              <w:t>First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South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422,000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145,000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344</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Sep-15</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120</w:t>
            </w:r>
          </w:p>
        </w:tc>
        <w:tc>
          <w:tcPr>
            <w:tcW w:w="1100" w:type="dxa"/>
            <w:vAlign w:val="bottom"/>
            <w:gridSpan w:val="3"/>
          </w:tcPr>
          <w:p>
            <w:pPr>
              <w:spacing w:after="0"/>
              <w:rPr>
                <w:sz w:val="20"/>
                <w:szCs w:val="20"/>
                <w:color w:val="auto"/>
              </w:rPr>
            </w:pPr>
            <w:r>
              <w:rPr>
                <w:rFonts w:ascii="Arial" w:cs="Arial" w:eastAsia="Arial" w:hAnsi="Arial"/>
                <w:sz w:val="7"/>
                <w:szCs w:val="7"/>
                <w:color w:val="auto"/>
              </w:rPr>
              <w:t>West 45th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Midtown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440,000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365,000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830</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Sep-15</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315</w:t>
            </w:r>
          </w:p>
        </w:tc>
        <w:tc>
          <w:tcPr>
            <w:tcW w:w="1100" w:type="dxa"/>
            <w:vAlign w:val="bottom"/>
            <w:gridSpan w:val="3"/>
          </w:tcPr>
          <w:p>
            <w:pPr>
              <w:spacing w:after="0"/>
              <w:rPr>
                <w:sz w:val="20"/>
                <w:szCs w:val="20"/>
                <w:color w:val="auto"/>
              </w:rPr>
            </w:pPr>
            <w:r>
              <w:rPr>
                <w:rFonts w:ascii="Arial" w:cs="Arial" w:eastAsia="Arial" w:hAnsi="Arial"/>
                <w:sz w:val="7"/>
                <w:szCs w:val="7"/>
                <w:color w:val="auto"/>
              </w:rPr>
              <w:t>West 36th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Times Square South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148,000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115,000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777</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Jun-16</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388</w:t>
            </w:r>
          </w:p>
        </w:tc>
        <w:tc>
          <w:tcPr>
            <w:tcW w:w="1100" w:type="dxa"/>
            <w:vAlign w:val="bottom"/>
            <w:gridSpan w:val="3"/>
          </w:tcPr>
          <w:p>
            <w:pPr>
              <w:spacing w:after="0"/>
              <w:rPr>
                <w:sz w:val="20"/>
                <w:szCs w:val="20"/>
                <w:color w:val="auto"/>
              </w:rPr>
            </w:pPr>
            <w:r>
              <w:rPr>
                <w:rFonts w:ascii="Arial" w:cs="Arial" w:eastAsia="Arial" w:hAnsi="Arial"/>
                <w:sz w:val="7"/>
                <w:szCs w:val="7"/>
                <w:color w:val="auto"/>
              </w:rPr>
              <w:t>&amp; 390 Greenwich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Downtown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2,635,000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2,000,000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759</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Aug-16</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11 Madison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Park Avenue South</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40.0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2,314,000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2,600,000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1,124</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Nov-17</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1515</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Times Square</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30.0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1,750,000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1,950,000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1,114</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Jan-18</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600</w:t>
            </w:r>
          </w:p>
        </w:tc>
        <w:tc>
          <w:tcPr>
            <w:tcW w:w="1100" w:type="dxa"/>
            <w:vAlign w:val="bottom"/>
            <w:gridSpan w:val="3"/>
          </w:tcPr>
          <w:p>
            <w:pPr>
              <w:spacing w:after="0"/>
              <w:rPr>
                <w:sz w:val="20"/>
                <w:szCs w:val="20"/>
                <w:color w:val="auto"/>
              </w:rPr>
            </w:pPr>
            <w:r>
              <w:rPr>
                <w:rFonts w:ascii="Arial" w:cs="Arial" w:eastAsia="Arial" w:hAnsi="Arial"/>
                <w:sz w:val="7"/>
                <w:szCs w:val="7"/>
                <w:color w:val="auto"/>
              </w:rPr>
              <w:t>Lexington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North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303,515</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305,000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1,005</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8"/>
              </w:rPr>
              <w:t>Feb-18</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1515</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Times Square</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13.0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1,750,000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1,950,000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1,114</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May-18</w:t>
            </w:r>
          </w:p>
        </w:tc>
        <w:tc>
          <w:tcPr>
            <w:tcW w:w="200" w:type="dxa"/>
            <w:vAlign w:val="bottom"/>
            <w:gridSpan w:val="3"/>
          </w:tcPr>
          <w:p>
            <w:pPr>
              <w:ind w:left="40"/>
              <w:spacing w:after="0"/>
              <w:rPr>
                <w:sz w:val="20"/>
                <w:szCs w:val="20"/>
                <w:color w:val="auto"/>
              </w:rPr>
            </w:pPr>
            <w:r>
              <w:rPr>
                <w:rFonts w:ascii="Arial" w:cs="Arial" w:eastAsia="Arial" w:hAnsi="Arial"/>
                <w:sz w:val="7"/>
                <w:szCs w:val="7"/>
                <w:color w:val="auto"/>
                <w:w w:val="89"/>
              </w:rPr>
              <w:t>1745</w:t>
            </w:r>
          </w:p>
        </w:tc>
        <w:tc>
          <w:tcPr>
            <w:tcW w:w="106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Midtown</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56.9</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674,000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633,000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939</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Nov-18</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3 Columbus Circle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Columbus Circle</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48.9</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530,981</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851,000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1,603</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Nov-18</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2 Herald Square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Herald Square</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49.0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369,000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265,000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718</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May-19</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521</w:t>
            </w:r>
          </w:p>
        </w:tc>
        <w:tc>
          <w:tcPr>
            <w:tcW w:w="1100" w:type="dxa"/>
            <w:vAlign w:val="bottom"/>
            <w:gridSpan w:val="3"/>
          </w:tcPr>
          <w:p>
            <w:pPr>
              <w:spacing w:after="0"/>
              <w:rPr>
                <w:sz w:val="20"/>
                <w:szCs w:val="20"/>
                <w:color w:val="auto"/>
              </w:rPr>
            </w:pPr>
            <w:r>
              <w:rPr>
                <w:rFonts w:ascii="Arial" w:cs="Arial" w:eastAsia="Arial" w:hAnsi="Arial"/>
                <w:sz w:val="7"/>
                <w:szCs w:val="7"/>
                <w:color w:val="auto"/>
              </w:rPr>
              <w:t>Fifth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50.5</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460,000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381,000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828</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Dec-20</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30 East 40th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South</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60.0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69,446</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5,200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75</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9"/>
              </w:rPr>
              <w:t>Mar-21</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55 West 46th Street - Tower 46</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Midtown</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25.0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347,000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275,000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793</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Jun-21</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635</w:t>
            </w:r>
          </w:p>
        </w:tc>
        <w:tc>
          <w:tcPr>
            <w:tcW w:w="1100" w:type="dxa"/>
            <w:vAlign w:val="bottom"/>
            <w:gridSpan w:val="3"/>
          </w:tcPr>
          <w:p>
            <w:pPr>
              <w:spacing w:after="0"/>
              <w:rPr>
                <w:sz w:val="20"/>
                <w:szCs w:val="20"/>
                <w:color w:val="auto"/>
              </w:rPr>
            </w:pPr>
            <w:r>
              <w:rPr>
                <w:rFonts w:ascii="Arial" w:cs="Arial" w:eastAsia="Arial" w:hAnsi="Arial"/>
                <w:sz w:val="7"/>
                <w:szCs w:val="7"/>
                <w:color w:val="auto"/>
              </w:rPr>
              <w:t>- 641 Sixth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Midtown South</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267,000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325,000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1,217</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4"/>
              </w:rPr>
              <w:t>Jul-21</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220</w:t>
            </w:r>
          </w:p>
        </w:tc>
        <w:tc>
          <w:tcPr>
            <w:tcW w:w="1100" w:type="dxa"/>
            <w:vAlign w:val="bottom"/>
            <w:gridSpan w:val="3"/>
          </w:tcPr>
          <w:p>
            <w:pPr>
              <w:spacing w:after="0"/>
              <w:rPr>
                <w:sz w:val="20"/>
                <w:szCs w:val="20"/>
                <w:color w:val="auto"/>
              </w:rPr>
            </w:pPr>
            <w:r>
              <w:rPr>
                <w:rFonts w:ascii="Arial" w:cs="Arial" w:eastAsia="Arial" w:hAnsi="Arial"/>
                <w:sz w:val="7"/>
                <w:szCs w:val="7"/>
                <w:color w:val="auto"/>
              </w:rPr>
              <w:t>East 42nd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49.0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1,135,000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783,500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690</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4"/>
              </w:rPr>
              <w:t>Oct-21</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590</w:t>
            </w:r>
          </w:p>
        </w:tc>
        <w:tc>
          <w:tcPr>
            <w:tcW w:w="1100" w:type="dxa"/>
            <w:vAlign w:val="bottom"/>
            <w:gridSpan w:val="3"/>
          </w:tcPr>
          <w:p>
            <w:pPr>
              <w:spacing w:after="0"/>
              <w:rPr>
                <w:sz w:val="20"/>
                <w:szCs w:val="20"/>
                <w:color w:val="auto"/>
              </w:rPr>
            </w:pPr>
            <w:r>
              <w:rPr>
                <w:rFonts w:ascii="Arial" w:cs="Arial" w:eastAsia="Arial" w:hAnsi="Arial"/>
                <w:sz w:val="7"/>
                <w:szCs w:val="7"/>
                <w:color w:val="auto"/>
              </w:rPr>
              <w:t>Fifth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Midtown</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103,300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103,000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997</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Dec-21</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110 East 42nd Street</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91"/>
              </w:rPr>
              <w:t>100.0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215,400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117,075</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544</w:t>
            </w:r>
          </w:p>
        </w:tc>
      </w:tr>
      <w:tr>
        <w:trPr>
          <w:trHeight w:val="108"/>
        </w:trPr>
        <w:tc>
          <w:tcPr>
            <w:tcW w:w="800" w:type="dxa"/>
            <w:vAlign w:val="bottom"/>
          </w:tcPr>
          <w:p>
            <w:pPr>
              <w:jc w:val="center"/>
              <w:ind w:left="7"/>
              <w:spacing w:after="0"/>
              <w:rPr>
                <w:sz w:val="20"/>
                <w:szCs w:val="20"/>
                <w:color w:val="auto"/>
              </w:rPr>
            </w:pPr>
            <w:r>
              <w:rPr>
                <w:rFonts w:ascii="Arial" w:cs="Arial" w:eastAsia="Arial" w:hAnsi="Arial"/>
                <w:sz w:val="7"/>
                <w:szCs w:val="7"/>
                <w:color w:val="auto"/>
                <w:w w:val="93"/>
              </w:rPr>
              <w:t>Jun-23</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245</w:t>
            </w:r>
          </w:p>
        </w:tc>
        <w:tc>
          <w:tcPr>
            <w:tcW w:w="1100" w:type="dxa"/>
            <w:vAlign w:val="bottom"/>
            <w:gridSpan w:val="3"/>
          </w:tcPr>
          <w:p>
            <w:pPr>
              <w:spacing w:after="0"/>
              <w:rPr>
                <w:sz w:val="20"/>
                <w:szCs w:val="20"/>
                <w:color w:val="auto"/>
              </w:rPr>
            </w:pPr>
            <w:r>
              <w:rPr>
                <w:rFonts w:ascii="Arial" w:cs="Arial" w:eastAsia="Arial" w:hAnsi="Arial"/>
                <w:sz w:val="7"/>
                <w:szCs w:val="7"/>
                <w:color w:val="auto"/>
              </w:rPr>
              <w:t>Park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Park Avenue</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49.9</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1,782,793</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1,995,000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1,119</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Nov-24</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One Vanderbilt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w:t>
            </w:r>
          </w:p>
        </w:tc>
        <w:tc>
          <w:tcPr>
            <w:tcW w:w="580" w:type="dxa"/>
            <w:vAlign w:val="bottom"/>
            <w:gridSpan w:val="2"/>
          </w:tcPr>
          <w:p>
            <w:pPr>
              <w:jc w:val="center"/>
              <w:ind w:left="147"/>
              <w:spacing w:after="0"/>
              <w:rPr>
                <w:sz w:val="20"/>
                <w:szCs w:val="20"/>
                <w:color w:val="auto"/>
              </w:rPr>
            </w:pPr>
            <w:r>
              <w:rPr>
                <w:rFonts w:ascii="Arial" w:cs="Arial" w:eastAsia="Arial" w:hAnsi="Arial"/>
                <w:sz w:val="7"/>
                <w:szCs w:val="7"/>
                <w:color w:val="auto"/>
                <w:w w:val="87"/>
              </w:rPr>
              <w:t>11.0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1,657,198</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4,700,000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2,836</w:t>
            </w:r>
          </w:p>
        </w:tc>
      </w:tr>
      <w:tr>
        <w:trPr>
          <w:trHeight w:val="108"/>
        </w:trPr>
        <w:tc>
          <w:tcPr>
            <w:tcW w:w="800" w:type="dxa"/>
            <w:vAlign w:val="bottom"/>
          </w:tcPr>
          <w:p>
            <w:pPr>
              <w:jc w:val="center"/>
              <w:spacing w:after="0"/>
              <w:rPr>
                <w:sz w:val="20"/>
                <w:szCs w:val="20"/>
                <w:color w:val="auto"/>
              </w:rPr>
            </w:pPr>
            <w:r>
              <w:rPr>
                <w:rFonts w:ascii="Arial" w:cs="Arial" w:eastAsia="Arial" w:hAnsi="Arial"/>
                <w:sz w:val="7"/>
                <w:szCs w:val="7"/>
                <w:color w:val="auto"/>
                <w:w w:val="97"/>
              </w:rPr>
              <w:t>Sep-25</w:t>
            </w:r>
          </w:p>
        </w:tc>
        <w:tc>
          <w:tcPr>
            <w:tcW w:w="1260" w:type="dxa"/>
            <w:vAlign w:val="bottom"/>
            <w:gridSpan w:val="5"/>
          </w:tcPr>
          <w:p>
            <w:pPr>
              <w:ind w:left="40"/>
              <w:spacing w:after="0"/>
              <w:rPr>
                <w:sz w:val="20"/>
                <w:szCs w:val="20"/>
                <w:color w:val="auto"/>
              </w:rPr>
            </w:pPr>
            <w:r>
              <w:rPr>
                <w:rFonts w:ascii="Arial" w:cs="Arial" w:eastAsia="Arial" w:hAnsi="Arial"/>
                <w:sz w:val="7"/>
                <w:szCs w:val="7"/>
                <w:color w:val="auto"/>
              </w:rPr>
              <w:t>One Vanderbilt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5.0</w:t>
            </w:r>
          </w:p>
        </w:tc>
        <w:tc>
          <w:tcPr>
            <w:tcW w:w="200" w:type="dxa"/>
            <w:vAlign w:val="bottom"/>
          </w:tcPr>
          <w:p>
            <w:pPr>
              <w:spacing w:after="0"/>
              <w:rPr>
                <w:sz w:val="9"/>
                <w:szCs w:val="9"/>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40"/>
              <w:spacing w:after="0"/>
              <w:rPr>
                <w:sz w:val="20"/>
                <w:szCs w:val="20"/>
                <w:color w:val="auto"/>
              </w:rPr>
            </w:pPr>
            <w:r>
              <w:rPr>
                <w:rFonts w:ascii="Arial" w:cs="Arial" w:eastAsia="Arial" w:hAnsi="Arial"/>
                <w:sz w:val="7"/>
                <w:szCs w:val="7"/>
                <w:color w:val="auto"/>
              </w:rPr>
              <w:t>1,657,198</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2"/>
          </w:tcPr>
          <w:p>
            <w:pPr>
              <w:jc w:val="right"/>
              <w:ind w:right="27"/>
              <w:spacing w:after="0"/>
              <w:rPr>
                <w:sz w:val="20"/>
                <w:szCs w:val="20"/>
                <w:color w:val="auto"/>
              </w:rPr>
            </w:pPr>
            <w:r>
              <w:rPr>
                <w:rFonts w:ascii="Arial" w:cs="Arial" w:eastAsia="Arial" w:hAnsi="Arial"/>
                <w:sz w:val="7"/>
                <w:szCs w:val="7"/>
                <w:color w:val="auto"/>
              </w:rPr>
              <w:t>4,700,000</w:t>
            </w: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7"/>
                <w:szCs w:val="7"/>
                <w:color w:val="auto"/>
              </w:rPr>
              <w:t>2,836</w:t>
            </w:r>
          </w:p>
        </w:tc>
      </w:tr>
      <w:tr>
        <w:trPr>
          <w:trHeight w:val="118"/>
        </w:trPr>
        <w:tc>
          <w:tcPr>
            <w:tcW w:w="800" w:type="dxa"/>
            <w:vAlign w:val="bottom"/>
          </w:tcPr>
          <w:p>
            <w:pPr>
              <w:jc w:val="center"/>
              <w:spacing w:after="0"/>
              <w:rPr>
                <w:sz w:val="20"/>
                <w:szCs w:val="20"/>
                <w:color w:val="auto"/>
              </w:rPr>
            </w:pPr>
            <w:r>
              <w:rPr>
                <w:rFonts w:ascii="Arial" w:cs="Arial" w:eastAsia="Arial" w:hAnsi="Arial"/>
                <w:sz w:val="7"/>
                <w:szCs w:val="7"/>
                <w:color w:val="auto"/>
                <w:w w:val="97"/>
              </w:rPr>
              <w:t>Dec-25</w:t>
            </w:r>
          </w:p>
        </w:tc>
        <w:tc>
          <w:tcPr>
            <w:tcW w:w="160" w:type="dxa"/>
            <w:vAlign w:val="bottom"/>
            <w:gridSpan w:val="2"/>
          </w:tcPr>
          <w:p>
            <w:pPr>
              <w:ind w:left="40"/>
              <w:spacing w:after="0"/>
              <w:rPr>
                <w:sz w:val="20"/>
                <w:szCs w:val="20"/>
                <w:color w:val="auto"/>
              </w:rPr>
            </w:pPr>
            <w:r>
              <w:rPr>
                <w:rFonts w:ascii="Arial" w:cs="Arial" w:eastAsia="Arial" w:hAnsi="Arial"/>
                <w:sz w:val="7"/>
                <w:szCs w:val="7"/>
                <w:color w:val="auto"/>
                <w:w w:val="85"/>
              </w:rPr>
              <w:t>100</w:t>
            </w:r>
          </w:p>
        </w:tc>
        <w:tc>
          <w:tcPr>
            <w:tcW w:w="1100" w:type="dxa"/>
            <w:vAlign w:val="bottom"/>
            <w:gridSpan w:val="3"/>
          </w:tcPr>
          <w:p>
            <w:pPr>
              <w:spacing w:after="0"/>
              <w:rPr>
                <w:sz w:val="20"/>
                <w:szCs w:val="20"/>
                <w:color w:val="auto"/>
              </w:rPr>
            </w:pPr>
            <w:r>
              <w:rPr>
                <w:rFonts w:ascii="Arial" w:cs="Arial" w:eastAsia="Arial" w:hAnsi="Arial"/>
                <w:sz w:val="7"/>
                <w:szCs w:val="7"/>
                <w:color w:val="auto"/>
              </w:rPr>
              <w:t>Park Avenue</w:t>
            </w:r>
          </w:p>
        </w:tc>
        <w:tc>
          <w:tcPr>
            <w:tcW w:w="1280" w:type="dxa"/>
            <w:vAlign w:val="bottom"/>
            <w:gridSpan w:val="3"/>
          </w:tcPr>
          <w:p>
            <w:pPr>
              <w:ind w:left="300"/>
              <w:spacing w:after="0"/>
              <w:rPr>
                <w:sz w:val="20"/>
                <w:szCs w:val="20"/>
                <w:color w:val="auto"/>
              </w:rPr>
            </w:pPr>
            <w:r>
              <w:rPr>
                <w:rFonts w:ascii="Arial" w:cs="Arial" w:eastAsia="Arial" w:hAnsi="Arial"/>
                <w:sz w:val="7"/>
                <w:szCs w:val="7"/>
                <w:color w:val="auto"/>
              </w:rPr>
              <w:t>Grand Central South</w:t>
            </w:r>
          </w:p>
        </w:tc>
        <w:tc>
          <w:tcPr>
            <w:tcW w:w="580" w:type="dxa"/>
            <w:vAlign w:val="bottom"/>
            <w:gridSpan w:val="2"/>
          </w:tcPr>
          <w:p>
            <w:pPr>
              <w:jc w:val="center"/>
              <w:ind w:left="127"/>
              <w:spacing w:after="0"/>
              <w:rPr>
                <w:sz w:val="20"/>
                <w:szCs w:val="20"/>
                <w:color w:val="auto"/>
              </w:rPr>
            </w:pPr>
            <w:r>
              <w:rPr>
                <w:rFonts w:ascii="Arial" w:cs="Arial" w:eastAsia="Arial" w:hAnsi="Arial"/>
                <w:sz w:val="7"/>
                <w:szCs w:val="7"/>
                <w:color w:val="auto"/>
              </w:rPr>
              <w:t>49.0</w:t>
            </w:r>
          </w:p>
        </w:tc>
        <w:tc>
          <w:tcPr>
            <w:tcW w:w="200" w:type="dxa"/>
            <w:vAlign w:val="bottom"/>
          </w:tcPr>
          <w:p>
            <w:pPr>
              <w:spacing w:after="0"/>
              <w:rPr>
                <w:sz w:val="10"/>
                <w:szCs w:val="10"/>
                <w:color w:val="auto"/>
              </w:rPr>
            </w:pPr>
          </w:p>
        </w:tc>
        <w:tc>
          <w:tcPr>
            <w:tcW w:w="1460" w:type="dxa"/>
            <w:vAlign w:val="bottom"/>
            <w:gridSpan w:val="3"/>
          </w:tcPr>
          <w:p>
            <w:pPr>
              <w:ind w:left="200"/>
              <w:spacing w:after="0"/>
              <w:rPr>
                <w:sz w:val="20"/>
                <w:szCs w:val="20"/>
                <w:color w:val="auto"/>
              </w:rPr>
            </w:pPr>
            <w:r>
              <w:rPr>
                <w:rFonts w:ascii="Arial" w:cs="Arial" w:eastAsia="Arial" w:hAnsi="Arial"/>
                <w:sz w:val="7"/>
                <w:szCs w:val="7"/>
                <w:color w:val="auto"/>
              </w:rPr>
              <w:t>Fee Interest</w:t>
            </w: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834,000</w:t>
            </w:r>
          </w:p>
        </w:tc>
        <w:tc>
          <w:tcPr>
            <w:tcW w:w="2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7"/>
                <w:szCs w:val="7"/>
                <w:color w:val="auto"/>
              </w:rPr>
              <w:t>425,000</w:t>
            </w:r>
          </w:p>
        </w:tc>
        <w:tc>
          <w:tcPr>
            <w:tcW w:w="6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7"/>
                <w:szCs w:val="7"/>
                <w:color w:val="auto"/>
              </w:rPr>
              <w:t>1</w:t>
            </w:r>
          </w:p>
        </w:tc>
      </w:tr>
      <w:tr>
        <w:trPr>
          <w:trHeight w:val="92"/>
        </w:trPr>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33,843,554</w:t>
            </w:r>
          </w:p>
        </w:tc>
        <w:tc>
          <w:tcPr>
            <w:tcW w:w="280" w:type="dxa"/>
            <w:vAlign w:val="bottom"/>
          </w:tcPr>
          <w:p>
            <w:pPr>
              <w:spacing w:after="0"/>
              <w:rPr>
                <w:sz w:val="8"/>
                <w:szCs w:val="8"/>
                <w:color w:val="auto"/>
              </w:rPr>
            </w:pPr>
          </w:p>
        </w:tc>
        <w:tc>
          <w:tcPr>
            <w:tcW w:w="420" w:type="dxa"/>
            <w:vAlign w:val="bottom"/>
          </w:tcPr>
          <w:p>
            <w:pPr>
              <w:jc w:val="right"/>
              <w:ind w:right="353"/>
              <w:spacing w:after="0"/>
              <w:rPr>
                <w:sz w:val="20"/>
                <w:szCs w:val="20"/>
                <w:color w:val="auto"/>
              </w:rPr>
            </w:pPr>
            <w:r>
              <w:rPr>
                <w:rFonts w:ascii="Arial" w:cs="Arial" w:eastAsia="Arial" w:hAnsi="Arial"/>
                <w:sz w:val="5"/>
                <w:szCs w:val="5"/>
                <w:b w:val="1"/>
                <w:bCs w:val="1"/>
                <w:color w:val="auto"/>
                <w:w w:val="70"/>
              </w:rPr>
              <w:t>$</w:t>
            </w:r>
          </w:p>
        </w:tc>
        <w:tc>
          <w:tcPr>
            <w:tcW w:w="560" w:type="dxa"/>
            <w:vAlign w:val="bottom"/>
            <w:gridSpan w:val="2"/>
          </w:tcPr>
          <w:p>
            <w:pPr>
              <w:jc w:val="right"/>
              <w:ind w:right="27"/>
              <w:spacing w:after="0"/>
              <w:rPr>
                <w:sz w:val="20"/>
                <w:szCs w:val="20"/>
                <w:color w:val="auto"/>
              </w:rPr>
            </w:pPr>
            <w:r>
              <w:rPr>
                <w:rFonts w:ascii="Arial" w:cs="Arial" w:eastAsia="Arial" w:hAnsi="Arial"/>
                <w:sz w:val="7"/>
                <w:szCs w:val="7"/>
                <w:b w:val="1"/>
                <w:bCs w:val="1"/>
                <w:color w:val="auto"/>
              </w:rPr>
              <w:t>31,138,825</w:t>
            </w:r>
          </w:p>
        </w:tc>
        <w:tc>
          <w:tcPr>
            <w:tcW w:w="600" w:type="dxa"/>
            <w:vAlign w:val="bottom"/>
          </w:tcPr>
          <w:p>
            <w:pPr>
              <w:spacing w:after="0"/>
              <w:rPr>
                <w:sz w:val="8"/>
                <w:szCs w:val="8"/>
                <w:color w:val="auto"/>
              </w:rPr>
            </w:pPr>
          </w:p>
        </w:tc>
        <w:tc>
          <w:tcPr>
            <w:tcW w:w="360" w:type="dxa"/>
            <w:vAlign w:val="bottom"/>
          </w:tcPr>
          <w:p>
            <w:pPr>
              <w:jc w:val="right"/>
              <w:ind w:right="267"/>
              <w:spacing w:after="0"/>
              <w:rPr>
                <w:sz w:val="20"/>
                <w:szCs w:val="20"/>
                <w:color w:val="auto"/>
              </w:rPr>
            </w:pPr>
            <w:r>
              <w:rPr>
                <w:rFonts w:ascii="Arial" w:cs="Arial" w:eastAsia="Arial" w:hAnsi="Arial"/>
                <w:sz w:val="7"/>
                <w:szCs w:val="7"/>
                <w:b w:val="1"/>
                <w:bCs w:val="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7"/>
                <w:szCs w:val="7"/>
                <w:b w:val="1"/>
                <w:bCs w:val="1"/>
                <w:color w:val="auto"/>
              </w:rPr>
              <w:t>2,836</w:t>
            </w:r>
          </w:p>
        </w:tc>
      </w:tr>
    </w:tbl>
    <w:p>
      <w:pPr>
        <w:spacing w:after="0" w:line="357"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43</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8" w:right="141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SUMMARY OF REAL ESTATE 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ind w:right="5340"/>
        <w:spacing w:after="0" w:line="216" w:lineRule="auto"/>
        <w:rPr>
          <w:sz w:val="20"/>
          <w:szCs w:val="20"/>
          <w:color w:val="auto"/>
        </w:rPr>
      </w:pPr>
      <w:r>
        <w:rPr>
          <w:rFonts w:ascii="Arial" w:cs="Arial" w:eastAsia="Arial" w:hAnsi="Arial"/>
          <w:sz w:val="13"/>
          <w:szCs w:val="13"/>
          <w:b w:val="1"/>
          <w:bCs w:val="1"/>
          <w:color w:val="auto"/>
        </w:rPr>
        <w:t>Retail, Residential, Development / Redevelopment and Land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4627880</wp:posOffset>
            </wp:positionH>
            <wp:positionV relativeFrom="paragraph">
              <wp:posOffset>-169545</wp:posOffset>
            </wp:positionV>
            <wp:extent cx="1136650" cy="324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7659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577659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94"/>
        </w:trPr>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7"/>
                <w:szCs w:val="7"/>
                <w:b w:val="1"/>
                <w:bCs w:val="1"/>
                <w:color w:val="auto"/>
                <w:w w:val="94"/>
              </w:rPr>
              <w:t>Interest</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127"/>
              <w:spacing w:after="0"/>
              <w:rPr>
                <w:sz w:val="20"/>
                <w:szCs w:val="20"/>
                <w:color w:val="auto"/>
              </w:rPr>
            </w:pPr>
            <w:r>
              <w:rPr>
                <w:rFonts w:ascii="Arial" w:cs="Arial" w:eastAsia="Arial" w:hAnsi="Arial"/>
                <w:sz w:val="7"/>
                <w:szCs w:val="7"/>
                <w:b w:val="1"/>
                <w:bCs w:val="1"/>
                <w:color w:val="auto"/>
                <w:w w:val="96"/>
              </w:rPr>
              <w:t>Gross Asset</w:t>
            </w: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b w:val="1"/>
                <w:bCs w:val="1"/>
                <w:color w:val="auto"/>
              </w:rPr>
              <w:t>Occupancy (%)</w:t>
            </w: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r>
        <w:trPr>
          <w:trHeight w:val="79"/>
        </w:trPr>
        <w:tc>
          <w:tcPr>
            <w:tcW w:w="780" w:type="dxa"/>
            <w:vAlign w:val="bottom"/>
          </w:tcPr>
          <w:p>
            <w:pPr>
              <w:spacing w:after="0"/>
              <w:rPr>
                <w:sz w:val="6"/>
                <w:szCs w:val="6"/>
                <w:color w:val="auto"/>
              </w:rPr>
            </w:pPr>
          </w:p>
        </w:tc>
        <w:tc>
          <w:tcPr>
            <w:tcW w:w="1180" w:type="dxa"/>
            <w:vAlign w:val="bottom"/>
            <w:gridSpan w:val="3"/>
          </w:tcPr>
          <w:p>
            <w:pPr>
              <w:spacing w:after="0" w:line="79" w:lineRule="exact"/>
              <w:rPr>
                <w:sz w:val="20"/>
                <w:szCs w:val="20"/>
                <w:color w:val="auto"/>
              </w:rPr>
            </w:pPr>
            <w:r>
              <w:rPr>
                <w:rFonts w:ascii="Arial" w:cs="Arial" w:eastAsia="Arial" w:hAnsi="Arial"/>
                <w:sz w:val="7"/>
                <w:szCs w:val="7"/>
                <w:b w:val="1"/>
                <w:bCs w:val="1"/>
                <w:color w:val="auto"/>
              </w:rPr>
              <w:t>Property</w:t>
            </w:r>
          </w:p>
        </w:tc>
        <w:tc>
          <w:tcPr>
            <w:tcW w:w="800" w:type="dxa"/>
            <w:vAlign w:val="bottom"/>
            <w:gridSpan w:val="3"/>
          </w:tcPr>
          <w:p>
            <w:pPr>
              <w:ind w:left="140"/>
              <w:spacing w:after="0" w:line="79" w:lineRule="exact"/>
              <w:rPr>
                <w:sz w:val="20"/>
                <w:szCs w:val="20"/>
                <w:color w:val="auto"/>
              </w:rPr>
            </w:pPr>
            <w:r>
              <w:rPr>
                <w:rFonts w:ascii="Arial" w:cs="Arial" w:eastAsia="Arial" w:hAnsi="Arial"/>
                <w:sz w:val="7"/>
                <w:szCs w:val="7"/>
                <w:b w:val="1"/>
                <w:bCs w:val="1"/>
                <w:color w:val="auto"/>
              </w:rPr>
              <w:t>Type of Property</w:t>
            </w:r>
          </w:p>
        </w:tc>
        <w:tc>
          <w:tcPr>
            <w:tcW w:w="1020" w:type="dxa"/>
            <w:vAlign w:val="bottom"/>
            <w:gridSpan w:val="2"/>
          </w:tcPr>
          <w:p>
            <w:pPr>
              <w:spacing w:after="0" w:line="79" w:lineRule="exact"/>
              <w:rPr>
                <w:sz w:val="20"/>
                <w:szCs w:val="20"/>
                <w:color w:val="auto"/>
              </w:rPr>
            </w:pPr>
            <w:r>
              <w:rPr>
                <w:rFonts w:ascii="Arial" w:cs="Arial" w:eastAsia="Arial" w:hAnsi="Arial"/>
                <w:sz w:val="7"/>
                <w:szCs w:val="7"/>
                <w:b w:val="1"/>
                <w:bCs w:val="1"/>
                <w:color w:val="auto"/>
              </w:rPr>
              <w:t>Submarket</w:t>
            </w:r>
          </w:p>
        </w:tc>
        <w:tc>
          <w:tcPr>
            <w:tcW w:w="580" w:type="dxa"/>
            <w:vAlign w:val="bottom"/>
            <w:gridSpan w:val="2"/>
          </w:tcPr>
          <w:p>
            <w:pPr>
              <w:jc w:val="center"/>
              <w:ind w:right="260"/>
              <w:spacing w:after="0" w:line="79" w:lineRule="exact"/>
              <w:rPr>
                <w:sz w:val="20"/>
                <w:szCs w:val="20"/>
                <w:color w:val="auto"/>
              </w:rPr>
            </w:pPr>
            <w:r>
              <w:rPr>
                <w:rFonts w:ascii="Arial" w:cs="Arial" w:eastAsia="Arial" w:hAnsi="Arial"/>
                <w:sz w:val="7"/>
                <w:szCs w:val="7"/>
                <w:b w:val="1"/>
                <w:bCs w:val="1"/>
                <w:color w:val="auto"/>
                <w:w w:val="92"/>
              </w:rPr>
              <w:t>Acquired</w:t>
            </w:r>
          </w:p>
        </w:tc>
        <w:tc>
          <w:tcPr>
            <w:tcW w:w="1260" w:type="dxa"/>
            <w:vAlign w:val="bottom"/>
            <w:gridSpan w:val="2"/>
          </w:tcPr>
          <w:p>
            <w:pPr>
              <w:spacing w:after="0" w:line="79" w:lineRule="exact"/>
              <w:rPr>
                <w:sz w:val="20"/>
                <w:szCs w:val="20"/>
                <w:color w:val="auto"/>
              </w:rPr>
            </w:pPr>
            <w:r>
              <w:rPr>
                <w:rFonts w:ascii="Arial" w:cs="Arial" w:eastAsia="Arial" w:hAnsi="Arial"/>
                <w:sz w:val="7"/>
                <w:szCs w:val="7"/>
                <w:b w:val="1"/>
                <w:bCs w:val="1"/>
                <w:color w:val="auto"/>
              </w:rPr>
              <w:t>Type of Ownership</w:t>
            </w:r>
          </w:p>
        </w:tc>
        <w:tc>
          <w:tcPr>
            <w:tcW w:w="940" w:type="dxa"/>
            <w:vAlign w:val="bottom"/>
            <w:gridSpan w:val="4"/>
          </w:tcPr>
          <w:p>
            <w:pPr>
              <w:ind w:left="80"/>
              <w:spacing w:after="0" w:line="79" w:lineRule="exact"/>
              <w:rPr>
                <w:sz w:val="20"/>
                <w:szCs w:val="20"/>
                <w:color w:val="auto"/>
              </w:rPr>
            </w:pPr>
            <w:r>
              <w:rPr>
                <w:rFonts w:ascii="Arial" w:cs="Arial" w:eastAsia="Arial" w:hAnsi="Arial"/>
                <w:sz w:val="7"/>
                <w:szCs w:val="7"/>
                <w:b w:val="1"/>
                <w:bCs w:val="1"/>
                <w:color w:val="auto"/>
              </w:rPr>
              <w:t>Net Rentable SF</w:t>
            </w:r>
          </w:p>
        </w:tc>
        <w:tc>
          <w:tcPr>
            <w:tcW w:w="120" w:type="dxa"/>
            <w:vAlign w:val="bottom"/>
          </w:tcPr>
          <w:p>
            <w:pPr>
              <w:spacing w:after="0"/>
              <w:rPr>
                <w:sz w:val="6"/>
                <w:szCs w:val="6"/>
                <w:color w:val="auto"/>
              </w:rPr>
            </w:pPr>
          </w:p>
        </w:tc>
        <w:tc>
          <w:tcPr>
            <w:tcW w:w="580" w:type="dxa"/>
            <w:vAlign w:val="bottom"/>
            <w:gridSpan w:val="2"/>
          </w:tcPr>
          <w:p>
            <w:pPr>
              <w:jc w:val="right"/>
              <w:ind w:right="107"/>
              <w:spacing w:after="0" w:line="79" w:lineRule="exact"/>
              <w:rPr>
                <w:sz w:val="20"/>
                <w:szCs w:val="20"/>
                <w:color w:val="auto"/>
              </w:rPr>
            </w:pPr>
            <w:r>
              <w:rPr>
                <w:rFonts w:ascii="Arial" w:cs="Arial" w:eastAsia="Arial" w:hAnsi="Arial"/>
                <w:sz w:val="7"/>
                <w:szCs w:val="7"/>
                <w:b w:val="1"/>
                <w:bCs w:val="1"/>
                <w:color w:val="auto"/>
                <w:w w:val="88"/>
              </w:rPr>
              <w:t xml:space="preserve">Valuation </w:t>
            </w:r>
            <w:r>
              <w:rPr>
                <w:rFonts w:ascii="Arial" w:cs="Arial" w:eastAsia="Arial" w:hAnsi="Arial"/>
                <w:sz w:val="7"/>
                <w:szCs w:val="7"/>
                <w:b w:val="1"/>
                <w:bCs w:val="1"/>
                <w:u w:val="single" w:color="auto"/>
                <w:color w:val="auto"/>
                <w:w w:val="88"/>
              </w:rPr>
              <w:t>($</w:t>
            </w:r>
            <w:r>
              <w:rPr>
                <w:rFonts w:ascii="Arial" w:cs="Arial" w:eastAsia="Arial" w:hAnsi="Arial"/>
                <w:sz w:val="7"/>
                <w:szCs w:val="7"/>
                <w:b w:val="1"/>
                <w:bCs w:val="1"/>
                <w:color w:val="auto"/>
                <w:w w:val="88"/>
              </w:rPr>
              <w:t>'s)</w:t>
            </w:r>
          </w:p>
        </w:tc>
        <w:tc>
          <w:tcPr>
            <w:tcW w:w="260" w:type="dxa"/>
            <w:vAlign w:val="bottom"/>
          </w:tcPr>
          <w:p>
            <w:pPr>
              <w:spacing w:after="0"/>
              <w:rPr>
                <w:sz w:val="6"/>
                <w:szCs w:val="6"/>
                <w:color w:val="auto"/>
              </w:rPr>
            </w:pPr>
          </w:p>
        </w:tc>
        <w:tc>
          <w:tcPr>
            <w:tcW w:w="1020" w:type="dxa"/>
            <w:vAlign w:val="bottom"/>
            <w:gridSpan w:val="3"/>
          </w:tcPr>
          <w:p>
            <w:pPr>
              <w:jc w:val="right"/>
              <w:ind w:right="420"/>
              <w:spacing w:after="0" w:line="79" w:lineRule="exact"/>
              <w:rPr>
                <w:sz w:val="20"/>
                <w:szCs w:val="20"/>
                <w:color w:val="auto"/>
              </w:rPr>
            </w:pPr>
            <w:r>
              <w:rPr>
                <w:rFonts w:ascii="Arial" w:cs="Arial" w:eastAsia="Arial" w:hAnsi="Arial"/>
                <w:sz w:val="7"/>
                <w:szCs w:val="7"/>
                <w:b w:val="1"/>
                <w:bCs w:val="1"/>
                <w:color w:val="auto"/>
              </w:rPr>
              <w:t>at acquisition</w:t>
            </w:r>
          </w:p>
        </w:tc>
        <w:tc>
          <w:tcPr>
            <w:tcW w:w="280" w:type="dxa"/>
            <w:vAlign w:val="bottom"/>
          </w:tcPr>
          <w:p>
            <w:pPr>
              <w:jc w:val="right"/>
              <w:spacing w:after="0" w:line="79" w:lineRule="exact"/>
              <w:rPr>
                <w:sz w:val="20"/>
                <w:szCs w:val="20"/>
                <w:color w:val="auto"/>
              </w:rPr>
            </w:pPr>
            <w:r>
              <w:rPr>
                <w:rFonts w:ascii="Arial" w:cs="Arial" w:eastAsia="Arial" w:hAnsi="Arial"/>
                <w:sz w:val="7"/>
                <w:szCs w:val="7"/>
                <w:b w:val="1"/>
                <w:bCs w:val="1"/>
                <w:color w:val="auto"/>
                <w:w w:val="83"/>
              </w:rPr>
              <w:t>3/31/2026</w:t>
            </w:r>
          </w:p>
        </w:tc>
        <w:tc>
          <w:tcPr>
            <w:tcW w:w="240" w:type="dxa"/>
            <w:vAlign w:val="bottom"/>
          </w:tcPr>
          <w:p>
            <w:pPr>
              <w:spacing w:after="0"/>
              <w:rPr>
                <w:sz w:val="6"/>
                <w:szCs w:val="6"/>
                <w:color w:val="auto"/>
              </w:rPr>
            </w:pPr>
          </w:p>
        </w:tc>
      </w:tr>
      <w:tr>
        <w:trPr>
          <w:trHeight w:val="110"/>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93"/>
              </w:rPr>
              <w:t>2005 - 2025 Acquisitions</w:t>
            </w:r>
          </w:p>
        </w:tc>
        <w:tc>
          <w:tcPr>
            <w:tcW w:w="1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r>
      <w:tr>
        <w:trPr>
          <w:trHeight w:val="86"/>
        </w:trPr>
        <w:tc>
          <w:tcPr>
            <w:tcW w:w="780" w:type="dxa"/>
            <w:vAlign w:val="bottom"/>
          </w:tcPr>
          <w:p>
            <w:pPr>
              <w:jc w:val="center"/>
              <w:ind w:right="7"/>
              <w:spacing w:after="0"/>
              <w:rPr>
                <w:sz w:val="20"/>
                <w:szCs w:val="20"/>
                <w:color w:val="auto"/>
              </w:rPr>
            </w:pPr>
            <w:r>
              <w:rPr>
                <w:rFonts w:ascii="Arial" w:cs="Arial" w:eastAsia="Arial" w:hAnsi="Arial"/>
                <w:sz w:val="7"/>
                <w:szCs w:val="7"/>
                <w:color w:val="auto"/>
                <w:w w:val="94"/>
              </w:rPr>
              <w:t>Jul-05</w:t>
            </w:r>
          </w:p>
        </w:tc>
        <w:tc>
          <w:tcPr>
            <w:tcW w:w="1180" w:type="dxa"/>
            <w:vAlign w:val="bottom"/>
            <w:gridSpan w:val="3"/>
          </w:tcPr>
          <w:p>
            <w:pPr>
              <w:spacing w:after="0"/>
              <w:rPr>
                <w:sz w:val="20"/>
                <w:szCs w:val="20"/>
                <w:color w:val="auto"/>
              </w:rPr>
            </w:pPr>
            <w:r>
              <w:rPr>
                <w:rFonts w:ascii="Arial" w:cs="Arial" w:eastAsia="Arial" w:hAnsi="Arial"/>
                <w:sz w:val="7"/>
                <w:szCs w:val="7"/>
                <w:color w:val="auto"/>
              </w:rPr>
              <w:t>1551-1555 Broadway</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300" w:type="dxa"/>
            <w:vAlign w:val="bottom"/>
          </w:tcPr>
          <w:p>
            <w:pPr>
              <w:jc w:val="center"/>
              <w:spacing w:after="0"/>
              <w:rPr>
                <w:sz w:val="20"/>
                <w:szCs w:val="20"/>
                <w:color w:val="auto"/>
              </w:rPr>
            </w:pPr>
            <w:r>
              <w:rPr>
                <w:rFonts w:ascii="Arial" w:cs="Arial" w:eastAsia="Arial" w:hAnsi="Arial"/>
                <w:sz w:val="7"/>
                <w:szCs w:val="7"/>
                <w:color w:val="auto"/>
              </w:rPr>
              <w:t>10.0%</w:t>
            </w:r>
          </w:p>
        </w:tc>
        <w:tc>
          <w:tcPr>
            <w:tcW w:w="280" w:type="dxa"/>
            <w:vAlign w:val="bottom"/>
          </w:tcPr>
          <w:p>
            <w:pPr>
              <w:spacing w:after="0"/>
              <w:rPr>
                <w:sz w:val="7"/>
                <w:szCs w:val="7"/>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25,600</w:t>
            </w:r>
          </w:p>
        </w:tc>
        <w:tc>
          <w:tcPr>
            <w:tcW w:w="260" w:type="dxa"/>
            <w:vAlign w:val="bottom"/>
          </w:tcPr>
          <w:p>
            <w:pPr>
              <w:spacing w:after="0"/>
              <w:rPr>
                <w:sz w:val="7"/>
                <w:szCs w:val="7"/>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85,000</w:t>
            </w: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7"/>
                <w:szCs w:val="7"/>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ind w:right="7"/>
              <w:spacing w:after="0"/>
              <w:rPr>
                <w:sz w:val="20"/>
                <w:szCs w:val="20"/>
                <w:color w:val="auto"/>
              </w:rPr>
            </w:pPr>
            <w:r>
              <w:rPr>
                <w:rFonts w:ascii="Arial" w:cs="Arial" w:eastAsia="Arial" w:hAnsi="Arial"/>
                <w:sz w:val="7"/>
                <w:szCs w:val="7"/>
                <w:color w:val="auto"/>
                <w:w w:val="94"/>
              </w:rPr>
              <w:t>Jul-05</w:t>
            </w:r>
          </w:p>
        </w:tc>
        <w:tc>
          <w:tcPr>
            <w:tcW w:w="1180" w:type="dxa"/>
            <w:vAlign w:val="bottom"/>
            <w:gridSpan w:val="3"/>
          </w:tcPr>
          <w:p>
            <w:pPr>
              <w:spacing w:after="0"/>
              <w:rPr>
                <w:sz w:val="20"/>
                <w:szCs w:val="20"/>
                <w:color w:val="auto"/>
              </w:rPr>
            </w:pPr>
            <w:r>
              <w:rPr>
                <w:rFonts w:ascii="Arial" w:cs="Arial" w:eastAsia="Arial" w:hAnsi="Arial"/>
                <w:sz w:val="7"/>
                <w:szCs w:val="7"/>
                <w:color w:val="auto"/>
              </w:rPr>
              <w:t>21 West 34th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Herald Square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30,100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17,500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Sep-05</w:t>
            </w:r>
          </w:p>
        </w:tc>
        <w:tc>
          <w:tcPr>
            <w:tcW w:w="120" w:type="dxa"/>
            <w:vAlign w:val="bottom"/>
          </w:tcPr>
          <w:p>
            <w:pPr>
              <w:spacing w:after="0"/>
              <w:rPr>
                <w:sz w:val="20"/>
                <w:szCs w:val="20"/>
                <w:color w:val="auto"/>
              </w:rPr>
            </w:pPr>
            <w:r>
              <w:rPr>
                <w:rFonts w:ascii="Arial" w:cs="Arial" w:eastAsia="Arial" w:hAnsi="Arial"/>
                <w:sz w:val="7"/>
                <w:szCs w:val="7"/>
                <w:color w:val="auto"/>
                <w:w w:val="85"/>
              </w:rPr>
              <w:t>141</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Flatiron</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21,500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13,250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Nov-05</w:t>
            </w:r>
          </w:p>
        </w:tc>
        <w:tc>
          <w:tcPr>
            <w:tcW w:w="1180" w:type="dxa"/>
            <w:vAlign w:val="bottom"/>
            <w:gridSpan w:val="3"/>
          </w:tcPr>
          <w:p>
            <w:pPr>
              <w:spacing w:after="0"/>
              <w:rPr>
                <w:sz w:val="20"/>
                <w:szCs w:val="20"/>
                <w:color w:val="auto"/>
              </w:rPr>
            </w:pPr>
            <w:r>
              <w:rPr>
                <w:rFonts w:ascii="Arial" w:cs="Arial" w:eastAsia="Arial" w:hAnsi="Arial"/>
                <w:sz w:val="7"/>
                <w:szCs w:val="7"/>
                <w:color w:val="auto"/>
              </w:rPr>
              <w:t>1604 Broadway</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63.0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29,876</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4,400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17.2</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Dec-05</w:t>
            </w:r>
          </w:p>
        </w:tc>
        <w:tc>
          <w:tcPr>
            <w:tcW w:w="120" w:type="dxa"/>
            <w:vAlign w:val="bottom"/>
          </w:tcPr>
          <w:p>
            <w:pPr>
              <w:spacing w:after="0"/>
              <w:rPr>
                <w:sz w:val="20"/>
                <w:szCs w:val="20"/>
                <w:color w:val="auto"/>
              </w:rPr>
            </w:pPr>
            <w:r>
              <w:rPr>
                <w:rFonts w:ascii="Arial" w:cs="Arial" w:eastAsia="Arial" w:hAnsi="Arial"/>
                <w:sz w:val="7"/>
                <w:szCs w:val="7"/>
                <w:color w:val="auto"/>
                <w:w w:val="85"/>
              </w:rPr>
              <w:t>379</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West Broadway</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Cast Iron/Soho</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45.0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62,006</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19,750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Jan-06</w:t>
            </w:r>
          </w:p>
        </w:tc>
        <w:tc>
          <w:tcPr>
            <w:tcW w:w="1180" w:type="dxa"/>
            <w:vAlign w:val="bottom"/>
            <w:gridSpan w:val="3"/>
          </w:tcPr>
          <w:p>
            <w:pPr>
              <w:spacing w:after="0"/>
              <w:rPr>
                <w:sz w:val="20"/>
                <w:szCs w:val="20"/>
                <w:color w:val="auto"/>
              </w:rPr>
            </w:pPr>
            <w:r>
              <w:rPr>
                <w:rFonts w:ascii="Arial" w:cs="Arial" w:eastAsia="Arial" w:hAnsi="Arial"/>
                <w:sz w:val="7"/>
                <w:szCs w:val="7"/>
                <w:color w:val="auto"/>
              </w:rPr>
              <w:t>25-29 West 34th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Herald Square/Penn Station</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41,000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30,000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55.8</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Sep-06</w:t>
            </w:r>
          </w:p>
        </w:tc>
        <w:tc>
          <w:tcPr>
            <w:tcW w:w="120" w:type="dxa"/>
            <w:vAlign w:val="bottom"/>
          </w:tcPr>
          <w:p>
            <w:pPr>
              <w:spacing w:after="0"/>
              <w:rPr>
                <w:sz w:val="20"/>
                <w:szCs w:val="20"/>
                <w:color w:val="auto"/>
              </w:rPr>
            </w:pPr>
            <w:r>
              <w:rPr>
                <w:rFonts w:ascii="Arial" w:cs="Arial" w:eastAsia="Arial" w:hAnsi="Arial"/>
                <w:sz w:val="7"/>
                <w:szCs w:val="7"/>
                <w:color w:val="auto"/>
                <w:w w:val="85"/>
              </w:rPr>
              <w:t>717</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Midtown/Plaza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32.8</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119,550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251,900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63.1</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Aug-07</w:t>
            </w:r>
          </w:p>
        </w:tc>
        <w:tc>
          <w:tcPr>
            <w:tcW w:w="120" w:type="dxa"/>
            <w:vAlign w:val="bottom"/>
          </w:tcPr>
          <w:p>
            <w:pPr>
              <w:spacing w:after="0"/>
              <w:rPr>
                <w:sz w:val="20"/>
                <w:szCs w:val="20"/>
                <w:color w:val="auto"/>
              </w:rPr>
            </w:pPr>
            <w:r>
              <w:rPr>
                <w:rFonts w:ascii="Arial" w:cs="Arial" w:eastAsia="Arial" w:hAnsi="Arial"/>
                <w:sz w:val="7"/>
                <w:szCs w:val="7"/>
                <w:color w:val="auto"/>
                <w:w w:val="85"/>
              </w:rPr>
              <w:t>180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Broadway</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24,300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13,600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85.2</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Apr-07</w:t>
            </w:r>
          </w:p>
        </w:tc>
        <w:tc>
          <w:tcPr>
            <w:tcW w:w="1180" w:type="dxa"/>
            <w:vAlign w:val="bottom"/>
            <w:gridSpan w:val="3"/>
          </w:tcPr>
          <w:p>
            <w:pPr>
              <w:spacing w:after="0"/>
              <w:rPr>
                <w:sz w:val="20"/>
                <w:szCs w:val="20"/>
                <w:color w:val="auto"/>
              </w:rPr>
            </w:pPr>
            <w:r>
              <w:rPr>
                <w:rFonts w:ascii="Arial" w:cs="Arial" w:eastAsia="Arial" w:hAnsi="Arial"/>
                <w:sz w:val="7"/>
                <w:szCs w:val="7"/>
                <w:color w:val="auto"/>
              </w:rPr>
              <w:t>Two Herald Square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Land</w:t>
            </w:r>
          </w:p>
        </w:tc>
        <w:tc>
          <w:tcPr>
            <w:tcW w:w="1020" w:type="dxa"/>
            <w:vAlign w:val="bottom"/>
            <w:gridSpan w:val="2"/>
          </w:tcPr>
          <w:p>
            <w:pPr>
              <w:spacing w:after="0"/>
              <w:rPr>
                <w:sz w:val="20"/>
                <w:szCs w:val="20"/>
                <w:color w:val="auto"/>
              </w:rPr>
            </w:pPr>
            <w:r>
              <w:rPr>
                <w:rFonts w:ascii="Arial" w:cs="Arial" w:eastAsia="Arial" w:hAnsi="Arial"/>
                <w:sz w:val="7"/>
                <w:szCs w:val="7"/>
                <w:color w:val="auto"/>
              </w:rPr>
              <w:t>Herald Square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55.0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80" w:type="dxa"/>
            <w:vAlign w:val="bottom"/>
          </w:tcPr>
          <w:p>
            <w:pPr>
              <w:spacing w:after="0"/>
              <w:rPr>
                <w:sz w:val="9"/>
                <w:szCs w:val="9"/>
                <w:color w:val="auto"/>
              </w:rPr>
            </w:pPr>
          </w:p>
        </w:tc>
        <w:tc>
          <w:tcPr>
            <w:tcW w:w="860" w:type="dxa"/>
            <w:vAlign w:val="bottom"/>
            <w:gridSpan w:val="3"/>
          </w:tcPr>
          <w:p>
            <w:pPr>
              <w:ind w:left="460"/>
              <w:spacing w:after="0"/>
              <w:rPr>
                <w:sz w:val="20"/>
                <w:szCs w:val="20"/>
                <w:color w:val="auto"/>
              </w:rPr>
            </w:pPr>
            <w:r>
              <w:rPr>
                <w:rFonts w:ascii="Arial" w:cs="Arial" w:eastAsia="Arial" w:hAnsi="Arial"/>
                <w:sz w:val="7"/>
                <w:szCs w:val="7"/>
                <w:color w:val="auto"/>
              </w:rPr>
              <w:t>N/A</w:t>
            </w: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225,000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ind w:right="7"/>
              <w:spacing w:after="0"/>
              <w:rPr>
                <w:sz w:val="20"/>
                <w:szCs w:val="20"/>
                <w:color w:val="auto"/>
              </w:rPr>
            </w:pPr>
            <w:r>
              <w:rPr>
                <w:rFonts w:ascii="Arial" w:cs="Arial" w:eastAsia="Arial" w:hAnsi="Arial"/>
                <w:sz w:val="7"/>
                <w:szCs w:val="7"/>
                <w:color w:val="auto"/>
                <w:w w:val="94"/>
              </w:rPr>
              <w:t>Jul-07</w:t>
            </w:r>
          </w:p>
        </w:tc>
        <w:tc>
          <w:tcPr>
            <w:tcW w:w="120" w:type="dxa"/>
            <w:vAlign w:val="bottom"/>
          </w:tcPr>
          <w:p>
            <w:pPr>
              <w:spacing w:after="0"/>
              <w:rPr>
                <w:sz w:val="20"/>
                <w:szCs w:val="20"/>
                <w:color w:val="auto"/>
              </w:rPr>
            </w:pPr>
            <w:r>
              <w:rPr>
                <w:rFonts w:ascii="Arial" w:cs="Arial" w:eastAsia="Arial" w:hAnsi="Arial"/>
                <w:sz w:val="7"/>
                <w:szCs w:val="7"/>
                <w:color w:val="auto"/>
                <w:w w:val="85"/>
              </w:rPr>
              <w:t>885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Land</w:t>
            </w:r>
          </w:p>
        </w:tc>
        <w:tc>
          <w:tcPr>
            <w:tcW w:w="1020" w:type="dxa"/>
            <w:vAlign w:val="bottom"/>
            <w:gridSpan w:val="2"/>
          </w:tcPr>
          <w:p>
            <w:pPr>
              <w:spacing w:after="0"/>
              <w:rPr>
                <w:sz w:val="20"/>
                <w:szCs w:val="20"/>
                <w:color w:val="auto"/>
              </w:rPr>
            </w:pPr>
            <w:r>
              <w:rPr>
                <w:rFonts w:ascii="Arial" w:cs="Arial" w:eastAsia="Arial" w:hAnsi="Arial"/>
                <w:sz w:val="7"/>
                <w:szCs w:val="7"/>
                <w:color w:val="auto"/>
              </w:rPr>
              <w:t>Midtown / 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55.0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80" w:type="dxa"/>
            <w:vAlign w:val="bottom"/>
          </w:tcPr>
          <w:p>
            <w:pPr>
              <w:spacing w:after="0"/>
              <w:rPr>
                <w:sz w:val="9"/>
                <w:szCs w:val="9"/>
                <w:color w:val="auto"/>
              </w:rPr>
            </w:pPr>
          </w:p>
        </w:tc>
        <w:tc>
          <w:tcPr>
            <w:tcW w:w="860" w:type="dxa"/>
            <w:vAlign w:val="bottom"/>
            <w:gridSpan w:val="3"/>
          </w:tcPr>
          <w:p>
            <w:pPr>
              <w:ind w:left="460"/>
              <w:spacing w:after="0"/>
              <w:rPr>
                <w:sz w:val="20"/>
                <w:szCs w:val="20"/>
                <w:color w:val="auto"/>
              </w:rPr>
            </w:pPr>
            <w:r>
              <w:rPr>
                <w:rFonts w:ascii="Arial" w:cs="Arial" w:eastAsia="Arial" w:hAnsi="Arial"/>
                <w:sz w:val="7"/>
                <w:szCs w:val="7"/>
                <w:color w:val="auto"/>
              </w:rPr>
              <w:t>N/A</w:t>
            </w: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317,000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9"/>
              </w:rPr>
              <w:t>Feb-08</w:t>
            </w:r>
          </w:p>
        </w:tc>
        <w:tc>
          <w:tcPr>
            <w:tcW w:w="120" w:type="dxa"/>
            <w:vAlign w:val="bottom"/>
          </w:tcPr>
          <w:p>
            <w:pPr>
              <w:spacing w:after="0"/>
              <w:rPr>
                <w:sz w:val="20"/>
                <w:szCs w:val="20"/>
                <w:color w:val="auto"/>
              </w:rPr>
            </w:pPr>
            <w:r>
              <w:rPr>
                <w:rFonts w:ascii="Arial" w:cs="Arial" w:eastAsia="Arial" w:hAnsi="Arial"/>
                <w:sz w:val="7"/>
                <w:szCs w:val="7"/>
                <w:color w:val="auto"/>
                <w:w w:val="85"/>
              </w:rPr>
              <w:t>182</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Broadway</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46,280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30,000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83.8</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Nov-10</w:t>
            </w:r>
          </w:p>
        </w:tc>
        <w:tc>
          <w:tcPr>
            <w:tcW w:w="1180" w:type="dxa"/>
            <w:vAlign w:val="bottom"/>
            <w:gridSpan w:val="3"/>
          </w:tcPr>
          <w:p>
            <w:pPr>
              <w:spacing w:after="0"/>
              <w:rPr>
                <w:sz w:val="20"/>
                <w:szCs w:val="20"/>
                <w:color w:val="auto"/>
              </w:rPr>
            </w:pPr>
            <w:r>
              <w:rPr>
                <w:rFonts w:ascii="Arial" w:cs="Arial" w:eastAsia="Arial" w:hAnsi="Arial"/>
                <w:sz w:val="7"/>
                <w:szCs w:val="7"/>
                <w:color w:val="auto"/>
              </w:rPr>
              <w:t>Williamsburg Terrace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52,000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18,000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Dec-10</w:t>
            </w:r>
          </w:p>
        </w:tc>
        <w:tc>
          <w:tcPr>
            <w:tcW w:w="1180" w:type="dxa"/>
            <w:vAlign w:val="bottom"/>
            <w:gridSpan w:val="3"/>
          </w:tcPr>
          <w:p>
            <w:pPr>
              <w:spacing w:after="0"/>
              <w:rPr>
                <w:sz w:val="20"/>
                <w:szCs w:val="20"/>
                <w:color w:val="auto"/>
              </w:rPr>
            </w:pPr>
            <w:r>
              <w:rPr>
                <w:rFonts w:ascii="Arial" w:cs="Arial" w:eastAsia="Arial" w:hAnsi="Arial"/>
                <w:sz w:val="7"/>
                <w:szCs w:val="7"/>
                <w:color w:val="auto"/>
              </w:rPr>
              <w:t>11 West 34th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Herald Square/Penn Station</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30.0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17,150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10,800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47"/>
              <w:spacing w:after="0"/>
              <w:rPr>
                <w:sz w:val="20"/>
                <w:szCs w:val="20"/>
                <w:color w:val="auto"/>
              </w:rPr>
            </w:pPr>
            <w:r>
              <w:rPr>
                <w:rFonts w:ascii="Arial" w:cs="Arial" w:eastAsia="Arial" w:hAnsi="Arial"/>
                <w:sz w:val="7"/>
                <w:szCs w:val="7"/>
                <w:color w:val="auto"/>
              </w:rPr>
              <w:t>100.0</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Dec-10</w:t>
            </w:r>
          </w:p>
        </w:tc>
        <w:tc>
          <w:tcPr>
            <w:tcW w:w="1180" w:type="dxa"/>
            <w:vAlign w:val="bottom"/>
            <w:gridSpan w:val="3"/>
          </w:tcPr>
          <w:p>
            <w:pPr>
              <w:spacing w:after="0"/>
              <w:rPr>
                <w:sz w:val="20"/>
                <w:szCs w:val="20"/>
                <w:color w:val="auto"/>
              </w:rPr>
            </w:pPr>
            <w:r>
              <w:rPr>
                <w:rFonts w:ascii="Arial" w:cs="Arial" w:eastAsia="Arial" w:hAnsi="Arial"/>
                <w:sz w:val="7"/>
                <w:szCs w:val="7"/>
                <w:color w:val="auto"/>
              </w:rPr>
              <w:t>Two Herald Square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Land</w:t>
            </w:r>
          </w:p>
        </w:tc>
        <w:tc>
          <w:tcPr>
            <w:tcW w:w="1020" w:type="dxa"/>
            <w:vAlign w:val="bottom"/>
            <w:gridSpan w:val="2"/>
          </w:tcPr>
          <w:p>
            <w:pPr>
              <w:spacing w:after="0"/>
              <w:rPr>
                <w:sz w:val="20"/>
                <w:szCs w:val="20"/>
                <w:color w:val="auto"/>
              </w:rPr>
            </w:pPr>
            <w:r>
              <w:rPr>
                <w:rFonts w:ascii="Arial" w:cs="Arial" w:eastAsia="Arial" w:hAnsi="Arial"/>
                <w:sz w:val="7"/>
                <w:szCs w:val="7"/>
                <w:color w:val="auto"/>
              </w:rPr>
              <w:t>Herald Square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45.0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354,400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247,500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Dec-10</w:t>
            </w:r>
          </w:p>
        </w:tc>
        <w:tc>
          <w:tcPr>
            <w:tcW w:w="120" w:type="dxa"/>
            <w:vAlign w:val="bottom"/>
          </w:tcPr>
          <w:p>
            <w:pPr>
              <w:spacing w:after="0"/>
              <w:rPr>
                <w:sz w:val="20"/>
                <w:szCs w:val="20"/>
                <w:color w:val="auto"/>
              </w:rPr>
            </w:pPr>
            <w:r>
              <w:rPr>
                <w:rFonts w:ascii="Arial" w:cs="Arial" w:eastAsia="Arial" w:hAnsi="Arial"/>
                <w:sz w:val="7"/>
                <w:szCs w:val="7"/>
                <w:color w:val="auto"/>
                <w:w w:val="85"/>
              </w:rPr>
              <w:t>885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Land</w:t>
            </w:r>
          </w:p>
        </w:tc>
        <w:tc>
          <w:tcPr>
            <w:tcW w:w="1020" w:type="dxa"/>
            <w:vAlign w:val="bottom"/>
            <w:gridSpan w:val="2"/>
          </w:tcPr>
          <w:p>
            <w:pPr>
              <w:spacing w:after="0"/>
              <w:rPr>
                <w:sz w:val="20"/>
                <w:szCs w:val="20"/>
                <w:color w:val="auto"/>
              </w:rPr>
            </w:pPr>
            <w:r>
              <w:rPr>
                <w:rFonts w:ascii="Arial" w:cs="Arial" w:eastAsia="Arial" w:hAnsi="Arial"/>
                <w:sz w:val="7"/>
                <w:szCs w:val="7"/>
                <w:color w:val="auto"/>
              </w:rPr>
              <w:t>Midtown / 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45.0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607,000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352,000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Dec-10</w:t>
            </w:r>
          </w:p>
        </w:tc>
        <w:tc>
          <w:tcPr>
            <w:tcW w:w="120" w:type="dxa"/>
            <w:vAlign w:val="bottom"/>
          </w:tcPr>
          <w:p>
            <w:pPr>
              <w:spacing w:after="0"/>
              <w:rPr>
                <w:sz w:val="20"/>
                <w:szCs w:val="20"/>
                <w:color w:val="auto"/>
              </w:rPr>
            </w:pPr>
            <w:r>
              <w:rPr>
                <w:rFonts w:ascii="Arial" w:cs="Arial" w:eastAsia="Arial" w:hAnsi="Arial"/>
                <w:sz w:val="7"/>
                <w:szCs w:val="7"/>
                <w:color w:val="auto"/>
                <w:w w:val="85"/>
              </w:rPr>
              <w:t>292</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Land</w:t>
            </w:r>
          </w:p>
        </w:tc>
        <w:tc>
          <w:tcPr>
            <w:tcW w:w="102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203,800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78,300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Jan-11</w:t>
            </w:r>
          </w:p>
        </w:tc>
        <w:tc>
          <w:tcPr>
            <w:tcW w:w="1180" w:type="dxa"/>
            <w:vAlign w:val="bottom"/>
            <w:gridSpan w:val="3"/>
          </w:tcPr>
          <w:p>
            <w:pPr>
              <w:spacing w:after="0"/>
              <w:rPr>
                <w:sz w:val="20"/>
                <w:szCs w:val="20"/>
                <w:color w:val="auto"/>
              </w:rPr>
            </w:pPr>
            <w:r>
              <w:rPr>
                <w:rFonts w:ascii="Arial" w:cs="Arial" w:eastAsia="Arial" w:hAnsi="Arial"/>
                <w:sz w:val="7"/>
                <w:szCs w:val="7"/>
                <w:color w:val="auto"/>
              </w:rPr>
              <w:t>3 Columbus Circle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Columbus Circle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48.9</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741,500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500,000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20.1</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Aug-11</w:t>
            </w:r>
          </w:p>
        </w:tc>
        <w:tc>
          <w:tcPr>
            <w:tcW w:w="1180" w:type="dxa"/>
            <w:vAlign w:val="bottom"/>
            <w:gridSpan w:val="3"/>
          </w:tcPr>
          <w:p>
            <w:pPr>
              <w:spacing w:after="0"/>
              <w:rPr>
                <w:sz w:val="20"/>
                <w:szCs w:val="20"/>
                <w:color w:val="auto"/>
              </w:rPr>
            </w:pPr>
            <w:r>
              <w:rPr>
                <w:rFonts w:ascii="Arial" w:cs="Arial" w:eastAsia="Arial" w:hAnsi="Arial"/>
                <w:sz w:val="7"/>
                <w:szCs w:val="7"/>
                <w:color w:val="auto"/>
              </w:rPr>
              <w:t>1552-1560 Broadway</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35,897</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136,550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59.7</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Sep-11</w:t>
            </w:r>
          </w:p>
        </w:tc>
        <w:tc>
          <w:tcPr>
            <w:tcW w:w="120" w:type="dxa"/>
            <w:vAlign w:val="bottom"/>
          </w:tcPr>
          <w:p>
            <w:pPr>
              <w:spacing w:after="0"/>
              <w:rPr>
                <w:sz w:val="20"/>
                <w:szCs w:val="20"/>
                <w:color w:val="auto"/>
              </w:rPr>
            </w:pPr>
            <w:r>
              <w:rPr>
                <w:rFonts w:ascii="Arial" w:cs="Arial" w:eastAsia="Arial" w:hAnsi="Arial"/>
                <w:sz w:val="7"/>
                <w:szCs w:val="7"/>
                <w:color w:val="auto"/>
                <w:w w:val="85"/>
              </w:rPr>
              <w:t>747</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33.3</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10,000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66,250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Jan-12</w:t>
            </w:r>
          </w:p>
        </w:tc>
        <w:tc>
          <w:tcPr>
            <w:tcW w:w="1180" w:type="dxa"/>
            <w:vAlign w:val="bottom"/>
            <w:gridSpan w:val="3"/>
          </w:tcPr>
          <w:p>
            <w:pPr>
              <w:spacing w:after="0"/>
              <w:rPr>
                <w:sz w:val="20"/>
                <w:szCs w:val="20"/>
                <w:color w:val="auto"/>
              </w:rPr>
            </w:pPr>
            <w:r>
              <w:rPr>
                <w:rFonts w:ascii="Arial" w:cs="Arial" w:eastAsia="Arial" w:hAnsi="Arial"/>
                <w:sz w:val="7"/>
                <w:szCs w:val="7"/>
                <w:color w:val="auto"/>
              </w:rPr>
              <w:t>DFR Residential and Retail Portfolio</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Residential</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 Upper East Side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80.0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Interests / 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489,882</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193,000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95.1</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Jan-12</w:t>
            </w:r>
          </w:p>
        </w:tc>
        <w:tc>
          <w:tcPr>
            <w:tcW w:w="120" w:type="dxa"/>
            <w:vAlign w:val="bottom"/>
          </w:tcPr>
          <w:p>
            <w:pPr>
              <w:spacing w:after="0"/>
              <w:rPr>
                <w:sz w:val="20"/>
                <w:szCs w:val="20"/>
                <w:color w:val="auto"/>
              </w:rPr>
            </w:pPr>
            <w:r>
              <w:rPr>
                <w:rFonts w:ascii="Arial" w:cs="Arial" w:eastAsia="Arial" w:hAnsi="Arial"/>
                <w:sz w:val="7"/>
                <w:szCs w:val="7"/>
                <w:color w:val="auto"/>
                <w:w w:val="85"/>
              </w:rPr>
              <w:t>724</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65,010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223,000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92.9</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ind w:right="7"/>
              <w:spacing w:after="0"/>
              <w:rPr>
                <w:sz w:val="20"/>
                <w:szCs w:val="20"/>
                <w:color w:val="auto"/>
              </w:rPr>
            </w:pPr>
            <w:r>
              <w:rPr>
                <w:rFonts w:ascii="Arial" w:cs="Arial" w:eastAsia="Arial" w:hAnsi="Arial"/>
                <w:sz w:val="7"/>
                <w:szCs w:val="7"/>
                <w:color w:val="auto"/>
                <w:w w:val="94"/>
              </w:rPr>
              <w:t>Jul-12</w:t>
            </w:r>
          </w:p>
        </w:tc>
        <w:tc>
          <w:tcPr>
            <w:tcW w:w="1180" w:type="dxa"/>
            <w:vAlign w:val="bottom"/>
            <w:gridSpan w:val="3"/>
          </w:tcPr>
          <w:p>
            <w:pPr>
              <w:spacing w:after="0"/>
              <w:rPr>
                <w:sz w:val="20"/>
                <w:szCs w:val="20"/>
                <w:color w:val="auto"/>
              </w:rPr>
            </w:pPr>
            <w:r>
              <w:rPr>
                <w:rFonts w:ascii="Arial" w:cs="Arial" w:eastAsia="Arial" w:hAnsi="Arial"/>
                <w:sz w:val="7"/>
                <w:szCs w:val="7"/>
                <w:color w:val="auto"/>
              </w:rPr>
              <w:t>West Coast Office Portfolio</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West Coast</w:t>
            </w: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jc w:val="center"/>
              <w:spacing w:after="0"/>
              <w:rPr>
                <w:sz w:val="20"/>
                <w:szCs w:val="20"/>
                <w:color w:val="auto"/>
              </w:rPr>
            </w:pPr>
            <w:r>
              <w:rPr>
                <w:rFonts w:ascii="Arial" w:cs="Arial" w:eastAsia="Arial" w:hAnsi="Arial"/>
                <w:sz w:val="7"/>
                <w:szCs w:val="7"/>
                <w:color w:val="auto"/>
                <w:w w:val="87"/>
              </w:rPr>
              <w:t>27.6</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4,473,603</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880,104</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76.3</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Aug-12</w:t>
            </w:r>
          </w:p>
        </w:tc>
        <w:tc>
          <w:tcPr>
            <w:tcW w:w="1180" w:type="dxa"/>
            <w:vAlign w:val="bottom"/>
            <w:gridSpan w:val="3"/>
          </w:tcPr>
          <w:p>
            <w:pPr>
              <w:spacing w:after="0"/>
              <w:rPr>
                <w:sz w:val="20"/>
                <w:szCs w:val="20"/>
                <w:color w:val="auto"/>
              </w:rPr>
            </w:pPr>
            <w:r>
              <w:rPr>
                <w:rFonts w:ascii="Arial" w:cs="Arial" w:eastAsia="Arial" w:hAnsi="Arial"/>
                <w:sz w:val="7"/>
                <w:szCs w:val="7"/>
                <w:color w:val="auto"/>
              </w:rPr>
              <w:t>33 Beekman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Downtown</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45.9</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163,500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31,160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Sep-12</w:t>
            </w:r>
          </w:p>
        </w:tc>
        <w:tc>
          <w:tcPr>
            <w:tcW w:w="120" w:type="dxa"/>
            <w:vAlign w:val="bottom"/>
          </w:tcPr>
          <w:p>
            <w:pPr>
              <w:spacing w:after="0"/>
              <w:rPr>
                <w:sz w:val="20"/>
                <w:szCs w:val="20"/>
                <w:color w:val="auto"/>
              </w:rPr>
            </w:pPr>
            <w:r>
              <w:rPr>
                <w:rFonts w:ascii="Arial" w:cs="Arial" w:eastAsia="Arial" w:hAnsi="Arial"/>
                <w:sz w:val="7"/>
                <w:szCs w:val="7"/>
                <w:color w:val="auto"/>
                <w:w w:val="85"/>
              </w:rPr>
              <w:t>635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Sixth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104,000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83,000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Oct-12</w:t>
            </w:r>
          </w:p>
        </w:tc>
        <w:tc>
          <w:tcPr>
            <w:tcW w:w="1180" w:type="dxa"/>
            <w:vAlign w:val="bottom"/>
            <w:gridSpan w:val="3"/>
          </w:tcPr>
          <w:p>
            <w:pPr>
              <w:spacing w:after="0"/>
              <w:rPr>
                <w:sz w:val="20"/>
                <w:szCs w:val="20"/>
                <w:color w:val="auto"/>
              </w:rPr>
            </w:pPr>
            <w:r>
              <w:rPr>
                <w:rFonts w:ascii="Arial" w:cs="Arial" w:eastAsia="Arial" w:hAnsi="Arial"/>
                <w:sz w:val="7"/>
                <w:szCs w:val="7"/>
                <w:color w:val="auto"/>
              </w:rPr>
              <w:t>1080 Amsterdam</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Upper West Side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87.5</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82,250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jc w:val="right"/>
              <w:ind w:right="27"/>
              <w:spacing w:after="0"/>
              <w:rPr>
                <w:sz w:val="20"/>
                <w:szCs w:val="20"/>
                <w:color w:val="auto"/>
              </w:rPr>
            </w:pPr>
            <w:r>
              <w:rPr>
                <w:rFonts w:ascii="Arial" w:cs="Arial" w:eastAsia="Arial" w:hAnsi="Arial"/>
                <w:sz w:val="7"/>
                <w:szCs w:val="7"/>
                <w:color w:val="auto"/>
                <w:w w:val="85"/>
              </w:rPr>
              <w:t>—</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2.2</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Dec-12</w:t>
            </w:r>
          </w:p>
        </w:tc>
        <w:tc>
          <w:tcPr>
            <w:tcW w:w="1180" w:type="dxa"/>
            <w:vAlign w:val="bottom"/>
            <w:gridSpan w:val="3"/>
          </w:tcPr>
          <w:p>
            <w:pPr>
              <w:spacing w:after="0"/>
              <w:rPr>
                <w:sz w:val="20"/>
                <w:szCs w:val="20"/>
                <w:color w:val="auto"/>
              </w:rPr>
            </w:pPr>
            <w:r>
              <w:rPr>
                <w:rFonts w:ascii="Arial" w:cs="Arial" w:eastAsia="Arial" w:hAnsi="Arial"/>
                <w:sz w:val="7"/>
                <w:szCs w:val="7"/>
                <w:color w:val="auto"/>
              </w:rPr>
              <w:t>21 East 66th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32.3</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16,736</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75,000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Dec-12</w:t>
            </w:r>
          </w:p>
        </w:tc>
        <w:tc>
          <w:tcPr>
            <w:tcW w:w="1180" w:type="dxa"/>
            <w:vAlign w:val="bottom"/>
            <w:gridSpan w:val="3"/>
          </w:tcPr>
          <w:p>
            <w:pPr>
              <w:spacing w:after="0"/>
              <w:rPr>
                <w:sz w:val="20"/>
                <w:szCs w:val="20"/>
                <w:color w:val="auto"/>
              </w:rPr>
            </w:pPr>
            <w:r>
              <w:rPr>
                <w:rFonts w:ascii="Arial" w:cs="Arial" w:eastAsia="Arial" w:hAnsi="Arial"/>
                <w:sz w:val="7"/>
                <w:szCs w:val="7"/>
                <w:color w:val="auto"/>
              </w:rPr>
              <w:t>985-987 Third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Upper East Side</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13,678</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18,000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Dec-12</w:t>
            </w:r>
          </w:p>
        </w:tc>
        <w:tc>
          <w:tcPr>
            <w:tcW w:w="1180" w:type="dxa"/>
            <w:vAlign w:val="bottom"/>
            <w:gridSpan w:val="3"/>
          </w:tcPr>
          <w:p>
            <w:pPr>
              <w:spacing w:after="0"/>
              <w:rPr>
                <w:sz w:val="20"/>
                <w:szCs w:val="20"/>
                <w:color w:val="auto"/>
              </w:rPr>
            </w:pPr>
            <w:r>
              <w:rPr>
                <w:rFonts w:ascii="Arial" w:cs="Arial" w:eastAsia="Arial" w:hAnsi="Arial"/>
                <w:sz w:val="7"/>
                <w:szCs w:val="7"/>
                <w:color w:val="auto"/>
              </w:rPr>
              <w:t>131-137 Spring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Soho</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68,342</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122,300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9"/>
              </w:rPr>
              <w:t>Mar-13</w:t>
            </w:r>
          </w:p>
        </w:tc>
        <w:tc>
          <w:tcPr>
            <w:tcW w:w="1180" w:type="dxa"/>
            <w:vAlign w:val="bottom"/>
            <w:gridSpan w:val="3"/>
          </w:tcPr>
          <w:p>
            <w:pPr>
              <w:spacing w:after="0"/>
              <w:rPr>
                <w:sz w:val="20"/>
                <w:szCs w:val="20"/>
                <w:color w:val="auto"/>
              </w:rPr>
            </w:pPr>
            <w:r>
              <w:rPr>
                <w:rFonts w:ascii="Arial" w:cs="Arial" w:eastAsia="Arial" w:hAnsi="Arial"/>
                <w:sz w:val="7"/>
                <w:szCs w:val="7"/>
                <w:color w:val="auto"/>
              </w:rPr>
              <w:t>248-252 Bedford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Residential</w:t>
            </w:r>
          </w:p>
        </w:tc>
        <w:tc>
          <w:tcPr>
            <w:tcW w:w="10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90.0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66,611</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54,900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Nov-13</w:t>
            </w:r>
          </w:p>
        </w:tc>
        <w:tc>
          <w:tcPr>
            <w:tcW w:w="120" w:type="dxa"/>
            <w:vAlign w:val="bottom"/>
          </w:tcPr>
          <w:p>
            <w:pPr>
              <w:spacing w:after="0"/>
              <w:rPr>
                <w:sz w:val="20"/>
                <w:szCs w:val="20"/>
                <w:color w:val="auto"/>
              </w:rPr>
            </w:pPr>
            <w:r>
              <w:rPr>
                <w:rFonts w:ascii="Arial" w:cs="Arial" w:eastAsia="Arial" w:hAnsi="Arial"/>
                <w:sz w:val="7"/>
                <w:szCs w:val="7"/>
                <w:color w:val="auto"/>
                <w:w w:val="85"/>
              </w:rPr>
              <w:t>650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32,324</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jc w:val="right"/>
              <w:ind w:right="27"/>
              <w:spacing w:after="0"/>
              <w:rPr>
                <w:sz w:val="20"/>
                <w:szCs w:val="20"/>
                <w:color w:val="auto"/>
              </w:rPr>
            </w:pPr>
            <w:r>
              <w:rPr>
                <w:rFonts w:ascii="Arial" w:cs="Arial" w:eastAsia="Arial" w:hAnsi="Arial"/>
                <w:sz w:val="7"/>
                <w:szCs w:val="7"/>
                <w:color w:val="auto"/>
                <w:w w:val="85"/>
              </w:rPr>
              <w:t>—</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63.6</w:t>
            </w:r>
          </w:p>
        </w:tc>
        <w:tc>
          <w:tcPr>
            <w:tcW w:w="520" w:type="dxa"/>
            <w:vAlign w:val="bottom"/>
            <w:gridSpan w:val="2"/>
          </w:tcPr>
          <w:p>
            <w:pPr>
              <w:jc w:val="right"/>
              <w:ind w:right="47"/>
              <w:spacing w:after="0"/>
              <w:rPr>
                <w:sz w:val="20"/>
                <w:szCs w:val="20"/>
                <w:color w:val="auto"/>
              </w:rPr>
            </w:pPr>
            <w:r>
              <w:rPr>
                <w:rFonts w:ascii="Arial" w:cs="Arial" w:eastAsia="Arial" w:hAnsi="Arial"/>
                <w:sz w:val="7"/>
                <w:szCs w:val="7"/>
                <w:color w:val="auto"/>
              </w:rPr>
              <w:t>100.0</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Nov-13</w:t>
            </w:r>
          </w:p>
        </w:tc>
        <w:tc>
          <w:tcPr>
            <w:tcW w:w="120" w:type="dxa"/>
            <w:vAlign w:val="bottom"/>
          </w:tcPr>
          <w:p>
            <w:pPr>
              <w:spacing w:after="0"/>
              <w:rPr>
                <w:sz w:val="20"/>
                <w:szCs w:val="20"/>
                <w:color w:val="auto"/>
              </w:rPr>
            </w:pPr>
            <w:r>
              <w:rPr>
                <w:rFonts w:ascii="Arial" w:cs="Arial" w:eastAsia="Arial" w:hAnsi="Arial"/>
                <w:sz w:val="7"/>
                <w:szCs w:val="7"/>
                <w:color w:val="auto"/>
                <w:w w:val="85"/>
              </w:rPr>
              <w:t>315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West 33rd Street - The Olivia</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 / Residential</w:t>
            </w:r>
          </w:p>
        </w:tc>
        <w:tc>
          <w:tcPr>
            <w:tcW w:w="1020" w:type="dxa"/>
            <w:vAlign w:val="bottom"/>
            <w:gridSpan w:val="2"/>
          </w:tcPr>
          <w:p>
            <w:pPr>
              <w:spacing w:after="0"/>
              <w:rPr>
                <w:sz w:val="20"/>
                <w:szCs w:val="20"/>
                <w:color w:val="auto"/>
              </w:rPr>
            </w:pPr>
            <w:r>
              <w:rPr>
                <w:rFonts w:ascii="Arial" w:cs="Arial" w:eastAsia="Arial" w:hAnsi="Arial"/>
                <w:sz w:val="7"/>
                <w:szCs w:val="7"/>
                <w:color w:val="auto"/>
              </w:rPr>
              <w:t>Penn Station</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492,987</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386,775</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96.6</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Nov-13</w:t>
            </w:r>
          </w:p>
        </w:tc>
        <w:tc>
          <w:tcPr>
            <w:tcW w:w="1180" w:type="dxa"/>
            <w:vAlign w:val="bottom"/>
            <w:gridSpan w:val="3"/>
          </w:tcPr>
          <w:p>
            <w:pPr>
              <w:spacing w:after="0"/>
              <w:rPr>
                <w:sz w:val="20"/>
                <w:szCs w:val="20"/>
                <w:color w:val="auto"/>
              </w:rPr>
            </w:pPr>
            <w:r>
              <w:rPr>
                <w:rFonts w:ascii="Arial" w:cs="Arial" w:eastAsia="Arial" w:hAnsi="Arial"/>
                <w:sz w:val="7"/>
                <w:szCs w:val="7"/>
                <w:color w:val="auto"/>
              </w:rPr>
              <w:t>562, 570 &amp; 574 Fifth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66,962</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146,222</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74.6</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ind w:right="7"/>
              <w:spacing w:after="0"/>
              <w:rPr>
                <w:sz w:val="20"/>
                <w:szCs w:val="20"/>
                <w:color w:val="auto"/>
              </w:rPr>
            </w:pPr>
            <w:r>
              <w:rPr>
                <w:rFonts w:ascii="Arial" w:cs="Arial" w:eastAsia="Arial" w:hAnsi="Arial"/>
                <w:sz w:val="7"/>
                <w:szCs w:val="7"/>
                <w:color w:val="auto"/>
                <w:w w:val="94"/>
              </w:rPr>
              <w:t>Jul-14</w:t>
            </w:r>
          </w:p>
        </w:tc>
        <w:tc>
          <w:tcPr>
            <w:tcW w:w="120" w:type="dxa"/>
            <w:vAlign w:val="bottom"/>
          </w:tcPr>
          <w:p>
            <w:pPr>
              <w:spacing w:after="0"/>
              <w:rPr>
                <w:sz w:val="20"/>
                <w:szCs w:val="20"/>
                <w:color w:val="auto"/>
              </w:rPr>
            </w:pPr>
            <w:r>
              <w:rPr>
                <w:rFonts w:ascii="Arial" w:cs="Arial" w:eastAsia="Arial" w:hAnsi="Arial"/>
                <w:sz w:val="7"/>
                <w:szCs w:val="7"/>
                <w:color w:val="auto"/>
                <w:w w:val="85"/>
              </w:rPr>
              <w:t>719</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Seventh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75.0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41,149</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ind w:right="7"/>
              <w:spacing w:after="0"/>
              <w:rPr>
                <w:sz w:val="20"/>
                <w:szCs w:val="20"/>
                <w:color w:val="auto"/>
              </w:rPr>
            </w:pPr>
            <w:r>
              <w:rPr>
                <w:rFonts w:ascii="Arial" w:cs="Arial" w:eastAsia="Arial" w:hAnsi="Arial"/>
                <w:sz w:val="7"/>
                <w:szCs w:val="7"/>
                <w:color w:val="auto"/>
                <w:w w:val="94"/>
              </w:rPr>
              <w:t>Jul-14</w:t>
            </w:r>
          </w:p>
        </w:tc>
        <w:tc>
          <w:tcPr>
            <w:tcW w:w="1180" w:type="dxa"/>
            <w:vAlign w:val="bottom"/>
            <w:gridSpan w:val="3"/>
          </w:tcPr>
          <w:p>
            <w:pPr>
              <w:spacing w:after="0"/>
              <w:rPr>
                <w:sz w:val="20"/>
                <w:szCs w:val="20"/>
                <w:color w:val="auto"/>
              </w:rPr>
            </w:pPr>
            <w:r>
              <w:rPr>
                <w:rFonts w:ascii="Arial" w:cs="Arial" w:eastAsia="Arial" w:hAnsi="Arial"/>
                <w:sz w:val="7"/>
                <w:szCs w:val="7"/>
                <w:color w:val="auto"/>
              </w:rPr>
              <w:t>115 Spring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Soho</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5,218</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52,000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47"/>
              <w:spacing w:after="0"/>
              <w:rPr>
                <w:sz w:val="20"/>
                <w:szCs w:val="20"/>
                <w:color w:val="auto"/>
              </w:rPr>
            </w:pPr>
            <w:r>
              <w:rPr>
                <w:rFonts w:ascii="Arial" w:cs="Arial" w:eastAsia="Arial" w:hAnsi="Arial"/>
                <w:sz w:val="7"/>
                <w:szCs w:val="7"/>
                <w:color w:val="auto"/>
              </w:rPr>
              <w:t>100.0</w:t>
            </w:r>
          </w:p>
        </w:tc>
      </w:tr>
      <w:tr>
        <w:trPr>
          <w:trHeight w:val="108"/>
        </w:trPr>
        <w:tc>
          <w:tcPr>
            <w:tcW w:w="780" w:type="dxa"/>
            <w:vAlign w:val="bottom"/>
          </w:tcPr>
          <w:p>
            <w:pPr>
              <w:jc w:val="center"/>
              <w:ind w:right="7"/>
              <w:spacing w:after="0"/>
              <w:rPr>
                <w:sz w:val="20"/>
                <w:szCs w:val="20"/>
                <w:color w:val="auto"/>
              </w:rPr>
            </w:pPr>
            <w:r>
              <w:rPr>
                <w:rFonts w:ascii="Arial" w:cs="Arial" w:eastAsia="Arial" w:hAnsi="Arial"/>
                <w:sz w:val="7"/>
                <w:szCs w:val="7"/>
                <w:color w:val="auto"/>
                <w:w w:val="94"/>
              </w:rPr>
              <w:t>Jul-14</w:t>
            </w:r>
          </w:p>
        </w:tc>
        <w:tc>
          <w:tcPr>
            <w:tcW w:w="1180" w:type="dxa"/>
            <w:vAlign w:val="bottom"/>
            <w:gridSpan w:val="3"/>
          </w:tcPr>
          <w:p>
            <w:pPr>
              <w:spacing w:after="0"/>
              <w:rPr>
                <w:sz w:val="20"/>
                <w:szCs w:val="20"/>
                <w:color w:val="auto"/>
              </w:rPr>
            </w:pPr>
            <w:r>
              <w:rPr>
                <w:rFonts w:ascii="Arial" w:cs="Arial" w:eastAsia="Arial" w:hAnsi="Arial"/>
                <w:sz w:val="7"/>
                <w:szCs w:val="7"/>
                <w:color w:val="auto"/>
              </w:rPr>
              <w:t>752-760 Madison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21,124</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282,415</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Sep-14</w:t>
            </w:r>
          </w:p>
        </w:tc>
        <w:tc>
          <w:tcPr>
            <w:tcW w:w="120" w:type="dxa"/>
            <w:vAlign w:val="bottom"/>
          </w:tcPr>
          <w:p>
            <w:pPr>
              <w:spacing w:after="0"/>
              <w:rPr>
                <w:sz w:val="20"/>
                <w:szCs w:val="20"/>
                <w:color w:val="auto"/>
              </w:rPr>
            </w:pPr>
            <w:r>
              <w:rPr>
                <w:rFonts w:ascii="Arial" w:cs="Arial" w:eastAsia="Arial" w:hAnsi="Arial"/>
                <w:sz w:val="7"/>
                <w:szCs w:val="7"/>
                <w:color w:val="auto"/>
                <w:w w:val="85"/>
              </w:rPr>
              <w:t>121</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Soho</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50.0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7,131</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27,400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Sep-14</w:t>
            </w:r>
          </w:p>
        </w:tc>
        <w:tc>
          <w:tcPr>
            <w:tcW w:w="120" w:type="dxa"/>
            <w:vAlign w:val="bottom"/>
          </w:tcPr>
          <w:p>
            <w:pPr>
              <w:spacing w:after="0"/>
              <w:rPr>
                <w:sz w:val="20"/>
                <w:szCs w:val="20"/>
                <w:color w:val="auto"/>
              </w:rPr>
            </w:pPr>
            <w:r>
              <w:rPr>
                <w:rFonts w:ascii="Arial" w:cs="Arial" w:eastAsia="Arial" w:hAnsi="Arial"/>
                <w:sz w:val="7"/>
                <w:szCs w:val="7"/>
                <w:color w:val="auto"/>
                <w:w w:val="85"/>
              </w:rPr>
              <w:t>635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Land</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176,530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145,000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Oct-14</w:t>
            </w:r>
          </w:p>
        </w:tc>
        <w:tc>
          <w:tcPr>
            <w:tcW w:w="120" w:type="dxa"/>
            <w:vAlign w:val="bottom"/>
          </w:tcPr>
          <w:p>
            <w:pPr>
              <w:spacing w:after="0"/>
              <w:rPr>
                <w:sz w:val="20"/>
                <w:szCs w:val="20"/>
                <w:color w:val="auto"/>
              </w:rPr>
            </w:pPr>
            <w:r>
              <w:rPr>
                <w:rFonts w:ascii="Arial" w:cs="Arial" w:eastAsia="Arial" w:hAnsi="Arial"/>
                <w:sz w:val="7"/>
                <w:szCs w:val="7"/>
                <w:color w:val="auto"/>
                <w:w w:val="85"/>
              </w:rPr>
              <w:t>102</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Soho</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9,200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32,250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Oct-14</w:t>
            </w:r>
          </w:p>
        </w:tc>
        <w:tc>
          <w:tcPr>
            <w:tcW w:w="1180" w:type="dxa"/>
            <w:vAlign w:val="bottom"/>
            <w:gridSpan w:val="3"/>
          </w:tcPr>
          <w:p>
            <w:pPr>
              <w:spacing w:after="0"/>
              <w:rPr>
                <w:sz w:val="20"/>
                <w:szCs w:val="20"/>
                <w:color w:val="auto"/>
              </w:rPr>
            </w:pPr>
            <w:r>
              <w:rPr>
                <w:rFonts w:ascii="Arial" w:cs="Arial" w:eastAsia="Arial" w:hAnsi="Arial"/>
                <w:sz w:val="7"/>
                <w:szCs w:val="7"/>
                <w:color w:val="auto"/>
              </w:rPr>
              <w:t>175-225 Third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95.0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80" w:type="dxa"/>
            <w:vAlign w:val="bottom"/>
          </w:tcPr>
          <w:p>
            <w:pPr>
              <w:spacing w:after="0"/>
              <w:rPr>
                <w:sz w:val="9"/>
                <w:szCs w:val="9"/>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72,500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Nov-14</w:t>
            </w:r>
          </w:p>
        </w:tc>
        <w:tc>
          <w:tcPr>
            <w:tcW w:w="1180" w:type="dxa"/>
            <w:vAlign w:val="bottom"/>
            <w:gridSpan w:val="3"/>
          </w:tcPr>
          <w:p>
            <w:pPr>
              <w:spacing w:after="0"/>
              <w:rPr>
                <w:sz w:val="20"/>
                <w:szCs w:val="20"/>
                <w:color w:val="auto"/>
              </w:rPr>
            </w:pPr>
            <w:r>
              <w:rPr>
                <w:rFonts w:ascii="Arial" w:cs="Arial" w:eastAsia="Arial" w:hAnsi="Arial"/>
                <w:sz w:val="7"/>
                <w:szCs w:val="7"/>
                <w:color w:val="auto"/>
              </w:rPr>
              <w:t>55 West 46th Street - Tower 46</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Midtown</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347,000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295,000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9"/>
              </w:rPr>
              <w:t>Feb-15</w:t>
            </w:r>
          </w:p>
        </w:tc>
        <w:tc>
          <w:tcPr>
            <w:tcW w:w="1180" w:type="dxa"/>
            <w:vAlign w:val="bottom"/>
            <w:gridSpan w:val="3"/>
          </w:tcPr>
          <w:p>
            <w:pPr>
              <w:spacing w:after="0"/>
              <w:rPr>
                <w:sz w:val="20"/>
                <w:szCs w:val="20"/>
                <w:color w:val="auto"/>
              </w:rPr>
            </w:pPr>
            <w:r>
              <w:rPr>
                <w:rFonts w:ascii="Arial" w:cs="Arial" w:eastAsia="Arial" w:hAnsi="Arial"/>
                <w:sz w:val="7"/>
                <w:szCs w:val="7"/>
                <w:color w:val="auto"/>
              </w:rPr>
              <w:t>Stonehenge Portfolio</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Residential</w:t>
            </w:r>
          </w:p>
        </w:tc>
        <w:tc>
          <w:tcPr>
            <w:tcW w:w="1020" w:type="dxa"/>
            <w:vAlign w:val="bottom"/>
            <w:gridSpan w:val="2"/>
          </w:tcPr>
          <w:p>
            <w:pPr>
              <w:spacing w:after="0"/>
              <w:rPr>
                <w:sz w:val="20"/>
                <w:szCs w:val="20"/>
                <w:color w:val="auto"/>
              </w:rPr>
            </w:pPr>
            <w:r>
              <w:rPr>
                <w:rFonts w:ascii="Arial" w:cs="Arial" w:eastAsia="Arial" w:hAnsi="Arial"/>
                <w:sz w:val="7"/>
                <w:szCs w:val="7"/>
                <w:color w:val="auto"/>
              </w:rPr>
              <w:t>Various</w:t>
            </w:r>
          </w:p>
        </w:tc>
        <w:tc>
          <w:tcPr>
            <w:tcW w:w="580" w:type="dxa"/>
            <w:vAlign w:val="bottom"/>
            <w:gridSpan w:val="2"/>
          </w:tcPr>
          <w:p>
            <w:pPr>
              <w:jc w:val="center"/>
              <w:ind w:right="260"/>
              <w:spacing w:after="0"/>
              <w:rPr>
                <w:sz w:val="20"/>
                <w:szCs w:val="20"/>
                <w:color w:val="auto"/>
              </w:rPr>
            </w:pPr>
            <w:r>
              <w:rPr>
                <w:rFonts w:ascii="Arial" w:cs="Arial" w:eastAsia="Arial" w:hAnsi="Arial"/>
                <w:sz w:val="7"/>
                <w:szCs w:val="7"/>
                <w:color w:val="auto"/>
                <w:w w:val="84"/>
              </w:rPr>
              <w:t>Various</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2,589,184</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40,000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96.5</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9"/>
              </w:rPr>
              <w:t>Mar-15</w:t>
            </w:r>
          </w:p>
        </w:tc>
        <w:tc>
          <w:tcPr>
            <w:tcW w:w="1180" w:type="dxa"/>
            <w:vAlign w:val="bottom"/>
            <w:gridSpan w:val="3"/>
          </w:tcPr>
          <w:p>
            <w:pPr>
              <w:spacing w:after="0"/>
              <w:rPr>
                <w:sz w:val="20"/>
                <w:szCs w:val="20"/>
                <w:color w:val="auto"/>
              </w:rPr>
            </w:pPr>
            <w:r>
              <w:rPr>
                <w:rFonts w:ascii="Arial" w:cs="Arial" w:eastAsia="Arial" w:hAnsi="Arial"/>
                <w:sz w:val="7"/>
                <w:szCs w:val="7"/>
                <w:color w:val="auto"/>
              </w:rPr>
              <w:t>1640 Flatbush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6,799</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Jun-15</w:t>
            </w:r>
          </w:p>
        </w:tc>
        <w:tc>
          <w:tcPr>
            <w:tcW w:w="1180" w:type="dxa"/>
            <w:vAlign w:val="bottom"/>
            <w:gridSpan w:val="3"/>
          </w:tcPr>
          <w:p>
            <w:pPr>
              <w:spacing w:after="0"/>
              <w:rPr>
                <w:sz w:val="20"/>
                <w:szCs w:val="20"/>
                <w:color w:val="auto"/>
              </w:rPr>
            </w:pPr>
            <w:r>
              <w:rPr>
                <w:rFonts w:ascii="Arial" w:cs="Arial" w:eastAsia="Arial" w:hAnsi="Arial"/>
                <w:sz w:val="7"/>
                <w:szCs w:val="7"/>
                <w:color w:val="auto"/>
              </w:rPr>
              <w:t>Upper East Side Residential</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Residential</w:t>
            </w:r>
          </w:p>
        </w:tc>
        <w:tc>
          <w:tcPr>
            <w:tcW w:w="1020" w:type="dxa"/>
            <w:vAlign w:val="bottom"/>
            <w:gridSpan w:val="2"/>
          </w:tcPr>
          <w:p>
            <w:pPr>
              <w:spacing w:after="0"/>
              <w:rPr>
                <w:sz w:val="20"/>
                <w:szCs w:val="20"/>
                <w:color w:val="auto"/>
              </w:rPr>
            </w:pPr>
            <w:r>
              <w:rPr>
                <w:rFonts w:ascii="Arial" w:cs="Arial" w:eastAsia="Arial" w:hAnsi="Arial"/>
                <w:sz w:val="7"/>
                <w:szCs w:val="7"/>
                <w:color w:val="auto"/>
              </w:rPr>
              <w:t>Upper East Side Residential</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90.0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27,000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50,074</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96.4</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Aug-15</w:t>
            </w:r>
          </w:p>
        </w:tc>
        <w:tc>
          <w:tcPr>
            <w:tcW w:w="120" w:type="dxa"/>
            <w:vAlign w:val="bottom"/>
          </w:tcPr>
          <w:p>
            <w:pPr>
              <w:spacing w:after="0"/>
              <w:rPr>
                <w:sz w:val="20"/>
                <w:szCs w:val="20"/>
                <w:color w:val="auto"/>
              </w:rPr>
            </w:pPr>
            <w:r>
              <w:rPr>
                <w:rFonts w:ascii="Arial" w:cs="Arial" w:eastAsia="Arial" w:hAnsi="Arial"/>
                <w:sz w:val="7"/>
                <w:szCs w:val="7"/>
                <w:color w:val="auto"/>
                <w:w w:val="85"/>
              </w:rPr>
              <w:t>187</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Broadway &amp; 5-7 Dey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73,600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63,690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90.5</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9"/>
              </w:rPr>
              <w:t>Mar-16</w:t>
            </w:r>
          </w:p>
        </w:tc>
        <w:tc>
          <w:tcPr>
            <w:tcW w:w="120" w:type="dxa"/>
            <w:vAlign w:val="bottom"/>
          </w:tcPr>
          <w:p>
            <w:pPr>
              <w:spacing w:after="0"/>
              <w:rPr>
                <w:sz w:val="20"/>
                <w:szCs w:val="20"/>
                <w:color w:val="auto"/>
              </w:rPr>
            </w:pPr>
            <w:r>
              <w:rPr>
                <w:rFonts w:ascii="Arial" w:cs="Arial" w:eastAsia="Arial" w:hAnsi="Arial"/>
                <w:sz w:val="7"/>
                <w:szCs w:val="7"/>
                <w:color w:val="auto"/>
                <w:w w:val="85"/>
              </w:rPr>
              <w:t>183</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Broadway</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9,100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28,500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58.3</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Apr-16</w:t>
            </w:r>
          </w:p>
        </w:tc>
        <w:tc>
          <w:tcPr>
            <w:tcW w:w="120" w:type="dxa"/>
            <w:vAlign w:val="bottom"/>
          </w:tcPr>
          <w:p>
            <w:pPr>
              <w:spacing w:after="0"/>
              <w:rPr>
                <w:sz w:val="20"/>
                <w:szCs w:val="20"/>
                <w:color w:val="auto"/>
              </w:rPr>
            </w:pPr>
            <w:r>
              <w:rPr>
                <w:rFonts w:ascii="Arial" w:cs="Arial" w:eastAsia="Arial" w:hAnsi="Arial"/>
                <w:sz w:val="7"/>
                <w:szCs w:val="7"/>
                <w:color w:val="auto"/>
                <w:w w:val="85"/>
              </w:rPr>
              <w:t>605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West 42nd Street - Sky</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Residential</w:t>
            </w:r>
          </w:p>
        </w:tc>
        <w:tc>
          <w:tcPr>
            <w:tcW w:w="1020" w:type="dxa"/>
            <w:vAlign w:val="bottom"/>
            <w:gridSpan w:val="2"/>
          </w:tcPr>
          <w:p>
            <w:pPr>
              <w:spacing w:after="0"/>
              <w:rPr>
                <w:sz w:val="20"/>
                <w:szCs w:val="20"/>
                <w:color w:val="auto"/>
              </w:rPr>
            </w:pPr>
            <w:r>
              <w:rPr>
                <w:rFonts w:ascii="Arial" w:cs="Arial" w:eastAsia="Arial" w:hAnsi="Arial"/>
                <w:sz w:val="7"/>
                <w:szCs w:val="7"/>
                <w:color w:val="auto"/>
              </w:rPr>
              <w:t>Midtown West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20.0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927,358</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759,046</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ind w:right="7"/>
              <w:spacing w:after="0"/>
              <w:rPr>
                <w:sz w:val="20"/>
                <w:szCs w:val="20"/>
                <w:color w:val="auto"/>
              </w:rPr>
            </w:pPr>
            <w:r>
              <w:rPr>
                <w:rFonts w:ascii="Arial" w:cs="Arial" w:eastAsia="Arial" w:hAnsi="Arial"/>
                <w:sz w:val="7"/>
                <w:szCs w:val="7"/>
                <w:color w:val="auto"/>
                <w:w w:val="94"/>
              </w:rPr>
              <w:t>Jul-18</w:t>
            </w:r>
          </w:p>
        </w:tc>
        <w:tc>
          <w:tcPr>
            <w:tcW w:w="1180" w:type="dxa"/>
            <w:vAlign w:val="bottom"/>
            <w:gridSpan w:val="3"/>
          </w:tcPr>
          <w:p>
            <w:pPr>
              <w:spacing w:after="0"/>
              <w:rPr>
                <w:sz w:val="20"/>
                <w:szCs w:val="20"/>
                <w:color w:val="auto"/>
              </w:rPr>
            </w:pPr>
            <w:r>
              <w:rPr>
                <w:rFonts w:ascii="Arial" w:cs="Arial" w:eastAsia="Arial" w:hAnsi="Arial"/>
                <w:sz w:val="7"/>
                <w:szCs w:val="7"/>
                <w:color w:val="auto"/>
              </w:rPr>
              <w:t>1231 Third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Residential</w:t>
            </w:r>
          </w:p>
        </w:tc>
        <w:tc>
          <w:tcPr>
            <w:tcW w:w="1020" w:type="dxa"/>
            <w:vAlign w:val="bottom"/>
            <w:gridSpan w:val="2"/>
          </w:tcPr>
          <w:p>
            <w:pPr>
              <w:spacing w:after="0"/>
              <w:rPr>
                <w:sz w:val="20"/>
                <w:szCs w:val="20"/>
                <w:color w:val="auto"/>
              </w:rPr>
            </w:pPr>
            <w:r>
              <w:rPr>
                <w:rFonts w:ascii="Arial" w:cs="Arial" w:eastAsia="Arial" w:hAnsi="Arial"/>
                <w:sz w:val="7"/>
                <w:szCs w:val="7"/>
                <w:color w:val="auto"/>
              </w:rPr>
              <w:t>Upper East Side</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38,992</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55,355</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Oct-18</w:t>
            </w:r>
          </w:p>
        </w:tc>
        <w:tc>
          <w:tcPr>
            <w:tcW w:w="120" w:type="dxa"/>
            <w:vAlign w:val="bottom"/>
          </w:tcPr>
          <w:p>
            <w:pPr>
              <w:spacing w:after="0"/>
              <w:rPr>
                <w:sz w:val="20"/>
                <w:szCs w:val="20"/>
                <w:color w:val="auto"/>
              </w:rPr>
            </w:pPr>
            <w:r>
              <w:rPr>
                <w:rFonts w:ascii="Arial" w:cs="Arial" w:eastAsia="Arial" w:hAnsi="Arial"/>
                <w:sz w:val="7"/>
                <w:szCs w:val="7"/>
                <w:color w:val="auto"/>
                <w:w w:val="85"/>
              </w:rPr>
              <w:t>133</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Soho</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6,425</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30,999</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Dec-18</w:t>
            </w:r>
          </w:p>
        </w:tc>
        <w:tc>
          <w:tcPr>
            <w:tcW w:w="120" w:type="dxa"/>
            <w:vAlign w:val="bottom"/>
          </w:tcPr>
          <w:p>
            <w:pPr>
              <w:spacing w:after="0"/>
              <w:rPr>
                <w:sz w:val="20"/>
                <w:szCs w:val="20"/>
                <w:color w:val="auto"/>
              </w:rPr>
            </w:pPr>
            <w:r>
              <w:rPr>
                <w:rFonts w:ascii="Arial" w:cs="Arial" w:eastAsia="Arial" w:hAnsi="Arial"/>
                <w:sz w:val="7"/>
                <w:szCs w:val="7"/>
                <w:color w:val="auto"/>
                <w:w w:val="85"/>
              </w:rPr>
              <w:t>712</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6,600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57,996</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Apr-19</w:t>
            </w:r>
          </w:p>
        </w:tc>
        <w:tc>
          <w:tcPr>
            <w:tcW w:w="120" w:type="dxa"/>
            <w:vAlign w:val="bottom"/>
          </w:tcPr>
          <w:p>
            <w:pPr>
              <w:spacing w:after="0"/>
              <w:rPr>
                <w:sz w:val="20"/>
                <w:szCs w:val="20"/>
                <w:color w:val="auto"/>
              </w:rPr>
            </w:pPr>
            <w:r>
              <w:rPr>
                <w:rFonts w:ascii="Arial" w:cs="Arial" w:eastAsia="Arial" w:hAnsi="Arial"/>
                <w:sz w:val="7"/>
                <w:szCs w:val="7"/>
                <w:color w:val="auto"/>
                <w:w w:val="85"/>
              </w:rPr>
              <w:t>106</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Spring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Soho</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5,928</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80,150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ind w:right="7"/>
              <w:spacing w:after="0"/>
              <w:rPr>
                <w:sz w:val="20"/>
                <w:szCs w:val="20"/>
                <w:color w:val="auto"/>
              </w:rPr>
            </w:pPr>
            <w:r>
              <w:rPr>
                <w:rFonts w:ascii="Arial" w:cs="Arial" w:eastAsia="Arial" w:hAnsi="Arial"/>
                <w:sz w:val="7"/>
                <w:szCs w:val="7"/>
                <w:color w:val="auto"/>
                <w:w w:val="94"/>
              </w:rPr>
              <w:t>May-19</w:t>
            </w:r>
          </w:p>
        </w:tc>
        <w:tc>
          <w:tcPr>
            <w:tcW w:w="120" w:type="dxa"/>
            <w:vAlign w:val="bottom"/>
          </w:tcPr>
          <w:p>
            <w:pPr>
              <w:spacing w:after="0"/>
              <w:rPr>
                <w:sz w:val="20"/>
                <w:szCs w:val="20"/>
                <w:color w:val="auto"/>
              </w:rPr>
            </w:pPr>
            <w:r>
              <w:rPr>
                <w:rFonts w:ascii="Arial" w:cs="Arial" w:eastAsia="Arial" w:hAnsi="Arial"/>
                <w:sz w:val="7"/>
                <w:szCs w:val="7"/>
                <w:color w:val="auto"/>
                <w:w w:val="85"/>
              </w:rPr>
              <w:t>410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Tenth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Hudson Yards</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70.9</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638,000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440,000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76.3</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Jan-20</w:t>
            </w:r>
          </w:p>
        </w:tc>
        <w:tc>
          <w:tcPr>
            <w:tcW w:w="120" w:type="dxa"/>
            <w:vAlign w:val="bottom"/>
          </w:tcPr>
          <w:p>
            <w:pPr>
              <w:spacing w:after="0"/>
              <w:rPr>
                <w:sz w:val="20"/>
                <w:szCs w:val="20"/>
                <w:color w:val="auto"/>
              </w:rPr>
            </w:pPr>
            <w:r>
              <w:rPr>
                <w:rFonts w:ascii="Arial" w:cs="Arial" w:eastAsia="Arial" w:hAnsi="Arial"/>
                <w:sz w:val="7"/>
                <w:szCs w:val="7"/>
                <w:color w:val="auto"/>
                <w:w w:val="85"/>
              </w:rPr>
              <w:t>762</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10.0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6,109</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29,250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55.1</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Jan-20</w:t>
            </w:r>
          </w:p>
        </w:tc>
        <w:tc>
          <w:tcPr>
            <w:tcW w:w="120" w:type="dxa"/>
            <w:vAlign w:val="bottom"/>
          </w:tcPr>
          <w:p>
            <w:pPr>
              <w:spacing w:after="0"/>
              <w:rPr>
                <w:sz w:val="20"/>
                <w:szCs w:val="20"/>
                <w:color w:val="auto"/>
              </w:rPr>
            </w:pPr>
            <w:r>
              <w:rPr>
                <w:rFonts w:ascii="Arial" w:cs="Arial" w:eastAsia="Arial" w:hAnsi="Arial"/>
                <w:sz w:val="7"/>
                <w:szCs w:val="7"/>
                <w:color w:val="auto"/>
                <w:w w:val="85"/>
              </w:rPr>
              <w:t>707</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Eleventh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Midtown West</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159,720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90,000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54.3</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Jan-20</w:t>
            </w:r>
          </w:p>
        </w:tc>
        <w:tc>
          <w:tcPr>
            <w:tcW w:w="120" w:type="dxa"/>
            <w:vAlign w:val="bottom"/>
          </w:tcPr>
          <w:p>
            <w:pPr>
              <w:spacing w:after="0"/>
              <w:rPr>
                <w:sz w:val="20"/>
                <w:szCs w:val="20"/>
                <w:color w:val="auto"/>
              </w:rPr>
            </w:pPr>
            <w:r>
              <w:rPr>
                <w:rFonts w:ascii="Arial" w:cs="Arial" w:eastAsia="Arial" w:hAnsi="Arial"/>
                <w:sz w:val="7"/>
                <w:szCs w:val="7"/>
                <w:color w:val="auto"/>
                <w:w w:val="85"/>
              </w:rPr>
              <w:t>126</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Nassau Street</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Lower Manhattan</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98,412</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jc w:val="right"/>
              <w:ind w:right="27"/>
              <w:spacing w:after="0"/>
              <w:rPr>
                <w:sz w:val="20"/>
                <w:szCs w:val="20"/>
                <w:color w:val="auto"/>
              </w:rPr>
            </w:pPr>
            <w:r>
              <w:rPr>
                <w:rFonts w:ascii="Arial" w:cs="Arial" w:eastAsia="Arial" w:hAnsi="Arial"/>
                <w:sz w:val="7"/>
                <w:szCs w:val="7"/>
                <w:color w:val="auto"/>
                <w:w w:val="85"/>
              </w:rPr>
              <w:t>—</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87.3</w:t>
            </w:r>
          </w:p>
        </w:tc>
        <w:tc>
          <w:tcPr>
            <w:tcW w:w="520" w:type="dxa"/>
            <w:vAlign w:val="bottom"/>
            <w:gridSpan w:val="2"/>
          </w:tcPr>
          <w:p>
            <w:pPr>
              <w:jc w:val="right"/>
              <w:ind w:right="47"/>
              <w:spacing w:after="0"/>
              <w:rPr>
                <w:sz w:val="20"/>
                <w:szCs w:val="20"/>
                <w:color w:val="auto"/>
              </w:rPr>
            </w:pPr>
            <w:r>
              <w:rPr>
                <w:rFonts w:ascii="Arial" w:cs="Arial" w:eastAsia="Arial" w:hAnsi="Arial"/>
                <w:sz w:val="7"/>
                <w:szCs w:val="7"/>
                <w:color w:val="auto"/>
              </w:rPr>
              <w:t>0.0</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Oct-20</w:t>
            </w:r>
          </w:p>
        </w:tc>
        <w:tc>
          <w:tcPr>
            <w:tcW w:w="1180" w:type="dxa"/>
            <w:vAlign w:val="bottom"/>
            <w:gridSpan w:val="3"/>
          </w:tcPr>
          <w:p>
            <w:pPr>
              <w:spacing w:after="0"/>
              <w:rPr>
                <w:sz w:val="20"/>
                <w:szCs w:val="20"/>
                <w:color w:val="auto"/>
              </w:rPr>
            </w:pPr>
            <w:r>
              <w:rPr>
                <w:rFonts w:ascii="Arial" w:cs="Arial" w:eastAsia="Arial" w:hAnsi="Arial"/>
                <w:sz w:val="7"/>
                <w:szCs w:val="7"/>
                <w:color w:val="auto"/>
              </w:rPr>
              <w:t>85 Fifth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36.3</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12,946</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59,000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Sep-21</w:t>
            </w:r>
          </w:p>
        </w:tc>
        <w:tc>
          <w:tcPr>
            <w:tcW w:w="1180" w:type="dxa"/>
            <w:vAlign w:val="bottom"/>
            <w:gridSpan w:val="3"/>
          </w:tcPr>
          <w:p>
            <w:pPr>
              <w:spacing w:after="0"/>
              <w:rPr>
                <w:sz w:val="20"/>
                <w:szCs w:val="20"/>
                <w:color w:val="auto"/>
              </w:rPr>
            </w:pPr>
            <w:r>
              <w:rPr>
                <w:rFonts w:ascii="Arial" w:cs="Arial" w:eastAsia="Arial" w:hAnsi="Arial"/>
                <w:sz w:val="7"/>
                <w:szCs w:val="7"/>
                <w:color w:val="auto"/>
              </w:rPr>
              <w:t>1591-1597 Broadway</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Land</w:t>
            </w:r>
          </w:p>
        </w:tc>
        <w:tc>
          <w:tcPr>
            <w:tcW w:w="10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7,684</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121,000</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Sep-21</w:t>
            </w:r>
          </w:p>
        </w:tc>
        <w:tc>
          <w:tcPr>
            <w:tcW w:w="120" w:type="dxa"/>
            <w:vAlign w:val="bottom"/>
          </w:tcPr>
          <w:p>
            <w:pPr>
              <w:spacing w:after="0"/>
              <w:rPr>
                <w:sz w:val="20"/>
                <w:szCs w:val="20"/>
                <w:color w:val="auto"/>
              </w:rPr>
            </w:pPr>
            <w:r>
              <w:rPr>
                <w:rFonts w:ascii="Arial" w:cs="Arial" w:eastAsia="Arial" w:hAnsi="Arial"/>
                <w:sz w:val="7"/>
                <w:szCs w:val="7"/>
                <w:color w:val="auto"/>
                <w:w w:val="85"/>
              </w:rPr>
              <w:t>690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7,848</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72,221</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47"/>
              <w:spacing w:after="0"/>
              <w:rPr>
                <w:sz w:val="20"/>
                <w:szCs w:val="20"/>
                <w:color w:val="auto"/>
              </w:rPr>
            </w:pPr>
            <w:r>
              <w:rPr>
                <w:rFonts w:ascii="Arial" w:cs="Arial" w:eastAsia="Arial" w:hAnsi="Arial"/>
                <w:sz w:val="7"/>
                <w:szCs w:val="7"/>
                <w:color w:val="auto"/>
              </w:rPr>
              <w:t>100.0</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Sep-22</w:t>
            </w:r>
          </w:p>
        </w:tc>
        <w:tc>
          <w:tcPr>
            <w:tcW w:w="1180" w:type="dxa"/>
            <w:vAlign w:val="bottom"/>
            <w:gridSpan w:val="3"/>
          </w:tcPr>
          <w:p>
            <w:pPr>
              <w:spacing w:after="0"/>
              <w:rPr>
                <w:sz w:val="20"/>
                <w:szCs w:val="20"/>
                <w:color w:val="auto"/>
              </w:rPr>
            </w:pPr>
            <w:r>
              <w:rPr>
                <w:rFonts w:ascii="Arial" w:cs="Arial" w:eastAsia="Arial" w:hAnsi="Arial"/>
                <w:sz w:val="7"/>
                <w:szCs w:val="7"/>
                <w:color w:val="auto"/>
              </w:rPr>
              <w:t>5 Times Square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31.6</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1,127,931</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1,096,714</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22.5</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8"/>
              </w:rPr>
              <w:t>Sep-23</w:t>
            </w:r>
          </w:p>
        </w:tc>
        <w:tc>
          <w:tcPr>
            <w:tcW w:w="120" w:type="dxa"/>
            <w:vAlign w:val="bottom"/>
          </w:tcPr>
          <w:p>
            <w:pPr>
              <w:spacing w:after="0"/>
              <w:rPr>
                <w:sz w:val="20"/>
                <w:szCs w:val="20"/>
                <w:color w:val="auto"/>
              </w:rPr>
            </w:pPr>
            <w:r>
              <w:rPr>
                <w:rFonts w:ascii="Arial" w:cs="Arial" w:eastAsia="Arial" w:hAnsi="Arial"/>
                <w:sz w:val="7"/>
                <w:szCs w:val="7"/>
                <w:color w:val="auto"/>
                <w:w w:val="85"/>
              </w:rPr>
              <w:t>625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Land</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90.4</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563,000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620,245</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7"/>
                <w:szCs w:val="7"/>
                <w:color w:val="auto"/>
              </w:rPr>
              <w:t>N/A</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Jan-24</w:t>
            </w:r>
          </w:p>
        </w:tc>
        <w:tc>
          <w:tcPr>
            <w:tcW w:w="1180" w:type="dxa"/>
            <w:vAlign w:val="bottom"/>
            <w:gridSpan w:val="3"/>
          </w:tcPr>
          <w:p>
            <w:pPr>
              <w:spacing w:after="0"/>
              <w:rPr>
                <w:sz w:val="20"/>
                <w:szCs w:val="20"/>
                <w:color w:val="auto"/>
              </w:rPr>
            </w:pPr>
            <w:r>
              <w:rPr>
                <w:rFonts w:ascii="Arial" w:cs="Arial" w:eastAsia="Arial" w:hAnsi="Arial"/>
                <w:sz w:val="7"/>
                <w:szCs w:val="7"/>
                <w:color w:val="auto"/>
              </w:rPr>
              <w:t>2 Herald Square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Herald Square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44.0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369,000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120,000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43.9</w:t>
            </w:r>
          </w:p>
        </w:tc>
        <w:tc>
          <w:tcPr>
            <w:tcW w:w="520" w:type="dxa"/>
            <w:vAlign w:val="bottom"/>
            <w:gridSpan w:val="2"/>
          </w:tcPr>
          <w:p>
            <w:pPr>
              <w:jc w:val="right"/>
              <w:ind w:right="47"/>
              <w:spacing w:after="0"/>
              <w:rPr>
                <w:sz w:val="20"/>
                <w:szCs w:val="20"/>
                <w:color w:val="auto"/>
              </w:rPr>
            </w:pPr>
            <w:r>
              <w:rPr>
                <w:rFonts w:ascii="Arial" w:cs="Arial" w:eastAsia="Arial" w:hAnsi="Arial"/>
                <w:sz w:val="7"/>
                <w:szCs w:val="7"/>
                <w:color w:val="auto"/>
              </w:rPr>
              <w:t>34.3</w:t>
            </w: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89"/>
              </w:rPr>
              <w:t>Mar-24</w:t>
            </w:r>
          </w:p>
        </w:tc>
        <w:tc>
          <w:tcPr>
            <w:tcW w:w="120" w:type="dxa"/>
            <w:vAlign w:val="bottom"/>
          </w:tcPr>
          <w:p>
            <w:pPr>
              <w:spacing w:after="0"/>
              <w:rPr>
                <w:sz w:val="20"/>
                <w:szCs w:val="20"/>
                <w:color w:val="auto"/>
              </w:rPr>
            </w:pPr>
            <w:r>
              <w:rPr>
                <w:rFonts w:ascii="Arial" w:cs="Arial" w:eastAsia="Arial" w:hAnsi="Arial"/>
                <w:sz w:val="7"/>
                <w:szCs w:val="7"/>
                <w:color w:val="auto"/>
                <w:w w:val="85"/>
              </w:rPr>
              <w:t>719</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Seventh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300" w:type="dxa"/>
            <w:vAlign w:val="bottom"/>
          </w:tcPr>
          <w:p>
            <w:pPr>
              <w:jc w:val="center"/>
              <w:spacing w:after="0"/>
              <w:rPr>
                <w:sz w:val="20"/>
                <w:szCs w:val="20"/>
                <w:color w:val="auto"/>
              </w:rPr>
            </w:pPr>
            <w:r>
              <w:rPr>
                <w:rFonts w:ascii="Arial" w:cs="Arial" w:eastAsia="Arial" w:hAnsi="Arial"/>
                <w:sz w:val="7"/>
                <w:szCs w:val="7"/>
                <w:color w:val="auto"/>
                <w:w w:val="87"/>
              </w:rPr>
              <w:t>25.0</w:t>
            </w:r>
          </w:p>
        </w:tc>
        <w:tc>
          <w:tcPr>
            <w:tcW w:w="28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10,040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7"/>
                <w:szCs w:val="7"/>
                <w:color w:val="auto"/>
              </w:rPr>
              <w:t>76,500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0.0</w:t>
            </w:r>
          </w:p>
        </w:tc>
        <w:tc>
          <w:tcPr>
            <w:tcW w:w="280" w:type="dxa"/>
            <w:vAlign w:val="bottom"/>
          </w:tcPr>
          <w:p>
            <w:pPr>
              <w:spacing w:after="0"/>
              <w:rPr>
                <w:sz w:val="9"/>
                <w:szCs w:val="9"/>
                <w:color w:val="auto"/>
              </w:rPr>
            </w:pPr>
          </w:p>
        </w:tc>
        <w:tc>
          <w:tcPr>
            <w:tcW w:w="240" w:type="dxa"/>
            <w:vAlign w:val="bottom"/>
          </w:tcPr>
          <w:p>
            <w:pPr>
              <w:jc w:val="right"/>
              <w:ind w:right="47"/>
              <w:spacing w:after="0"/>
              <w:rPr>
                <w:sz w:val="20"/>
                <w:szCs w:val="20"/>
                <w:color w:val="auto"/>
              </w:rPr>
            </w:pPr>
            <w:r>
              <w:rPr>
                <w:rFonts w:ascii="Arial" w:cs="Arial" w:eastAsia="Arial" w:hAnsi="Arial"/>
                <w:sz w:val="7"/>
                <w:szCs w:val="7"/>
                <w:color w:val="auto"/>
              </w:rPr>
              <w:t>N/A</w:t>
            </w:r>
          </w:p>
        </w:tc>
      </w:tr>
      <w:tr>
        <w:trPr>
          <w:trHeight w:val="118"/>
        </w:trPr>
        <w:tc>
          <w:tcPr>
            <w:tcW w:w="780" w:type="dxa"/>
            <w:vAlign w:val="bottom"/>
          </w:tcPr>
          <w:p>
            <w:pPr>
              <w:jc w:val="center"/>
              <w:spacing w:after="0"/>
              <w:rPr>
                <w:sz w:val="20"/>
                <w:szCs w:val="20"/>
                <w:color w:val="auto"/>
              </w:rPr>
            </w:pPr>
            <w:r>
              <w:rPr>
                <w:rFonts w:ascii="Arial" w:cs="Arial" w:eastAsia="Arial" w:hAnsi="Arial"/>
                <w:sz w:val="7"/>
                <w:szCs w:val="7"/>
                <w:color w:val="auto"/>
                <w:w w:val="94"/>
              </w:rPr>
              <w:t>Oct-25</w:t>
            </w:r>
          </w:p>
        </w:tc>
        <w:tc>
          <w:tcPr>
            <w:tcW w:w="120" w:type="dxa"/>
            <w:vAlign w:val="bottom"/>
          </w:tcPr>
          <w:p>
            <w:pPr>
              <w:spacing w:after="0"/>
              <w:rPr>
                <w:sz w:val="20"/>
                <w:szCs w:val="20"/>
                <w:color w:val="auto"/>
              </w:rPr>
            </w:pPr>
            <w:r>
              <w:rPr>
                <w:rFonts w:ascii="Arial" w:cs="Arial" w:eastAsia="Arial" w:hAnsi="Arial"/>
                <w:sz w:val="7"/>
                <w:szCs w:val="7"/>
                <w:color w:val="auto"/>
                <w:w w:val="85"/>
              </w:rPr>
              <w:t>346</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Development</w:t>
            </w:r>
          </w:p>
        </w:tc>
        <w:tc>
          <w:tcPr>
            <w:tcW w:w="102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10"/>
                <w:szCs w:val="10"/>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7"/>
                <w:szCs w:val="7"/>
                <w:color w:val="auto"/>
              </w:rPr>
              <w:t>275,138</w:t>
            </w: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7"/>
                <w:szCs w:val="7"/>
                <w:color w:val="auto"/>
              </w:rPr>
              <w:t>160,000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40.4</w:t>
            </w:r>
          </w:p>
        </w:tc>
        <w:tc>
          <w:tcPr>
            <w:tcW w:w="520" w:type="dxa"/>
            <w:vAlign w:val="bottom"/>
            <w:gridSpan w:val="2"/>
          </w:tcPr>
          <w:p>
            <w:pPr>
              <w:jc w:val="right"/>
              <w:ind w:right="47"/>
              <w:spacing w:after="0"/>
              <w:rPr>
                <w:sz w:val="20"/>
                <w:szCs w:val="20"/>
                <w:color w:val="auto"/>
              </w:rPr>
            </w:pPr>
            <w:r>
              <w:rPr>
                <w:rFonts w:ascii="Arial" w:cs="Arial" w:eastAsia="Arial" w:hAnsi="Arial"/>
                <w:sz w:val="7"/>
                <w:szCs w:val="7"/>
                <w:color w:val="auto"/>
              </w:rPr>
              <w:t>41.1</w:t>
            </w:r>
          </w:p>
        </w:tc>
      </w:tr>
      <w:tr>
        <w:trPr>
          <w:trHeight w:val="92"/>
        </w:trPr>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7"/>
                <w:szCs w:val="7"/>
                <w:b w:val="1"/>
                <w:bCs w:val="1"/>
                <w:color w:val="auto"/>
              </w:rPr>
              <w:t>16,091,062</w:t>
            </w:r>
          </w:p>
        </w:tc>
        <w:tc>
          <w:tcPr>
            <w:tcW w:w="260" w:type="dxa"/>
            <w:vAlign w:val="bottom"/>
          </w:tcPr>
          <w:p>
            <w:pPr>
              <w:spacing w:after="0"/>
              <w:rPr>
                <w:sz w:val="8"/>
                <w:szCs w:val="8"/>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580" w:type="dxa"/>
            <w:vAlign w:val="bottom"/>
            <w:gridSpan w:val="2"/>
          </w:tcPr>
          <w:p>
            <w:pPr>
              <w:jc w:val="right"/>
              <w:ind w:right="27"/>
              <w:spacing w:after="0"/>
              <w:rPr>
                <w:sz w:val="20"/>
                <w:szCs w:val="20"/>
                <w:color w:val="auto"/>
              </w:rPr>
            </w:pPr>
            <w:r>
              <w:rPr>
                <w:rFonts w:ascii="Arial" w:cs="Arial" w:eastAsia="Arial" w:hAnsi="Arial"/>
                <w:sz w:val="7"/>
                <w:szCs w:val="7"/>
                <w:b w:val="1"/>
                <w:bCs w:val="1"/>
                <w:color w:val="auto"/>
              </w:rPr>
              <w:t>9,635,514</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116"/>
        </w:trPr>
        <w:tc>
          <w:tcPr>
            <w:tcW w:w="780" w:type="dxa"/>
            <w:vAlign w:val="bottom"/>
            <w:tcBorders>
              <w:bottom w:val="single" w:sz="8" w:color="auto"/>
            </w:tcBorders>
          </w:tcPr>
          <w:p>
            <w:pPr>
              <w:spacing w:after="0"/>
              <w:rPr>
                <w:sz w:val="20"/>
                <w:szCs w:val="20"/>
                <w:color w:val="auto"/>
              </w:rPr>
            </w:pPr>
            <w:r>
              <w:rPr>
                <w:rFonts w:ascii="Arial" w:cs="Arial" w:eastAsia="Arial" w:hAnsi="Arial"/>
                <w:sz w:val="7"/>
                <w:szCs w:val="7"/>
                <w:b w:val="1"/>
                <w:bCs w:val="1"/>
                <w:color w:val="auto"/>
              </w:rPr>
              <w:t>2026 Acquisitions</w:t>
            </w: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r>
        <w:trPr>
          <w:trHeight w:val="96"/>
        </w:trPr>
        <w:tc>
          <w:tcPr>
            <w:tcW w:w="780" w:type="dxa"/>
            <w:vAlign w:val="bottom"/>
          </w:tcPr>
          <w:p>
            <w:pPr>
              <w:jc w:val="center"/>
              <w:spacing w:after="0"/>
              <w:rPr>
                <w:sz w:val="20"/>
                <w:szCs w:val="20"/>
                <w:color w:val="auto"/>
              </w:rPr>
            </w:pPr>
            <w:r>
              <w:rPr>
                <w:rFonts w:ascii="Arial" w:cs="Arial" w:eastAsia="Arial" w:hAnsi="Arial"/>
                <w:sz w:val="7"/>
                <w:szCs w:val="7"/>
                <w:color w:val="auto"/>
                <w:w w:val="89"/>
              </w:rPr>
              <w:t>Mar-26</w:t>
            </w:r>
          </w:p>
        </w:tc>
        <w:tc>
          <w:tcPr>
            <w:tcW w:w="120" w:type="dxa"/>
            <w:vAlign w:val="bottom"/>
          </w:tcPr>
          <w:p>
            <w:pPr>
              <w:spacing w:after="0"/>
              <w:rPr>
                <w:sz w:val="20"/>
                <w:szCs w:val="20"/>
                <w:color w:val="auto"/>
              </w:rPr>
            </w:pPr>
            <w:r>
              <w:rPr>
                <w:rFonts w:ascii="Arial" w:cs="Arial" w:eastAsia="Arial" w:hAnsi="Arial"/>
                <w:sz w:val="7"/>
                <w:szCs w:val="7"/>
                <w:color w:val="auto"/>
                <w:w w:val="85"/>
              </w:rPr>
              <w:t>610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800" w:type="dxa"/>
            <w:vAlign w:val="bottom"/>
            <w:gridSpan w:val="3"/>
          </w:tcPr>
          <w:p>
            <w:pPr>
              <w:ind w:left="140"/>
              <w:spacing w:after="0"/>
              <w:rPr>
                <w:sz w:val="20"/>
                <w:szCs w:val="20"/>
                <w:color w:val="auto"/>
              </w:rPr>
            </w:pPr>
            <w:r>
              <w:rPr>
                <w:rFonts w:ascii="Arial" w:cs="Arial" w:eastAsia="Arial" w:hAnsi="Arial"/>
                <w:sz w:val="7"/>
                <w:szCs w:val="7"/>
                <w:color w:val="auto"/>
              </w:rPr>
              <w:t>Retail</w:t>
            </w:r>
          </w:p>
        </w:tc>
        <w:tc>
          <w:tcPr>
            <w:tcW w:w="10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300" w:type="dxa"/>
            <w:vAlign w:val="bottom"/>
          </w:tcPr>
          <w:p>
            <w:pPr>
              <w:jc w:val="center"/>
              <w:spacing w:after="0"/>
              <w:rPr>
                <w:sz w:val="20"/>
                <w:szCs w:val="20"/>
                <w:color w:val="auto"/>
              </w:rPr>
            </w:pPr>
            <w:r>
              <w:rPr>
                <w:rFonts w:ascii="Arial" w:cs="Arial" w:eastAsia="Arial" w:hAnsi="Arial"/>
                <w:sz w:val="7"/>
                <w:szCs w:val="7"/>
                <w:color w:val="auto"/>
                <w:w w:val="91"/>
              </w:rPr>
              <w:t>100.0</w:t>
            </w:r>
          </w:p>
        </w:tc>
        <w:tc>
          <w:tcPr>
            <w:tcW w:w="280" w:type="dxa"/>
            <w:vAlign w:val="bottom"/>
          </w:tcPr>
          <w:p>
            <w:pPr>
              <w:spacing w:after="0"/>
              <w:rPr>
                <w:sz w:val="8"/>
                <w:szCs w:val="8"/>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7"/>
                <w:szCs w:val="7"/>
                <w:color w:val="auto"/>
              </w:rPr>
              <w:t>17,765</w:t>
            </w:r>
          </w:p>
        </w:tc>
        <w:tc>
          <w:tcPr>
            <w:tcW w:w="260" w:type="dxa"/>
            <w:vAlign w:val="bottom"/>
          </w:tcPr>
          <w:p>
            <w:pPr>
              <w:spacing w:after="0"/>
              <w:rPr>
                <w:sz w:val="8"/>
                <w:szCs w:val="8"/>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7"/>
                <w:szCs w:val="7"/>
                <w:color w:val="auto"/>
              </w:rPr>
              <w:t>18,500</w:t>
            </w:r>
          </w:p>
        </w:tc>
        <w:tc>
          <w:tcPr>
            <w:tcW w:w="1280" w:type="dxa"/>
            <w:vAlign w:val="bottom"/>
            <w:gridSpan w:val="4"/>
          </w:tcPr>
          <w:p>
            <w:pPr>
              <w:jc w:val="right"/>
              <w:ind w:right="340"/>
              <w:spacing w:after="0"/>
              <w:rPr>
                <w:sz w:val="20"/>
                <w:szCs w:val="20"/>
                <w:color w:val="auto"/>
              </w:rPr>
            </w:pPr>
            <w:r>
              <w:rPr>
                <w:rFonts w:ascii="Arial" w:cs="Arial" w:eastAsia="Arial" w:hAnsi="Arial"/>
                <w:sz w:val="7"/>
                <w:szCs w:val="7"/>
                <w:color w:val="auto"/>
              </w:rPr>
              <w:t>100.0</w:t>
            </w:r>
          </w:p>
        </w:tc>
        <w:tc>
          <w:tcPr>
            <w:tcW w:w="520" w:type="dxa"/>
            <w:vAlign w:val="bottom"/>
            <w:gridSpan w:val="2"/>
          </w:tcPr>
          <w:p>
            <w:pPr>
              <w:jc w:val="right"/>
              <w:ind w:right="47"/>
              <w:spacing w:after="0"/>
              <w:rPr>
                <w:sz w:val="20"/>
                <w:szCs w:val="20"/>
                <w:color w:val="auto"/>
              </w:rPr>
            </w:pPr>
            <w:r>
              <w:rPr>
                <w:rFonts w:ascii="Arial" w:cs="Arial" w:eastAsia="Arial" w:hAnsi="Arial"/>
                <w:sz w:val="7"/>
                <w:szCs w:val="7"/>
                <w:color w:val="auto"/>
              </w:rPr>
              <w:t>100.0</w:t>
            </w:r>
          </w:p>
        </w:tc>
      </w:tr>
      <w:tr>
        <w:trPr>
          <w:trHeight w:val="92"/>
        </w:trPr>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7"/>
                <w:szCs w:val="7"/>
                <w:b w:val="1"/>
                <w:bCs w:val="1"/>
                <w:color w:val="auto"/>
              </w:rPr>
              <w:t>17,765</w:t>
            </w:r>
          </w:p>
        </w:tc>
        <w:tc>
          <w:tcPr>
            <w:tcW w:w="260" w:type="dxa"/>
            <w:vAlign w:val="bottom"/>
          </w:tcPr>
          <w:p>
            <w:pPr>
              <w:spacing w:after="0"/>
              <w:rPr>
                <w:sz w:val="8"/>
                <w:szCs w:val="8"/>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580" w:type="dxa"/>
            <w:vAlign w:val="bottom"/>
            <w:gridSpan w:val="2"/>
          </w:tcPr>
          <w:p>
            <w:pPr>
              <w:jc w:val="right"/>
              <w:ind w:right="27"/>
              <w:spacing w:after="0"/>
              <w:rPr>
                <w:sz w:val="20"/>
                <w:szCs w:val="20"/>
                <w:color w:val="auto"/>
              </w:rPr>
            </w:pPr>
            <w:r>
              <w:rPr>
                <w:rFonts w:ascii="Arial" w:cs="Arial" w:eastAsia="Arial" w:hAnsi="Arial"/>
                <w:sz w:val="7"/>
                <w:szCs w:val="7"/>
                <w:b w:val="1"/>
                <w:bCs w:val="1"/>
                <w:color w:val="auto"/>
              </w:rPr>
              <w:t>18,500</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377"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44</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7" w:right="1419" w:bottom="1440" w:gutter="0" w:footer="0" w:header="0"/>
        </w:sectPr>
      </w:pPr>
    </w:p>
    <w:bookmarkStart w:id="59" w:name="page60"/>
    <w:bookmarkEnd w:id="59"/>
    <w:p>
      <w:pPr>
        <w:ind w:left="20"/>
        <w:spacing w:after="0"/>
        <w:rPr>
          <w:sz w:val="20"/>
          <w:szCs w:val="20"/>
          <w:color w:val="auto"/>
        </w:rPr>
      </w:pPr>
      <w:r>
        <w:rPr>
          <w:rFonts w:ascii="Arial" w:cs="Arial" w:eastAsia="Arial" w:hAnsi="Arial"/>
          <w:sz w:val="17"/>
          <w:szCs w:val="17"/>
          <w:b w:val="1"/>
          <w:bCs w:val="1"/>
          <w:color w:val="auto"/>
        </w:rPr>
        <w:t>SUMMARY OF REAL ESTATE DISPOSITION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-117475</wp:posOffset>
            </wp:positionV>
            <wp:extent cx="576453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-17780</wp:posOffset>
            </wp:positionV>
            <wp:extent cx="1136650" cy="324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ind w:left="20" w:right="3440"/>
        <w:spacing w:after="0" w:line="216" w:lineRule="auto"/>
        <w:rPr>
          <w:sz w:val="20"/>
          <w:szCs w:val="20"/>
          <w:color w:val="auto"/>
        </w:rPr>
      </w:pPr>
      <w:r>
        <w:rPr>
          <w:rFonts w:ascii="Arial" w:cs="Arial" w:eastAsia="Arial" w:hAnsi="Arial"/>
          <w:sz w:val="13"/>
          <w:szCs w:val="13"/>
          <w:b w:val="1"/>
          <w:bCs w:val="1"/>
          <w:color w:val="auto"/>
        </w:rPr>
        <w:t>Retail, Residential, Development / Redevelopment, Land and Alternative Strategy Portfolio 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576453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64530" cy="63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106045</wp:posOffset>
            </wp:positionV>
            <wp:extent cx="576453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64530" cy="635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gridSpan w:val="3"/>
          </w:tcPr>
          <w:p>
            <w:pPr>
              <w:jc w:val="center"/>
              <w:ind w:right="200"/>
              <w:spacing w:after="0"/>
              <w:rPr>
                <w:sz w:val="20"/>
                <w:szCs w:val="20"/>
                <w:color w:val="auto"/>
              </w:rPr>
            </w:pPr>
            <w:r>
              <w:rPr>
                <w:rFonts w:ascii="Arial" w:cs="Arial" w:eastAsia="Arial" w:hAnsi="Arial"/>
                <w:sz w:val="7"/>
                <w:szCs w:val="7"/>
                <w:b w:val="1"/>
                <w:bCs w:val="1"/>
                <w:color w:val="auto"/>
                <w:w w:val="86"/>
              </w:rPr>
              <w:t>Interest</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7"/>
                <w:szCs w:val="7"/>
                <w:b w:val="1"/>
                <w:bCs w:val="1"/>
                <w:color w:val="auto"/>
              </w:rPr>
              <w:t>Gross Asset Valuation</w:t>
            </w:r>
          </w:p>
        </w:tc>
        <w:tc>
          <w:tcPr>
            <w:tcW w:w="2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780" w:type="dxa"/>
            <w:vAlign w:val="bottom"/>
          </w:tcPr>
          <w:p>
            <w:pPr>
              <w:spacing w:after="0"/>
              <w:rPr>
                <w:sz w:val="6"/>
                <w:szCs w:val="6"/>
                <w:color w:val="auto"/>
              </w:rPr>
            </w:pPr>
          </w:p>
        </w:tc>
        <w:tc>
          <w:tcPr>
            <w:tcW w:w="1320" w:type="dxa"/>
            <w:vAlign w:val="bottom"/>
            <w:gridSpan w:val="4"/>
          </w:tcPr>
          <w:p>
            <w:pPr>
              <w:ind w:left="20"/>
              <w:spacing w:after="0" w:line="79" w:lineRule="exact"/>
              <w:rPr>
                <w:sz w:val="20"/>
                <w:szCs w:val="20"/>
                <w:color w:val="auto"/>
              </w:rPr>
            </w:pPr>
            <w:r>
              <w:rPr>
                <w:rFonts w:ascii="Arial" w:cs="Arial" w:eastAsia="Arial" w:hAnsi="Arial"/>
                <w:sz w:val="7"/>
                <w:szCs w:val="7"/>
                <w:b w:val="1"/>
                <w:bCs w:val="1"/>
                <w:color w:val="auto"/>
              </w:rPr>
              <w:t>Property</w:t>
            </w:r>
          </w:p>
        </w:tc>
        <w:tc>
          <w:tcPr>
            <w:tcW w:w="600" w:type="dxa"/>
            <w:vAlign w:val="bottom"/>
            <w:gridSpan w:val="2"/>
          </w:tcPr>
          <w:p>
            <w:pPr>
              <w:spacing w:after="0" w:line="79" w:lineRule="exact"/>
              <w:rPr>
                <w:sz w:val="20"/>
                <w:szCs w:val="20"/>
                <w:color w:val="auto"/>
              </w:rPr>
            </w:pPr>
            <w:r>
              <w:rPr>
                <w:rFonts w:ascii="Arial" w:cs="Arial" w:eastAsia="Arial" w:hAnsi="Arial"/>
                <w:sz w:val="7"/>
                <w:szCs w:val="7"/>
                <w:b w:val="1"/>
                <w:bCs w:val="1"/>
                <w:color w:val="auto"/>
              </w:rPr>
              <w:t>Type of Property</w:t>
            </w:r>
          </w:p>
        </w:tc>
        <w:tc>
          <w:tcPr>
            <w:tcW w:w="1000" w:type="dxa"/>
            <w:vAlign w:val="bottom"/>
            <w:gridSpan w:val="3"/>
          </w:tcPr>
          <w:p>
            <w:pPr>
              <w:ind w:left="60"/>
              <w:spacing w:after="0" w:line="79" w:lineRule="exact"/>
              <w:rPr>
                <w:sz w:val="20"/>
                <w:szCs w:val="20"/>
                <w:color w:val="auto"/>
              </w:rPr>
            </w:pPr>
            <w:r>
              <w:rPr>
                <w:rFonts w:ascii="Arial" w:cs="Arial" w:eastAsia="Arial" w:hAnsi="Arial"/>
                <w:sz w:val="7"/>
                <w:szCs w:val="7"/>
                <w:b w:val="1"/>
                <w:bCs w:val="1"/>
                <w:color w:val="auto"/>
              </w:rPr>
              <w:t>Submarket</w:t>
            </w:r>
          </w:p>
        </w:tc>
        <w:tc>
          <w:tcPr>
            <w:tcW w:w="660" w:type="dxa"/>
            <w:vAlign w:val="bottom"/>
            <w:gridSpan w:val="3"/>
          </w:tcPr>
          <w:p>
            <w:pPr>
              <w:jc w:val="center"/>
              <w:ind w:right="200"/>
              <w:spacing w:after="0" w:line="79" w:lineRule="exact"/>
              <w:rPr>
                <w:sz w:val="20"/>
                <w:szCs w:val="20"/>
                <w:color w:val="auto"/>
              </w:rPr>
            </w:pPr>
            <w:r>
              <w:rPr>
                <w:rFonts w:ascii="Arial" w:cs="Arial" w:eastAsia="Arial" w:hAnsi="Arial"/>
                <w:sz w:val="7"/>
                <w:szCs w:val="7"/>
                <w:b w:val="1"/>
                <w:bCs w:val="1"/>
                <w:color w:val="auto"/>
                <w:w w:val="91"/>
              </w:rPr>
              <w:t>Sold</w:t>
            </w:r>
          </w:p>
        </w:tc>
        <w:tc>
          <w:tcPr>
            <w:tcW w:w="1260" w:type="dxa"/>
            <w:vAlign w:val="bottom"/>
            <w:gridSpan w:val="2"/>
          </w:tcPr>
          <w:p>
            <w:pPr>
              <w:spacing w:after="0" w:line="79" w:lineRule="exact"/>
              <w:rPr>
                <w:sz w:val="20"/>
                <w:szCs w:val="20"/>
                <w:color w:val="auto"/>
              </w:rPr>
            </w:pPr>
            <w:r>
              <w:rPr>
                <w:rFonts w:ascii="Arial" w:cs="Arial" w:eastAsia="Arial" w:hAnsi="Arial"/>
                <w:sz w:val="7"/>
                <w:szCs w:val="7"/>
                <w:b w:val="1"/>
                <w:bCs w:val="1"/>
                <w:color w:val="auto"/>
              </w:rPr>
              <w:t>Type of Ownership</w:t>
            </w:r>
          </w:p>
        </w:tc>
        <w:tc>
          <w:tcPr>
            <w:tcW w:w="840" w:type="dxa"/>
            <w:vAlign w:val="bottom"/>
            <w:gridSpan w:val="4"/>
          </w:tcPr>
          <w:p>
            <w:pPr>
              <w:ind w:left="80"/>
              <w:spacing w:after="0" w:line="79" w:lineRule="exact"/>
              <w:rPr>
                <w:sz w:val="20"/>
                <w:szCs w:val="20"/>
                <w:color w:val="auto"/>
              </w:rPr>
            </w:pPr>
            <w:r>
              <w:rPr>
                <w:rFonts w:ascii="Arial" w:cs="Arial" w:eastAsia="Arial" w:hAnsi="Arial"/>
                <w:sz w:val="7"/>
                <w:szCs w:val="7"/>
                <w:b w:val="1"/>
                <w:bCs w:val="1"/>
                <w:color w:val="auto"/>
              </w:rPr>
              <w:t>Net Rentable SF</w:t>
            </w:r>
          </w:p>
        </w:tc>
        <w:tc>
          <w:tcPr>
            <w:tcW w:w="240" w:type="dxa"/>
            <w:vAlign w:val="bottom"/>
          </w:tcPr>
          <w:p>
            <w:pPr>
              <w:spacing w:after="0"/>
              <w:rPr>
                <w:sz w:val="6"/>
                <w:szCs w:val="6"/>
                <w:color w:val="auto"/>
              </w:rPr>
            </w:pPr>
          </w:p>
        </w:tc>
        <w:tc>
          <w:tcPr>
            <w:tcW w:w="1380" w:type="dxa"/>
            <w:vAlign w:val="bottom"/>
            <w:gridSpan w:val="4"/>
          </w:tcPr>
          <w:p>
            <w:pPr>
              <w:ind w:left="200"/>
              <w:spacing w:after="0" w:line="79" w:lineRule="exact"/>
              <w:rPr>
                <w:sz w:val="20"/>
                <w:szCs w:val="20"/>
                <w:color w:val="auto"/>
              </w:rPr>
            </w:pP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's)</w:t>
            </w:r>
          </w:p>
        </w:tc>
        <w:tc>
          <w:tcPr>
            <w:tcW w:w="380" w:type="dxa"/>
            <w:vAlign w:val="bottom"/>
          </w:tcPr>
          <w:p>
            <w:pPr>
              <w:spacing w:after="0"/>
              <w:rPr>
                <w:sz w:val="6"/>
                <w:szCs w:val="6"/>
                <w:color w:val="auto"/>
              </w:rPr>
            </w:pPr>
          </w:p>
        </w:tc>
        <w:tc>
          <w:tcPr>
            <w:tcW w:w="620" w:type="dxa"/>
            <w:vAlign w:val="bottom"/>
            <w:gridSpan w:val="2"/>
          </w:tcPr>
          <w:p>
            <w:pPr>
              <w:jc w:val="right"/>
              <w:ind w:right="347"/>
              <w:spacing w:after="0" w:line="79" w:lineRule="exact"/>
              <w:rPr>
                <w:sz w:val="20"/>
                <w:szCs w:val="20"/>
                <w:color w:val="auto"/>
              </w:rPr>
            </w:pPr>
            <w:r>
              <w:rPr>
                <w:rFonts w:ascii="Arial" w:cs="Arial" w:eastAsia="Arial" w:hAnsi="Arial"/>
                <w:sz w:val="7"/>
                <w:szCs w:val="7"/>
                <w:b w:val="1"/>
                <w:bCs w:val="1"/>
                <w:u w:val="single" w:color="auto"/>
                <w:color w:val="auto"/>
                <w:w w:val="87"/>
              </w:rPr>
              <w:t>($</w:t>
            </w:r>
            <w:r>
              <w:rPr>
                <w:rFonts w:ascii="Arial" w:cs="Arial" w:eastAsia="Arial" w:hAnsi="Arial"/>
                <w:sz w:val="7"/>
                <w:szCs w:val="7"/>
                <w:b w:val="1"/>
                <w:bCs w:val="1"/>
                <w:color w:val="auto"/>
                <w:w w:val="87"/>
              </w:rPr>
              <w:t>'s/SF)</w:t>
            </w:r>
          </w:p>
        </w:tc>
        <w:tc>
          <w:tcPr>
            <w:tcW w:w="0" w:type="dxa"/>
            <w:vAlign w:val="bottom"/>
          </w:tcPr>
          <w:p>
            <w:pPr>
              <w:spacing w:after="0"/>
              <w:rPr>
                <w:sz w:val="1"/>
                <w:szCs w:val="1"/>
                <w:color w:val="auto"/>
              </w:rPr>
            </w:pPr>
          </w:p>
        </w:tc>
      </w:tr>
      <w:tr>
        <w:trPr>
          <w:trHeight w:val="110"/>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93"/>
              </w:rPr>
              <w:t>2011 - 2025 Dispositions</w:t>
            </w: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780" w:type="dxa"/>
            <w:vAlign w:val="bottom"/>
          </w:tcPr>
          <w:p>
            <w:pPr>
              <w:jc w:val="center"/>
              <w:spacing w:after="0"/>
              <w:rPr>
                <w:sz w:val="20"/>
                <w:szCs w:val="20"/>
                <w:color w:val="auto"/>
              </w:rPr>
            </w:pPr>
            <w:r>
              <w:rPr>
                <w:rFonts w:ascii="Arial" w:cs="Arial" w:eastAsia="Arial" w:hAnsi="Arial"/>
                <w:sz w:val="7"/>
                <w:szCs w:val="7"/>
                <w:color w:val="auto"/>
                <w:w w:val="88"/>
              </w:rPr>
              <w:t>Sep-11</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1551-1555 Broadway</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Times Square</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w w:val="90"/>
              </w:rPr>
              <w:t>10.0%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25,600</w:t>
            </w:r>
          </w:p>
        </w:tc>
        <w:tc>
          <w:tcPr>
            <w:tcW w:w="180" w:type="dxa"/>
            <w:vAlign w:val="bottom"/>
          </w:tcPr>
          <w:p>
            <w:pPr>
              <w:spacing w:after="0"/>
              <w:rPr>
                <w:sz w:val="7"/>
                <w:szCs w:val="7"/>
                <w:color w:val="auto"/>
              </w:rPr>
            </w:pPr>
          </w:p>
        </w:tc>
        <w:tc>
          <w:tcPr>
            <w:tcW w:w="240" w:type="dxa"/>
            <w:vAlign w:val="bottom"/>
          </w:tcPr>
          <w:p>
            <w:pPr>
              <w:jc w:val="right"/>
              <w:ind w:right="173"/>
              <w:spacing w:after="0"/>
              <w:rPr>
                <w:sz w:val="20"/>
                <w:szCs w:val="20"/>
                <w:color w:val="auto"/>
              </w:rPr>
            </w:pPr>
            <w:r>
              <w:rPr>
                <w:rFonts w:ascii="Arial" w:cs="Arial" w:eastAsia="Arial" w:hAnsi="Arial"/>
                <w:sz w:val="5"/>
                <w:szCs w:val="5"/>
                <w:color w:val="auto"/>
                <w:w w:val="70"/>
              </w:rPr>
              <w:t>$</w:t>
            </w: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276,757</w:t>
            </w:r>
          </w:p>
        </w:tc>
        <w:tc>
          <w:tcPr>
            <w:tcW w:w="600" w:type="dxa"/>
            <w:vAlign w:val="bottom"/>
          </w:tcPr>
          <w:p>
            <w:pPr>
              <w:spacing w:after="0"/>
              <w:rPr>
                <w:sz w:val="7"/>
                <w:szCs w:val="7"/>
                <w:color w:val="auto"/>
              </w:rPr>
            </w:pPr>
          </w:p>
        </w:tc>
        <w:tc>
          <w:tcPr>
            <w:tcW w:w="380" w:type="dxa"/>
            <w:vAlign w:val="bottom"/>
          </w:tcPr>
          <w:p>
            <w:pPr>
              <w:jc w:val="right"/>
              <w:ind w:right="313"/>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10,811</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8"/>
              </w:rPr>
              <w:t>Feb-12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141</w:t>
            </w:r>
          </w:p>
        </w:tc>
        <w:tc>
          <w:tcPr>
            <w:tcW w:w="11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Flatiron</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13,000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46,000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3,538</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8"/>
              </w:rPr>
              <w:t>Feb-12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292</w:t>
            </w:r>
          </w:p>
        </w:tc>
        <w:tc>
          <w:tcPr>
            <w:tcW w:w="1180" w:type="dxa"/>
            <w:vAlign w:val="bottom"/>
            <w:gridSpan w:val="2"/>
          </w:tcPr>
          <w:p>
            <w:pPr>
              <w:spacing w:after="0"/>
              <w:rPr>
                <w:sz w:val="20"/>
                <w:szCs w:val="20"/>
                <w:color w:val="auto"/>
              </w:rPr>
            </w:pPr>
            <w:r>
              <w:rPr>
                <w:rFonts w:ascii="Arial" w:cs="Arial" w:eastAsia="Arial" w:hAnsi="Arial"/>
                <w:sz w:val="7"/>
                <w:szCs w:val="7"/>
                <w:color w:val="auto"/>
              </w:rPr>
              <w:t>Madison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Land</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Grand Central South</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203,800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85,000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417</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Apr-12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379</w:t>
            </w:r>
          </w:p>
        </w:tc>
        <w:tc>
          <w:tcPr>
            <w:tcW w:w="1180" w:type="dxa"/>
            <w:vAlign w:val="bottom"/>
            <w:gridSpan w:val="2"/>
          </w:tcPr>
          <w:p>
            <w:pPr>
              <w:spacing w:after="0"/>
              <w:rPr>
                <w:sz w:val="20"/>
                <w:szCs w:val="20"/>
                <w:color w:val="auto"/>
              </w:rPr>
            </w:pPr>
            <w:r>
              <w:rPr>
                <w:rFonts w:ascii="Arial" w:cs="Arial" w:eastAsia="Arial" w:hAnsi="Arial"/>
                <w:sz w:val="7"/>
                <w:szCs w:val="7"/>
                <w:color w:val="auto"/>
              </w:rPr>
              <w:t>West Broadway</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Cast Iron/Soho</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62,006</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48,500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782</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Jun-12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717</w:t>
            </w:r>
          </w:p>
        </w:tc>
        <w:tc>
          <w:tcPr>
            <w:tcW w:w="11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Midtown/Plaza District</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50.0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119,550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617,584</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5,166</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Sep-12</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3 Columbus Circle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Columbus Circle</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29.0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214,372</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143,600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670</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8"/>
              </w:rPr>
              <w:t>Feb-13</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44 West 55th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8,557</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6,250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730</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Jun-13</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West Coast Office Portfolio</w:t>
            </w:r>
          </w:p>
        </w:tc>
        <w:tc>
          <w:tcPr>
            <w:tcW w:w="600" w:type="dxa"/>
            <w:vAlign w:val="bottom"/>
            <w:gridSpan w:val="2"/>
          </w:tcPr>
          <w:p>
            <w:pPr>
              <w:spacing w:after="0"/>
              <w:rPr>
                <w:sz w:val="20"/>
                <w:szCs w:val="20"/>
                <w:color w:val="auto"/>
              </w:rPr>
            </w:pPr>
            <w:r>
              <w:rPr>
                <w:rFonts w:ascii="Arial" w:cs="Arial" w:eastAsia="Arial" w:hAnsi="Arial"/>
                <w:sz w:val="7"/>
                <w:szCs w:val="7"/>
                <w:color w:val="auto"/>
              </w:rPr>
              <w:t>West Coast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Los Angeles, California</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406,740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111,925</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275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Aug-13</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West Coast Office Portfolio</w:t>
            </w:r>
          </w:p>
        </w:tc>
        <w:tc>
          <w:tcPr>
            <w:tcW w:w="600" w:type="dxa"/>
            <w:vAlign w:val="bottom"/>
            <w:gridSpan w:val="2"/>
          </w:tcPr>
          <w:p>
            <w:pPr>
              <w:spacing w:after="0"/>
              <w:rPr>
                <w:sz w:val="20"/>
                <w:szCs w:val="20"/>
                <w:color w:val="auto"/>
              </w:rPr>
            </w:pPr>
            <w:r>
              <w:rPr>
                <w:rFonts w:ascii="Arial" w:cs="Arial" w:eastAsia="Arial" w:hAnsi="Arial"/>
                <w:sz w:val="7"/>
                <w:szCs w:val="7"/>
                <w:color w:val="auto"/>
              </w:rPr>
              <w:t>West Coast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Fountain Valley, California</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302,037</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66,994</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222</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Sep-13</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West Coast Office Portfolio</w:t>
            </w:r>
          </w:p>
        </w:tc>
        <w:tc>
          <w:tcPr>
            <w:tcW w:w="600" w:type="dxa"/>
            <w:vAlign w:val="bottom"/>
            <w:gridSpan w:val="2"/>
          </w:tcPr>
          <w:p>
            <w:pPr>
              <w:spacing w:after="0"/>
              <w:rPr>
                <w:sz w:val="20"/>
                <w:szCs w:val="20"/>
                <w:color w:val="auto"/>
              </w:rPr>
            </w:pPr>
            <w:r>
              <w:rPr>
                <w:rFonts w:ascii="Arial" w:cs="Arial" w:eastAsia="Arial" w:hAnsi="Arial"/>
                <w:sz w:val="7"/>
                <w:szCs w:val="7"/>
                <w:color w:val="auto"/>
              </w:rPr>
              <w:t>West Coast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San Diego, California</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110,511</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45,400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411</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Dec-13</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27-29 West 34th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Herald Square/Penn Station</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15,600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70,052</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4,491</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Jan-14</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21-25 West 34th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Herald Square/Penn Station</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30,100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114,948</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3,819</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9"/>
              </w:rPr>
              <w:t>Mar-14</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West Coast Office Portfolio</w:t>
            </w:r>
          </w:p>
        </w:tc>
        <w:tc>
          <w:tcPr>
            <w:tcW w:w="600" w:type="dxa"/>
            <w:vAlign w:val="bottom"/>
            <w:gridSpan w:val="2"/>
          </w:tcPr>
          <w:p>
            <w:pPr>
              <w:spacing w:after="0"/>
              <w:rPr>
                <w:sz w:val="20"/>
                <w:szCs w:val="20"/>
                <w:color w:val="auto"/>
              </w:rPr>
            </w:pPr>
            <w:r>
              <w:rPr>
                <w:rFonts w:ascii="Arial" w:cs="Arial" w:eastAsia="Arial" w:hAnsi="Arial"/>
                <w:sz w:val="7"/>
                <w:szCs w:val="7"/>
                <w:color w:val="auto"/>
              </w:rPr>
              <w:t>West Coast</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3,654,315</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756,000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207</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May-14</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747</w:t>
            </w:r>
          </w:p>
        </w:tc>
        <w:tc>
          <w:tcPr>
            <w:tcW w:w="1180" w:type="dxa"/>
            <w:vAlign w:val="bottom"/>
            <w:gridSpan w:val="2"/>
          </w:tcPr>
          <w:p>
            <w:pPr>
              <w:spacing w:after="0"/>
              <w:rPr>
                <w:sz w:val="20"/>
                <w:szCs w:val="20"/>
                <w:color w:val="auto"/>
              </w:rPr>
            </w:pPr>
            <w:r>
              <w:rPr>
                <w:rFonts w:ascii="Arial" w:cs="Arial" w:eastAsia="Arial" w:hAnsi="Arial"/>
                <w:sz w:val="7"/>
                <w:szCs w:val="7"/>
                <w:color w:val="auto"/>
              </w:rPr>
              <w:t>Madison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10,000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160,000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16,000</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Jul-14</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985-987 Third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Upper East Side</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13,678</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68,700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5,023</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Sep-14</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180-182 Broadway</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Lower Manhattan</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156,086</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222,500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1,425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Nov-14</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2 Herald Square</w:t>
            </w:r>
          </w:p>
        </w:tc>
        <w:tc>
          <w:tcPr>
            <w:tcW w:w="600" w:type="dxa"/>
            <w:vAlign w:val="bottom"/>
            <w:gridSpan w:val="2"/>
          </w:tcPr>
          <w:p>
            <w:pPr>
              <w:spacing w:after="0"/>
              <w:rPr>
                <w:sz w:val="20"/>
                <w:szCs w:val="20"/>
                <w:color w:val="auto"/>
              </w:rPr>
            </w:pPr>
            <w:r>
              <w:rPr>
                <w:rFonts w:ascii="Arial" w:cs="Arial" w:eastAsia="Arial" w:hAnsi="Arial"/>
                <w:sz w:val="7"/>
                <w:szCs w:val="7"/>
                <w:color w:val="auto"/>
              </w:rPr>
              <w:t>Land</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Herald Square/Penn Station</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354,400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365,000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1,030</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Nov-14</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55 West 46th Street - Tower 46</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Midtown</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75.0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347,000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295,000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850</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Jan-15</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180</w:t>
            </w:r>
          </w:p>
        </w:tc>
        <w:tc>
          <w:tcPr>
            <w:tcW w:w="1180" w:type="dxa"/>
            <w:vAlign w:val="bottom"/>
            <w:gridSpan w:val="2"/>
          </w:tcPr>
          <w:p>
            <w:pPr>
              <w:spacing w:after="0"/>
              <w:rPr>
                <w:sz w:val="20"/>
                <w:szCs w:val="20"/>
                <w:color w:val="auto"/>
              </w:rPr>
            </w:pPr>
            <w:r>
              <w:rPr>
                <w:rFonts w:ascii="Arial" w:cs="Arial" w:eastAsia="Arial" w:hAnsi="Arial"/>
                <w:sz w:val="7"/>
                <w:szCs w:val="7"/>
                <w:color w:val="auto"/>
              </w:rPr>
              <w:t>Maiden Lane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Financial East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1,090,000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470,000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431</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Aug-15</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131-137 Spring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Soho</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80.0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68,342</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277,750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4,064</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Dec-15</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570</w:t>
            </w:r>
          </w:p>
        </w:tc>
        <w:tc>
          <w:tcPr>
            <w:tcW w:w="1180" w:type="dxa"/>
            <w:vAlign w:val="bottom"/>
            <w:gridSpan w:val="2"/>
          </w:tcPr>
          <w:p>
            <w:pPr>
              <w:spacing w:after="0"/>
              <w:rPr>
                <w:sz w:val="20"/>
                <w:szCs w:val="20"/>
                <w:color w:val="auto"/>
              </w:rPr>
            </w:pPr>
            <w:r>
              <w:rPr>
                <w:rFonts w:ascii="Arial" w:cs="Arial" w:eastAsia="Arial" w:hAnsi="Arial"/>
                <w:sz w:val="7"/>
                <w:szCs w:val="7"/>
                <w:color w:val="auto"/>
              </w:rPr>
              <w:t>&amp; 574 Fifth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24,327</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125,400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5,155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8"/>
              </w:rPr>
              <w:t>Feb-16</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248-252 Bedford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Residential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Brooklyn, New York</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90.0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66,611</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55,000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826</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8"/>
              </w:rPr>
              <w:t>Feb-16</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885</w:t>
            </w:r>
          </w:p>
        </w:tc>
        <w:tc>
          <w:tcPr>
            <w:tcW w:w="1180" w:type="dxa"/>
            <w:vAlign w:val="bottom"/>
            <w:gridSpan w:val="2"/>
          </w:tcPr>
          <w:p>
            <w:pPr>
              <w:spacing w:after="0"/>
              <w:rPr>
                <w:sz w:val="20"/>
                <w:szCs w:val="20"/>
                <w:color w:val="auto"/>
              </w:rPr>
            </w:pPr>
            <w:r>
              <w:rPr>
                <w:rFonts w:ascii="Arial" w:cs="Arial" w:eastAsia="Arial" w:hAnsi="Arial"/>
                <w:sz w:val="7"/>
                <w:szCs w:val="7"/>
                <w:color w:val="auto"/>
              </w:rPr>
              <w:t>Third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Land</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Midtown / Plaza District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607,000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453,000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746</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May-16</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33 Beekman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Downtown</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163,500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196,000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1,199</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Oct-16</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400</w:t>
            </w:r>
          </w:p>
        </w:tc>
        <w:tc>
          <w:tcPr>
            <w:tcW w:w="1180" w:type="dxa"/>
            <w:vAlign w:val="bottom"/>
            <w:gridSpan w:val="2"/>
          </w:tcPr>
          <w:p>
            <w:pPr>
              <w:spacing w:after="0"/>
              <w:rPr>
                <w:sz w:val="20"/>
                <w:szCs w:val="20"/>
                <w:color w:val="auto"/>
              </w:rPr>
            </w:pPr>
            <w:r>
              <w:rPr>
                <w:rFonts w:ascii="Arial" w:cs="Arial" w:eastAsia="Arial" w:hAnsi="Arial"/>
                <w:sz w:val="7"/>
                <w:szCs w:val="7"/>
                <w:color w:val="auto"/>
              </w:rPr>
              <w:t>East 57th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Residential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Upper East Side</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49.0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290,482</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170,000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585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Apr-17</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102</w:t>
            </w:r>
          </w:p>
        </w:tc>
        <w:tc>
          <w:tcPr>
            <w:tcW w:w="1180" w:type="dxa"/>
            <w:vAlign w:val="bottom"/>
            <w:gridSpan w:val="2"/>
          </w:tcPr>
          <w:p>
            <w:pPr>
              <w:spacing w:after="0"/>
              <w:rPr>
                <w:sz w:val="20"/>
                <w:szCs w:val="20"/>
                <w:color w:val="auto"/>
              </w:rPr>
            </w:pPr>
            <w:r>
              <w:rPr>
                <w:rFonts w:ascii="Arial" w:cs="Arial" w:eastAsia="Arial" w:hAnsi="Arial"/>
                <w:sz w:val="7"/>
                <w:szCs w:val="7"/>
                <w:color w:val="auto"/>
              </w:rPr>
              <w:t>Greene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Soho</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90.0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9,200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43,500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4,728</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Sep-17</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102</w:t>
            </w:r>
          </w:p>
        </w:tc>
        <w:tc>
          <w:tcPr>
            <w:tcW w:w="1180" w:type="dxa"/>
            <w:vAlign w:val="bottom"/>
            <w:gridSpan w:val="2"/>
          </w:tcPr>
          <w:p>
            <w:pPr>
              <w:spacing w:after="0"/>
              <w:rPr>
                <w:sz w:val="20"/>
                <w:szCs w:val="20"/>
                <w:color w:val="auto"/>
              </w:rPr>
            </w:pPr>
            <w:r>
              <w:rPr>
                <w:rFonts w:ascii="Arial" w:cs="Arial" w:eastAsia="Arial" w:hAnsi="Arial"/>
                <w:sz w:val="7"/>
                <w:szCs w:val="7"/>
                <w:color w:val="auto"/>
              </w:rPr>
              <w:t>Greene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Soho</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10.0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9,200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43,500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4,728</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Apr-18</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175-225 Third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Brooklyn, New York</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95.0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8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7"/>
                <w:szCs w:val="7"/>
                <w:color w:val="auto"/>
              </w:rPr>
              <w:t>—</w:t>
            </w: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115,000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jc w:val="right"/>
              <w:ind w:right="7"/>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Jun-18</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635</w:t>
            </w:r>
          </w:p>
        </w:tc>
        <w:tc>
          <w:tcPr>
            <w:tcW w:w="1180" w:type="dxa"/>
            <w:vAlign w:val="bottom"/>
            <w:gridSpan w:val="2"/>
          </w:tcPr>
          <w:p>
            <w:pPr>
              <w:spacing w:after="0"/>
              <w:rPr>
                <w:sz w:val="20"/>
                <w:szCs w:val="20"/>
                <w:color w:val="auto"/>
              </w:rPr>
            </w:pPr>
            <w:r>
              <w:rPr>
                <w:rFonts w:ascii="Arial" w:cs="Arial" w:eastAsia="Arial" w:hAnsi="Arial"/>
                <w:sz w:val="7"/>
                <w:szCs w:val="7"/>
                <w:color w:val="auto"/>
              </w:rPr>
              <w:t>Madison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Land</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176,530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153,000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867</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Jul-18</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724</w:t>
            </w:r>
          </w:p>
        </w:tc>
        <w:tc>
          <w:tcPr>
            <w:tcW w:w="11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50.0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65,010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365,000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5,615</w:t>
            </w:r>
          </w:p>
        </w:tc>
        <w:tc>
          <w:tcPr>
            <w:tcW w:w="0" w:type="dxa"/>
            <w:vAlign w:val="bottom"/>
          </w:tcPr>
          <w:p>
            <w:pPr>
              <w:spacing w:after="0"/>
              <w:rPr>
                <w:sz w:val="1"/>
                <w:szCs w:val="1"/>
                <w:color w:val="auto"/>
              </w:rPr>
            </w:pPr>
          </w:p>
        </w:tc>
      </w:tr>
      <w:tr>
        <w:trPr>
          <w:trHeight w:val="92"/>
        </w:trPr>
        <w:tc>
          <w:tcPr>
            <w:tcW w:w="780" w:type="dxa"/>
            <w:vAlign w:val="bottom"/>
            <w:vMerge w:val="restart"/>
          </w:tcPr>
          <w:p>
            <w:pPr>
              <w:jc w:val="center"/>
              <w:spacing w:after="0"/>
              <w:rPr>
                <w:sz w:val="20"/>
                <w:szCs w:val="20"/>
                <w:color w:val="auto"/>
              </w:rPr>
            </w:pPr>
            <w:r>
              <w:rPr>
                <w:rFonts w:ascii="Arial" w:cs="Arial" w:eastAsia="Arial" w:hAnsi="Arial"/>
                <w:sz w:val="7"/>
                <w:szCs w:val="7"/>
                <w:color w:val="auto"/>
                <w:w w:val="94"/>
              </w:rPr>
              <w:t>Oct-18</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72nd Street Assemblage &amp; 1231 Third</w:t>
            </w:r>
          </w:p>
        </w:tc>
        <w:tc>
          <w:tcPr>
            <w:tcW w:w="600" w:type="dxa"/>
            <w:vAlign w:val="bottom"/>
            <w:gridSpan w:val="2"/>
            <w:vMerge w:val="restart"/>
          </w:tcPr>
          <w:p>
            <w:pPr>
              <w:spacing w:after="0"/>
              <w:rPr>
                <w:sz w:val="20"/>
                <w:szCs w:val="20"/>
                <w:color w:val="auto"/>
              </w:rPr>
            </w:pPr>
            <w:r>
              <w:rPr>
                <w:rFonts w:ascii="Arial" w:cs="Arial" w:eastAsia="Arial" w:hAnsi="Arial"/>
                <w:sz w:val="7"/>
                <w:szCs w:val="7"/>
                <w:color w:val="auto"/>
              </w:rPr>
              <w:t>Residential</w:t>
            </w:r>
          </w:p>
        </w:tc>
        <w:tc>
          <w:tcPr>
            <w:tcW w:w="1000" w:type="dxa"/>
            <w:vAlign w:val="bottom"/>
            <w:gridSpan w:val="3"/>
            <w:vMerge w:val="restart"/>
          </w:tcPr>
          <w:p>
            <w:pPr>
              <w:ind w:left="60"/>
              <w:spacing w:after="0"/>
              <w:rPr>
                <w:sz w:val="20"/>
                <w:szCs w:val="20"/>
                <w:color w:val="auto"/>
              </w:rPr>
            </w:pPr>
            <w:r>
              <w:rPr>
                <w:rFonts w:ascii="Arial" w:cs="Arial" w:eastAsia="Arial" w:hAnsi="Arial"/>
                <w:sz w:val="7"/>
                <w:szCs w:val="7"/>
                <w:color w:val="auto"/>
              </w:rPr>
              <w:t>Upper East Side</w:t>
            </w:r>
          </w:p>
        </w:tc>
        <w:tc>
          <w:tcPr>
            <w:tcW w:w="660" w:type="dxa"/>
            <w:vAlign w:val="bottom"/>
            <w:gridSpan w:val="3"/>
            <w:vMerge w:val="restart"/>
          </w:tcPr>
          <w:p>
            <w:pPr>
              <w:jc w:val="center"/>
              <w:ind w:right="200"/>
              <w:spacing w:after="0"/>
              <w:rPr>
                <w:sz w:val="20"/>
                <w:szCs w:val="20"/>
                <w:color w:val="auto"/>
              </w:rPr>
            </w:pPr>
            <w:r>
              <w:rPr>
                <w:rFonts w:ascii="Arial" w:cs="Arial" w:eastAsia="Arial" w:hAnsi="Arial"/>
                <w:sz w:val="7"/>
                <w:szCs w:val="7"/>
                <w:color w:val="auto"/>
                <w:w w:val="92"/>
              </w:rPr>
              <w:t>Various</w:t>
            </w:r>
          </w:p>
        </w:tc>
        <w:tc>
          <w:tcPr>
            <w:tcW w:w="1260" w:type="dxa"/>
            <w:vAlign w:val="bottom"/>
            <w:gridSpan w:val="2"/>
            <w:vMerge w:val="restart"/>
          </w:tcPr>
          <w:p>
            <w:pPr>
              <w:spacing w:after="0"/>
              <w:rPr>
                <w:sz w:val="20"/>
                <w:szCs w:val="20"/>
                <w:color w:val="auto"/>
              </w:rPr>
            </w:pPr>
            <w:r>
              <w:rPr>
                <w:rFonts w:ascii="Arial" w:cs="Arial" w:eastAsia="Arial" w:hAnsi="Arial"/>
                <w:sz w:val="7"/>
                <w:szCs w:val="7"/>
                <w:color w:val="auto"/>
              </w:rPr>
              <w:t>Fee Interest</w:t>
            </w:r>
          </w:p>
        </w:tc>
        <w:tc>
          <w:tcPr>
            <w:tcW w:w="80" w:type="dxa"/>
            <w:vAlign w:val="bottom"/>
          </w:tcPr>
          <w:p>
            <w:pPr>
              <w:spacing w:after="0"/>
              <w:rPr>
                <w:sz w:val="7"/>
                <w:szCs w:val="7"/>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7"/>
                <w:szCs w:val="7"/>
                <w:color w:val="auto"/>
              </w:rPr>
              <w:t>—</w:t>
            </w:r>
          </w:p>
        </w:tc>
        <w:tc>
          <w:tcPr>
            <w:tcW w:w="240" w:type="dxa"/>
            <w:vAlign w:val="bottom"/>
          </w:tcPr>
          <w:p>
            <w:pPr>
              <w:spacing w:after="0"/>
              <w:rPr>
                <w:sz w:val="7"/>
                <w:szCs w:val="7"/>
                <w:color w:val="auto"/>
              </w:rPr>
            </w:pPr>
          </w:p>
        </w:tc>
        <w:tc>
          <w:tcPr>
            <w:tcW w:w="780" w:type="dxa"/>
            <w:vAlign w:val="bottom"/>
            <w:gridSpan w:val="3"/>
            <w:vMerge w:val="restart"/>
          </w:tcPr>
          <w:p>
            <w:pPr>
              <w:jc w:val="right"/>
              <w:ind w:right="27"/>
              <w:spacing w:after="0"/>
              <w:rPr>
                <w:sz w:val="20"/>
                <w:szCs w:val="20"/>
                <w:color w:val="auto"/>
              </w:rPr>
            </w:pPr>
            <w:r>
              <w:rPr>
                <w:rFonts w:ascii="Arial" w:cs="Arial" w:eastAsia="Arial" w:hAnsi="Arial"/>
                <w:sz w:val="7"/>
                <w:szCs w:val="7"/>
                <w:color w:val="auto"/>
              </w:rPr>
              <w:t>143,800</w:t>
            </w: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vMerge w:val="restart"/>
          </w:tcPr>
          <w:p>
            <w:pPr>
              <w:jc w:val="right"/>
              <w:ind w:right="7"/>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85"/>
        </w:trPr>
        <w:tc>
          <w:tcPr>
            <w:tcW w:w="780" w:type="dxa"/>
            <w:vAlign w:val="bottom"/>
            <w:vMerge w:val="continue"/>
          </w:tcPr>
          <w:p>
            <w:pPr>
              <w:spacing w:after="0"/>
              <w:rPr>
                <w:sz w:val="7"/>
                <w:szCs w:val="7"/>
                <w:color w:val="auto"/>
              </w:rPr>
            </w:pP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Avenue</w:t>
            </w:r>
          </w:p>
        </w:tc>
        <w:tc>
          <w:tcPr>
            <w:tcW w:w="60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Jan-19</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131-137 Spring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Soho</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20.0</w:t>
            </w:r>
          </w:p>
        </w:tc>
        <w:tc>
          <w:tcPr>
            <w:tcW w:w="360" w:type="dxa"/>
            <w:vAlign w:val="bottom"/>
          </w:tcPr>
          <w:p>
            <w:pPr>
              <w:spacing w:after="0"/>
              <w:rPr>
                <w:sz w:val="8"/>
                <w:szCs w:val="8"/>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68,342</w:t>
            </w: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216,000</w:t>
            </w: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3,161</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Aug-19</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115 Spring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Soho</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49.0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5,218</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66,050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12,658</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Dec-19</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562</w:t>
            </w:r>
          </w:p>
        </w:tc>
        <w:tc>
          <w:tcPr>
            <w:tcW w:w="11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42,635</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52,393</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1,229</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Dec-19</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1640 Flatbush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Brooklyn, New York</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16,150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16,150</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9"/>
              </w:rPr>
              <w:t>Mar-20</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315</w:t>
            </w:r>
          </w:p>
        </w:tc>
        <w:tc>
          <w:tcPr>
            <w:tcW w:w="1180" w:type="dxa"/>
            <w:vAlign w:val="bottom"/>
            <w:gridSpan w:val="2"/>
          </w:tcPr>
          <w:p>
            <w:pPr>
              <w:spacing w:after="0"/>
              <w:rPr>
                <w:sz w:val="20"/>
                <w:szCs w:val="20"/>
                <w:color w:val="auto"/>
              </w:rPr>
            </w:pPr>
            <w:r>
              <w:rPr>
                <w:rFonts w:ascii="Arial" w:cs="Arial" w:eastAsia="Arial" w:hAnsi="Arial"/>
                <w:sz w:val="7"/>
                <w:szCs w:val="7"/>
                <w:color w:val="auto"/>
              </w:rPr>
              <w:t>West 33rd Street - The Olivia</w:t>
            </w:r>
          </w:p>
        </w:tc>
        <w:tc>
          <w:tcPr>
            <w:tcW w:w="600" w:type="dxa"/>
            <w:vAlign w:val="bottom"/>
            <w:gridSpan w:val="2"/>
          </w:tcPr>
          <w:p>
            <w:pPr>
              <w:spacing w:after="0"/>
              <w:rPr>
                <w:sz w:val="20"/>
                <w:szCs w:val="20"/>
                <w:color w:val="auto"/>
              </w:rPr>
            </w:pPr>
            <w:r>
              <w:rPr>
                <w:rFonts w:ascii="Arial" w:cs="Arial" w:eastAsia="Arial" w:hAnsi="Arial"/>
                <w:sz w:val="7"/>
                <w:szCs w:val="7"/>
                <w:color w:val="auto"/>
                <w:w w:val="99"/>
              </w:rPr>
              <w:t>Retail / Residential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Penn Station</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492,987</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446,500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906</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May-20</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609</w:t>
            </w:r>
          </w:p>
        </w:tc>
        <w:tc>
          <w:tcPr>
            <w:tcW w:w="1180" w:type="dxa"/>
            <w:vAlign w:val="bottom"/>
            <w:gridSpan w:val="2"/>
          </w:tcPr>
          <w:p>
            <w:pPr>
              <w:spacing w:after="0"/>
              <w:rPr>
                <w:sz w:val="20"/>
                <w:szCs w:val="20"/>
                <w:color w:val="auto"/>
              </w:rPr>
            </w:pPr>
            <w:r>
              <w:rPr>
                <w:rFonts w:ascii="Arial" w:cs="Arial" w:eastAsia="Arial" w:hAnsi="Arial"/>
                <w:sz w:val="7"/>
                <w:szCs w:val="7"/>
                <w:color w:val="auto"/>
              </w:rPr>
              <w:t>Fifth Avenue - Retail Condominium</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Rockefeller Center</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21,437</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168,000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7,837</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Sep-20</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400</w:t>
            </w:r>
          </w:p>
        </w:tc>
        <w:tc>
          <w:tcPr>
            <w:tcW w:w="1180" w:type="dxa"/>
            <w:vAlign w:val="bottom"/>
            <w:gridSpan w:val="2"/>
          </w:tcPr>
          <w:p>
            <w:pPr>
              <w:spacing w:after="0"/>
              <w:rPr>
                <w:sz w:val="20"/>
                <w:szCs w:val="20"/>
                <w:color w:val="auto"/>
              </w:rPr>
            </w:pPr>
            <w:r>
              <w:rPr>
                <w:rFonts w:ascii="Arial" w:cs="Arial" w:eastAsia="Arial" w:hAnsi="Arial"/>
                <w:sz w:val="7"/>
                <w:szCs w:val="7"/>
                <w:color w:val="auto"/>
              </w:rPr>
              <w:t>East 58th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Residential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Upper East Side</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90.0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140,000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62,000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443</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Dec-20</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410</w:t>
            </w:r>
          </w:p>
        </w:tc>
        <w:tc>
          <w:tcPr>
            <w:tcW w:w="1180" w:type="dxa"/>
            <w:vAlign w:val="bottom"/>
            <w:gridSpan w:val="2"/>
          </w:tcPr>
          <w:p>
            <w:pPr>
              <w:spacing w:after="0"/>
              <w:rPr>
                <w:sz w:val="20"/>
                <w:szCs w:val="20"/>
                <w:color w:val="auto"/>
              </w:rPr>
            </w:pPr>
            <w:r>
              <w:rPr>
                <w:rFonts w:ascii="Arial" w:cs="Arial" w:eastAsia="Arial" w:hAnsi="Arial"/>
                <w:sz w:val="7"/>
                <w:szCs w:val="7"/>
                <w:color w:val="auto"/>
              </w:rPr>
              <w:t>Tenth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Hudson Yards</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70.9</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638,000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952,500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1,493</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Dec-20</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Williamsburg Terrace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Brooklyn, New York</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52,000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32,000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615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Jan-21</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712</w:t>
            </w:r>
          </w:p>
        </w:tc>
        <w:tc>
          <w:tcPr>
            <w:tcW w:w="1180" w:type="dxa"/>
            <w:vAlign w:val="bottom"/>
            <w:gridSpan w:val="2"/>
          </w:tcPr>
          <w:p>
            <w:pPr>
              <w:spacing w:after="0"/>
              <w:rPr>
                <w:sz w:val="20"/>
                <w:szCs w:val="20"/>
                <w:color w:val="auto"/>
              </w:rPr>
            </w:pPr>
            <w:r>
              <w:rPr>
                <w:rFonts w:ascii="Arial" w:cs="Arial" w:eastAsia="Arial" w:hAnsi="Arial"/>
                <w:sz w:val="7"/>
                <w:szCs w:val="7"/>
                <w:color w:val="auto"/>
              </w:rPr>
              <w:t>Madison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6,600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43,000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6,515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8"/>
              </w:rPr>
              <w:t>Feb-21</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133</w:t>
            </w:r>
          </w:p>
        </w:tc>
        <w:tc>
          <w:tcPr>
            <w:tcW w:w="1180" w:type="dxa"/>
            <w:vAlign w:val="bottom"/>
            <w:gridSpan w:val="2"/>
          </w:tcPr>
          <w:p>
            <w:pPr>
              <w:spacing w:after="0"/>
              <w:rPr>
                <w:sz w:val="20"/>
                <w:szCs w:val="20"/>
                <w:color w:val="auto"/>
              </w:rPr>
            </w:pPr>
            <w:r>
              <w:rPr>
                <w:rFonts w:ascii="Arial" w:cs="Arial" w:eastAsia="Arial" w:hAnsi="Arial"/>
                <w:sz w:val="7"/>
                <w:szCs w:val="7"/>
                <w:color w:val="auto"/>
              </w:rPr>
              <w:t>Greene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Soho</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6,425</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15,796</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2,459</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9"/>
              </w:rPr>
              <w:t>Mar-21</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106</w:t>
            </w:r>
          </w:p>
        </w:tc>
        <w:tc>
          <w:tcPr>
            <w:tcW w:w="1180" w:type="dxa"/>
            <w:vAlign w:val="bottom"/>
            <w:gridSpan w:val="2"/>
          </w:tcPr>
          <w:p>
            <w:pPr>
              <w:spacing w:after="0"/>
              <w:rPr>
                <w:sz w:val="20"/>
                <w:szCs w:val="20"/>
                <w:color w:val="auto"/>
              </w:rPr>
            </w:pPr>
            <w:r>
              <w:rPr>
                <w:rFonts w:ascii="Arial" w:cs="Arial" w:eastAsia="Arial" w:hAnsi="Arial"/>
                <w:sz w:val="7"/>
                <w:szCs w:val="7"/>
                <w:color w:val="auto"/>
              </w:rPr>
              <w:t>Spring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Soho</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5,928</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34,024</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5,740</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Jun-21</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605</w:t>
            </w:r>
          </w:p>
        </w:tc>
        <w:tc>
          <w:tcPr>
            <w:tcW w:w="1180" w:type="dxa"/>
            <w:vAlign w:val="bottom"/>
            <w:gridSpan w:val="2"/>
          </w:tcPr>
          <w:p>
            <w:pPr>
              <w:spacing w:after="0"/>
              <w:rPr>
                <w:sz w:val="20"/>
                <w:szCs w:val="20"/>
                <w:color w:val="auto"/>
              </w:rPr>
            </w:pPr>
            <w:r>
              <w:rPr>
                <w:rFonts w:ascii="Arial" w:cs="Arial" w:eastAsia="Arial" w:hAnsi="Arial"/>
                <w:sz w:val="7"/>
                <w:szCs w:val="7"/>
                <w:color w:val="auto"/>
              </w:rPr>
              <w:t>West 42nd Street - Sky</w:t>
            </w:r>
          </w:p>
        </w:tc>
        <w:tc>
          <w:tcPr>
            <w:tcW w:w="600" w:type="dxa"/>
            <w:vAlign w:val="bottom"/>
            <w:gridSpan w:val="2"/>
          </w:tcPr>
          <w:p>
            <w:pPr>
              <w:spacing w:after="0"/>
              <w:rPr>
                <w:sz w:val="20"/>
                <w:szCs w:val="20"/>
                <w:color w:val="auto"/>
              </w:rPr>
            </w:pPr>
            <w:r>
              <w:rPr>
                <w:rFonts w:ascii="Arial" w:cs="Arial" w:eastAsia="Arial" w:hAnsi="Arial"/>
                <w:sz w:val="7"/>
                <w:szCs w:val="7"/>
                <w:color w:val="auto"/>
              </w:rPr>
              <w:t>Residential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Westside</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20.0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927,358</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858,100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925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Sep-21</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400</w:t>
            </w:r>
          </w:p>
        </w:tc>
        <w:tc>
          <w:tcPr>
            <w:tcW w:w="1180" w:type="dxa"/>
            <w:vAlign w:val="bottom"/>
            <w:gridSpan w:val="2"/>
          </w:tcPr>
          <w:p>
            <w:pPr>
              <w:spacing w:after="0"/>
              <w:rPr>
                <w:sz w:val="20"/>
                <w:szCs w:val="20"/>
                <w:color w:val="auto"/>
              </w:rPr>
            </w:pPr>
            <w:r>
              <w:rPr>
                <w:rFonts w:ascii="Arial" w:cs="Arial" w:eastAsia="Arial" w:hAnsi="Arial"/>
                <w:sz w:val="7"/>
                <w:szCs w:val="7"/>
                <w:color w:val="auto"/>
              </w:rPr>
              <w:t>East 57th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Residential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Upper East Side</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41.0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290,482</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133,500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460</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8"/>
              </w:rPr>
              <w:t>Feb-22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707</w:t>
            </w:r>
          </w:p>
        </w:tc>
        <w:tc>
          <w:tcPr>
            <w:tcW w:w="1180" w:type="dxa"/>
            <w:vAlign w:val="bottom"/>
            <w:gridSpan w:val="2"/>
          </w:tcPr>
          <w:p>
            <w:pPr>
              <w:spacing w:after="0"/>
              <w:rPr>
                <w:sz w:val="20"/>
                <w:szCs w:val="20"/>
                <w:color w:val="auto"/>
              </w:rPr>
            </w:pPr>
            <w:r>
              <w:rPr>
                <w:rFonts w:ascii="Arial" w:cs="Arial" w:eastAsia="Arial" w:hAnsi="Arial"/>
                <w:sz w:val="7"/>
                <w:szCs w:val="7"/>
                <w:color w:val="auto"/>
              </w:rPr>
              <w:t>Eleventh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Midtown West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159,720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95,000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595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Apr-22</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1080 Amsterdam</w:t>
            </w:r>
          </w:p>
        </w:tc>
        <w:tc>
          <w:tcPr>
            <w:tcW w:w="600" w:type="dxa"/>
            <w:vAlign w:val="bottom"/>
            <w:gridSpan w:val="2"/>
          </w:tcPr>
          <w:p>
            <w:pPr>
              <w:spacing w:after="0"/>
              <w:rPr>
                <w:sz w:val="20"/>
                <w:szCs w:val="20"/>
                <w:color w:val="auto"/>
              </w:rPr>
            </w:pPr>
            <w:r>
              <w:rPr>
                <w:rFonts w:ascii="Arial" w:cs="Arial" w:eastAsia="Arial" w:hAnsi="Arial"/>
                <w:sz w:val="7"/>
                <w:szCs w:val="7"/>
                <w:color w:val="auto"/>
              </w:rPr>
              <w:t>Residential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Upper West Side</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92.5</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82,250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42,650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519</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May-22</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1591-1597 Broadway</w:t>
            </w:r>
          </w:p>
        </w:tc>
        <w:tc>
          <w:tcPr>
            <w:tcW w:w="600" w:type="dxa"/>
            <w:vAlign w:val="bottom"/>
            <w:gridSpan w:val="2"/>
          </w:tcPr>
          <w:p>
            <w:pPr>
              <w:spacing w:after="0"/>
              <w:rPr>
                <w:sz w:val="20"/>
                <w:szCs w:val="20"/>
                <w:color w:val="auto"/>
              </w:rPr>
            </w:pPr>
            <w:r>
              <w:rPr>
                <w:rFonts w:ascii="Arial" w:cs="Arial" w:eastAsia="Arial" w:hAnsi="Arial"/>
                <w:sz w:val="7"/>
                <w:szCs w:val="7"/>
                <w:color w:val="auto"/>
              </w:rPr>
              <w:t>Land</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Times Square</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7,684</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121,000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15,747</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Jun-22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609</w:t>
            </w:r>
          </w:p>
        </w:tc>
        <w:tc>
          <w:tcPr>
            <w:tcW w:w="11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Rockefeller Center</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138,563</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100,500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725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Dec-22</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885</w:t>
            </w:r>
          </w:p>
        </w:tc>
        <w:tc>
          <w:tcPr>
            <w:tcW w:w="1180" w:type="dxa"/>
            <w:vAlign w:val="bottom"/>
            <w:gridSpan w:val="2"/>
          </w:tcPr>
          <w:p>
            <w:pPr>
              <w:spacing w:after="0"/>
              <w:rPr>
                <w:sz w:val="20"/>
                <w:szCs w:val="20"/>
                <w:color w:val="auto"/>
              </w:rPr>
            </w:pPr>
            <w:r>
              <w:rPr>
                <w:rFonts w:ascii="Arial" w:cs="Arial" w:eastAsia="Arial" w:hAnsi="Arial"/>
                <w:sz w:val="7"/>
                <w:szCs w:val="7"/>
                <w:color w:val="auto"/>
              </w:rPr>
              <w:t>Third Avenue - Condominium</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Midtown / Plaza District</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 Leasehold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414,317</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300,400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725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8"/>
              </w:rPr>
              <w:t>Feb-23</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121</w:t>
            </w:r>
          </w:p>
        </w:tc>
        <w:tc>
          <w:tcPr>
            <w:tcW w:w="1180" w:type="dxa"/>
            <w:vAlign w:val="bottom"/>
            <w:gridSpan w:val="2"/>
          </w:tcPr>
          <w:p>
            <w:pPr>
              <w:spacing w:after="0"/>
              <w:rPr>
                <w:sz w:val="20"/>
                <w:szCs w:val="20"/>
                <w:color w:val="auto"/>
              </w:rPr>
            </w:pPr>
            <w:r>
              <w:rPr>
                <w:rFonts w:ascii="Arial" w:cs="Arial" w:eastAsia="Arial" w:hAnsi="Arial"/>
                <w:sz w:val="7"/>
                <w:szCs w:val="7"/>
                <w:color w:val="auto"/>
              </w:rPr>
              <w:t>Greene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Soho</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50.0</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7,131</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14,000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1,963</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7"/>
              </w:rPr>
              <w:t>Dec-23</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21 East 66th Street</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32.3</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13,069</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40,575</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3,105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Jan-24</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717</w:t>
            </w:r>
          </w:p>
        </w:tc>
        <w:tc>
          <w:tcPr>
            <w:tcW w:w="11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Midtown / Plaza District</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10.9</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119,550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963,000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8,055</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May-24</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625</w:t>
            </w:r>
          </w:p>
        </w:tc>
        <w:tc>
          <w:tcPr>
            <w:tcW w:w="1180" w:type="dxa"/>
            <w:vAlign w:val="bottom"/>
            <w:gridSpan w:val="2"/>
          </w:tcPr>
          <w:p>
            <w:pPr>
              <w:spacing w:after="0"/>
              <w:rPr>
                <w:sz w:val="20"/>
                <w:szCs w:val="20"/>
                <w:color w:val="auto"/>
              </w:rPr>
            </w:pPr>
            <w:r>
              <w:rPr>
                <w:rFonts w:ascii="Arial" w:cs="Arial" w:eastAsia="Arial" w:hAnsi="Arial"/>
                <w:sz w:val="7"/>
                <w:szCs w:val="7"/>
                <w:color w:val="auto"/>
              </w:rPr>
              <w:t>Madison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90.4</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563,000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634,600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1,127</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3"/>
              </w:rPr>
              <w:t>Jun-24</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719</w:t>
            </w:r>
          </w:p>
        </w:tc>
        <w:tc>
          <w:tcPr>
            <w:tcW w:w="1180" w:type="dxa"/>
            <w:vAlign w:val="bottom"/>
            <w:gridSpan w:val="2"/>
          </w:tcPr>
          <w:p>
            <w:pPr>
              <w:spacing w:after="0"/>
              <w:rPr>
                <w:sz w:val="20"/>
                <w:szCs w:val="20"/>
                <w:color w:val="auto"/>
              </w:rPr>
            </w:pPr>
            <w:r>
              <w:rPr>
                <w:rFonts w:ascii="Arial" w:cs="Arial" w:eastAsia="Arial" w:hAnsi="Arial"/>
                <w:sz w:val="7"/>
                <w:szCs w:val="7"/>
                <w:color w:val="auto"/>
              </w:rPr>
              <w:t>Seventh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Times Square</w:t>
            </w:r>
          </w:p>
        </w:tc>
        <w:tc>
          <w:tcPr>
            <w:tcW w:w="660" w:type="dxa"/>
            <w:vAlign w:val="bottom"/>
            <w:gridSpan w:val="3"/>
          </w:tcPr>
          <w:p>
            <w:pPr>
              <w:jc w:val="center"/>
              <w:ind w:right="200"/>
              <w:spacing w:after="0"/>
              <w:rPr>
                <w:sz w:val="20"/>
                <w:szCs w:val="20"/>
                <w:color w:val="auto"/>
              </w:rPr>
            </w:pPr>
            <w:r>
              <w:rPr>
                <w:rFonts w:ascii="Arial" w:cs="Arial" w:eastAsia="Arial" w:hAnsi="Arial"/>
                <w:sz w:val="7"/>
                <w:szCs w:val="7"/>
                <w:color w:val="auto"/>
              </w:rPr>
              <w:t>100.0</w:t>
            </w: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10,040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30,500</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3,038</w:t>
            </w:r>
          </w:p>
        </w:tc>
        <w:tc>
          <w:tcPr>
            <w:tcW w:w="0" w:type="dxa"/>
            <w:vAlign w:val="bottom"/>
          </w:tcPr>
          <w:p>
            <w:pPr>
              <w:spacing w:after="0"/>
              <w:rPr>
                <w:sz w:val="1"/>
                <w:szCs w:val="1"/>
                <w:color w:val="auto"/>
              </w:rPr>
            </w:pPr>
          </w:p>
        </w:tc>
      </w:tr>
      <w:tr>
        <w:trPr>
          <w:trHeight w:val="108"/>
        </w:trPr>
        <w:tc>
          <w:tcPr>
            <w:tcW w:w="780" w:type="dxa"/>
            <w:vAlign w:val="bottom"/>
          </w:tcPr>
          <w:p>
            <w:pPr>
              <w:jc w:val="center"/>
              <w:spacing w:after="0"/>
              <w:rPr>
                <w:sz w:val="20"/>
                <w:szCs w:val="20"/>
                <w:color w:val="auto"/>
              </w:rPr>
            </w:pPr>
            <w:r>
              <w:rPr>
                <w:rFonts w:ascii="Arial" w:cs="Arial" w:eastAsia="Arial" w:hAnsi="Arial"/>
                <w:sz w:val="7"/>
                <w:szCs w:val="7"/>
                <w:color w:val="auto"/>
                <w:w w:val="94"/>
              </w:rPr>
              <w:t>Oct-24</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5 Times Square</w:t>
            </w:r>
          </w:p>
        </w:tc>
        <w:tc>
          <w:tcPr>
            <w:tcW w:w="600" w:type="dxa"/>
            <w:vAlign w:val="bottom"/>
            <w:gridSpan w:val="2"/>
          </w:tcPr>
          <w:p>
            <w:pPr>
              <w:spacing w:after="0"/>
              <w:rPr>
                <w:sz w:val="20"/>
                <w:szCs w:val="20"/>
                <w:color w:val="auto"/>
              </w:rPr>
            </w:pPr>
            <w:r>
              <w:rPr>
                <w:rFonts w:ascii="Arial" w:cs="Arial" w:eastAsia="Arial" w:hAnsi="Arial"/>
                <w:sz w:val="7"/>
                <w:szCs w:val="7"/>
                <w:color w:val="auto"/>
              </w:rPr>
              <w:t>Redevelopment</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Times Square</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31.6</w:t>
            </w:r>
          </w:p>
        </w:tc>
        <w:tc>
          <w:tcPr>
            <w:tcW w:w="36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60" w:type="dxa"/>
            <w:vAlign w:val="bottom"/>
            <w:gridSpan w:val="3"/>
          </w:tcPr>
          <w:p>
            <w:pPr>
              <w:jc w:val="right"/>
              <w:ind w:right="40"/>
              <w:spacing w:after="0"/>
              <w:rPr>
                <w:sz w:val="20"/>
                <w:szCs w:val="20"/>
                <w:color w:val="auto"/>
              </w:rPr>
            </w:pPr>
            <w:r>
              <w:rPr>
                <w:rFonts w:ascii="Arial" w:cs="Arial" w:eastAsia="Arial" w:hAnsi="Arial"/>
                <w:sz w:val="7"/>
                <w:szCs w:val="7"/>
                <w:color w:val="auto"/>
              </w:rPr>
              <w:t>1,127,931</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right"/>
              <w:ind w:right="27"/>
              <w:spacing w:after="0"/>
              <w:rPr>
                <w:sz w:val="20"/>
                <w:szCs w:val="20"/>
                <w:color w:val="auto"/>
              </w:rPr>
            </w:pPr>
            <w:r>
              <w:rPr>
                <w:rFonts w:ascii="Arial" w:cs="Arial" w:eastAsia="Arial" w:hAnsi="Arial"/>
                <w:sz w:val="7"/>
                <w:szCs w:val="7"/>
                <w:color w:val="auto"/>
              </w:rPr>
              <w:t>1,165,586</w:t>
            </w: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7"/>
                <w:szCs w:val="7"/>
                <w:color w:val="auto"/>
              </w:rPr>
              <w:t>1,033</w:t>
            </w:r>
          </w:p>
        </w:tc>
        <w:tc>
          <w:tcPr>
            <w:tcW w:w="0" w:type="dxa"/>
            <w:vAlign w:val="bottom"/>
          </w:tcPr>
          <w:p>
            <w:pPr>
              <w:spacing w:after="0"/>
              <w:rPr>
                <w:sz w:val="1"/>
                <w:szCs w:val="1"/>
                <w:color w:val="auto"/>
              </w:rPr>
            </w:pPr>
          </w:p>
        </w:tc>
      </w:tr>
      <w:tr>
        <w:trPr>
          <w:trHeight w:val="118"/>
        </w:trPr>
        <w:tc>
          <w:tcPr>
            <w:tcW w:w="780" w:type="dxa"/>
            <w:vAlign w:val="bottom"/>
          </w:tcPr>
          <w:p>
            <w:pPr>
              <w:jc w:val="center"/>
              <w:spacing w:after="0"/>
              <w:rPr>
                <w:sz w:val="20"/>
                <w:szCs w:val="20"/>
                <w:color w:val="auto"/>
              </w:rPr>
            </w:pPr>
            <w:r>
              <w:rPr>
                <w:rFonts w:ascii="Arial" w:cs="Arial" w:eastAsia="Arial" w:hAnsi="Arial"/>
                <w:sz w:val="7"/>
                <w:szCs w:val="7"/>
                <w:color w:val="auto"/>
                <w:w w:val="94"/>
              </w:rPr>
              <w:t>Apr-25</w:t>
            </w:r>
          </w:p>
        </w:tc>
        <w:tc>
          <w:tcPr>
            <w:tcW w:w="1320" w:type="dxa"/>
            <w:vAlign w:val="bottom"/>
            <w:gridSpan w:val="4"/>
          </w:tcPr>
          <w:p>
            <w:pPr>
              <w:ind w:left="20"/>
              <w:spacing w:after="0"/>
              <w:rPr>
                <w:sz w:val="20"/>
                <w:szCs w:val="20"/>
                <w:color w:val="auto"/>
              </w:rPr>
            </w:pPr>
            <w:r>
              <w:rPr>
                <w:rFonts w:ascii="Arial" w:cs="Arial" w:eastAsia="Arial" w:hAnsi="Arial"/>
                <w:sz w:val="7"/>
                <w:szCs w:val="7"/>
                <w:color w:val="auto"/>
              </w:rPr>
              <w:t>85 Fifth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Midtown South</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36.3</w:t>
            </w:r>
          </w:p>
        </w:tc>
        <w:tc>
          <w:tcPr>
            <w:tcW w:w="360" w:type="dxa"/>
            <w:vAlign w:val="bottom"/>
          </w:tcPr>
          <w:p>
            <w:pPr>
              <w:spacing w:after="0"/>
              <w:rPr>
                <w:sz w:val="10"/>
                <w:szCs w:val="10"/>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12,946</w:t>
            </w:r>
          </w:p>
        </w:tc>
        <w:tc>
          <w:tcPr>
            <w:tcW w:w="1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7"/>
                <w:szCs w:val="7"/>
                <w:color w:val="auto"/>
              </w:rPr>
              <w:t>46,800</w:t>
            </w:r>
          </w:p>
        </w:tc>
        <w:tc>
          <w:tcPr>
            <w:tcW w:w="6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7"/>
                <w:szCs w:val="7"/>
                <w:color w:val="auto"/>
              </w:rPr>
              <w:t>3,615</w:t>
            </w:r>
          </w:p>
        </w:tc>
        <w:tc>
          <w:tcPr>
            <w:tcW w:w="0" w:type="dxa"/>
            <w:vAlign w:val="bottom"/>
          </w:tcPr>
          <w:p>
            <w:pPr>
              <w:spacing w:after="0"/>
              <w:rPr>
                <w:sz w:val="1"/>
                <w:szCs w:val="1"/>
                <w:color w:val="auto"/>
              </w:rPr>
            </w:pPr>
          </w:p>
        </w:tc>
      </w:tr>
      <w:tr>
        <w:trPr>
          <w:trHeight w:val="92"/>
        </w:trPr>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13,972,167</w:t>
            </w:r>
          </w:p>
        </w:tc>
        <w:tc>
          <w:tcPr>
            <w:tcW w:w="180" w:type="dxa"/>
            <w:vAlign w:val="bottom"/>
          </w:tcPr>
          <w:p>
            <w:pPr>
              <w:spacing w:after="0"/>
              <w:rPr>
                <w:sz w:val="8"/>
                <w:szCs w:val="8"/>
                <w:color w:val="auto"/>
              </w:rPr>
            </w:pPr>
          </w:p>
        </w:tc>
        <w:tc>
          <w:tcPr>
            <w:tcW w:w="240" w:type="dxa"/>
            <w:vAlign w:val="bottom"/>
          </w:tcPr>
          <w:p>
            <w:pPr>
              <w:jc w:val="right"/>
              <w:ind w:right="173"/>
              <w:spacing w:after="0"/>
              <w:rPr>
                <w:sz w:val="20"/>
                <w:szCs w:val="20"/>
                <w:color w:val="auto"/>
              </w:rPr>
            </w:pPr>
            <w:r>
              <w:rPr>
                <w:rFonts w:ascii="Arial" w:cs="Arial" w:eastAsia="Arial" w:hAnsi="Arial"/>
                <w:sz w:val="5"/>
                <w:szCs w:val="5"/>
                <w:b w:val="1"/>
                <w:bCs w:val="1"/>
                <w:color w:val="auto"/>
                <w:w w:val="70"/>
              </w:rPr>
              <w:t>$</w:t>
            </w:r>
          </w:p>
        </w:tc>
        <w:tc>
          <w:tcPr>
            <w:tcW w:w="780" w:type="dxa"/>
            <w:vAlign w:val="bottom"/>
            <w:gridSpan w:val="3"/>
          </w:tcPr>
          <w:p>
            <w:pPr>
              <w:jc w:val="right"/>
              <w:ind w:right="27"/>
              <w:spacing w:after="0"/>
              <w:rPr>
                <w:sz w:val="20"/>
                <w:szCs w:val="20"/>
                <w:color w:val="auto"/>
              </w:rPr>
            </w:pPr>
            <w:r>
              <w:rPr>
                <w:rFonts w:ascii="Arial" w:cs="Arial" w:eastAsia="Arial" w:hAnsi="Arial"/>
                <w:sz w:val="7"/>
                <w:szCs w:val="7"/>
                <w:b w:val="1"/>
                <w:bCs w:val="1"/>
                <w:color w:val="auto"/>
              </w:rPr>
              <w:t>12,761,784</w:t>
            </w:r>
          </w:p>
        </w:tc>
        <w:tc>
          <w:tcPr>
            <w:tcW w:w="600" w:type="dxa"/>
            <w:vAlign w:val="bottom"/>
          </w:tcPr>
          <w:p>
            <w:pPr>
              <w:spacing w:after="0"/>
              <w:rPr>
                <w:sz w:val="8"/>
                <w:szCs w:val="8"/>
                <w:color w:val="auto"/>
              </w:rPr>
            </w:pPr>
          </w:p>
        </w:tc>
        <w:tc>
          <w:tcPr>
            <w:tcW w:w="380" w:type="dxa"/>
            <w:vAlign w:val="bottom"/>
          </w:tcPr>
          <w:p>
            <w:pPr>
              <w:jc w:val="right"/>
              <w:ind w:right="313"/>
              <w:spacing w:after="0"/>
              <w:rPr>
                <w:sz w:val="20"/>
                <w:szCs w:val="20"/>
                <w:color w:val="auto"/>
              </w:rPr>
            </w:pPr>
            <w:r>
              <w:rPr>
                <w:rFonts w:ascii="Arial" w:cs="Arial" w:eastAsia="Arial" w:hAnsi="Arial"/>
                <w:sz w:val="5"/>
                <w:szCs w:val="5"/>
                <w:b w:val="1"/>
                <w:bCs w:val="1"/>
                <w:color w:val="auto"/>
                <w:w w:val="70"/>
              </w:rPr>
              <w:t>$</w:t>
            </w:r>
          </w:p>
        </w:tc>
        <w:tc>
          <w:tcPr>
            <w:tcW w:w="620" w:type="dxa"/>
            <w:vAlign w:val="bottom"/>
            <w:gridSpan w:val="2"/>
          </w:tcPr>
          <w:p>
            <w:pPr>
              <w:jc w:val="right"/>
              <w:ind w:right="7"/>
              <w:spacing w:after="0"/>
              <w:rPr>
                <w:sz w:val="20"/>
                <w:szCs w:val="20"/>
                <w:color w:val="auto"/>
              </w:rPr>
            </w:pPr>
            <w:r>
              <w:rPr>
                <w:rFonts w:ascii="Arial" w:cs="Arial" w:eastAsia="Arial" w:hAnsi="Arial"/>
                <w:sz w:val="7"/>
                <w:szCs w:val="7"/>
                <w:b w:val="1"/>
                <w:bCs w:val="1"/>
                <w:color w:val="auto"/>
              </w:rPr>
              <w:t>913</w:t>
            </w:r>
          </w:p>
        </w:tc>
        <w:tc>
          <w:tcPr>
            <w:tcW w:w="0" w:type="dxa"/>
            <w:vAlign w:val="bottom"/>
          </w:tcPr>
          <w:p>
            <w:pPr>
              <w:spacing w:after="0"/>
              <w:rPr>
                <w:sz w:val="1"/>
                <w:szCs w:val="1"/>
                <w:color w:val="auto"/>
              </w:rPr>
            </w:pPr>
          </w:p>
        </w:tc>
      </w:tr>
      <w:tr>
        <w:trPr>
          <w:trHeight w:val="116"/>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2026 Dispositions</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80" w:type="dxa"/>
            <w:vAlign w:val="bottom"/>
          </w:tcPr>
          <w:p>
            <w:pPr>
              <w:jc w:val="center"/>
              <w:spacing w:after="0"/>
              <w:rPr>
                <w:sz w:val="20"/>
                <w:szCs w:val="20"/>
                <w:color w:val="auto"/>
              </w:rPr>
            </w:pPr>
            <w:r>
              <w:rPr>
                <w:rFonts w:ascii="Arial" w:cs="Arial" w:eastAsia="Arial" w:hAnsi="Arial"/>
                <w:sz w:val="7"/>
                <w:szCs w:val="7"/>
                <w:color w:val="auto"/>
                <w:w w:val="98"/>
              </w:rPr>
              <w:t>Feb-26</w:t>
            </w:r>
          </w:p>
        </w:tc>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690</w:t>
            </w:r>
          </w:p>
        </w:tc>
        <w:tc>
          <w:tcPr>
            <w:tcW w:w="1180" w:type="dxa"/>
            <w:vAlign w:val="bottom"/>
            <w:gridSpan w:val="2"/>
          </w:tcPr>
          <w:p>
            <w:pPr>
              <w:spacing w:after="0"/>
              <w:rPr>
                <w:sz w:val="20"/>
                <w:szCs w:val="20"/>
                <w:color w:val="auto"/>
              </w:rPr>
            </w:pPr>
            <w:r>
              <w:rPr>
                <w:rFonts w:ascii="Arial" w:cs="Arial" w:eastAsia="Arial" w:hAnsi="Arial"/>
                <w:sz w:val="7"/>
                <w:szCs w:val="7"/>
                <w:color w:val="auto"/>
              </w:rPr>
              <w:t>Madison Avenue</w:t>
            </w:r>
          </w:p>
        </w:tc>
        <w:tc>
          <w:tcPr>
            <w:tcW w:w="600" w:type="dxa"/>
            <w:vAlign w:val="bottom"/>
            <w:gridSpan w:val="2"/>
          </w:tcPr>
          <w:p>
            <w:pPr>
              <w:spacing w:after="0"/>
              <w:rPr>
                <w:sz w:val="20"/>
                <w:szCs w:val="20"/>
                <w:color w:val="auto"/>
              </w:rPr>
            </w:pPr>
            <w:r>
              <w:rPr>
                <w:rFonts w:ascii="Arial" w:cs="Arial" w:eastAsia="Arial" w:hAnsi="Arial"/>
                <w:sz w:val="7"/>
                <w:szCs w:val="7"/>
                <w:color w:val="auto"/>
              </w:rPr>
              <w:t>Retail</w:t>
            </w:r>
          </w:p>
        </w:tc>
        <w:tc>
          <w:tcPr>
            <w:tcW w:w="1000" w:type="dxa"/>
            <w:vAlign w:val="bottom"/>
            <w:gridSpan w:val="3"/>
          </w:tcPr>
          <w:p>
            <w:pPr>
              <w:ind w:left="60"/>
              <w:spacing w:after="0"/>
              <w:rPr>
                <w:sz w:val="20"/>
                <w:szCs w:val="20"/>
                <w:color w:val="auto"/>
              </w:rPr>
            </w:pPr>
            <w:r>
              <w:rPr>
                <w:rFonts w:ascii="Arial" w:cs="Arial" w:eastAsia="Arial" w:hAnsi="Arial"/>
                <w:sz w:val="7"/>
                <w:szCs w:val="7"/>
                <w:color w:val="auto"/>
              </w:rPr>
              <w:t>Plaza District</w:t>
            </w:r>
          </w:p>
        </w:tc>
        <w:tc>
          <w:tcPr>
            <w:tcW w:w="300" w:type="dxa"/>
            <w:vAlign w:val="bottom"/>
            <w:gridSpan w:val="2"/>
          </w:tcPr>
          <w:p>
            <w:pPr>
              <w:jc w:val="center"/>
              <w:ind w:left="127"/>
              <w:spacing w:after="0"/>
              <w:rPr>
                <w:sz w:val="20"/>
                <w:szCs w:val="20"/>
                <w:color w:val="auto"/>
              </w:rPr>
            </w:pPr>
            <w:r>
              <w:rPr>
                <w:rFonts w:ascii="Arial" w:cs="Arial" w:eastAsia="Arial" w:hAnsi="Arial"/>
                <w:sz w:val="7"/>
                <w:szCs w:val="7"/>
                <w:color w:val="auto"/>
              </w:rPr>
              <w:t>90.0</w:t>
            </w:r>
          </w:p>
        </w:tc>
        <w:tc>
          <w:tcPr>
            <w:tcW w:w="360" w:type="dxa"/>
            <w:vAlign w:val="bottom"/>
          </w:tcPr>
          <w:p>
            <w:pPr>
              <w:spacing w:after="0"/>
              <w:rPr>
                <w:sz w:val="8"/>
                <w:szCs w:val="8"/>
                <w:color w:val="auto"/>
              </w:rPr>
            </w:pPr>
          </w:p>
        </w:tc>
        <w:tc>
          <w:tcPr>
            <w:tcW w:w="126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7,848</w:t>
            </w:r>
          </w:p>
        </w:tc>
        <w:tc>
          <w:tcPr>
            <w:tcW w:w="180" w:type="dxa"/>
            <w:vAlign w:val="bottom"/>
          </w:tcPr>
          <w:p>
            <w:pPr>
              <w:spacing w:after="0"/>
              <w:rPr>
                <w:sz w:val="8"/>
                <w:szCs w:val="8"/>
                <w:color w:val="auto"/>
              </w:rPr>
            </w:pPr>
          </w:p>
        </w:tc>
        <w:tc>
          <w:tcPr>
            <w:tcW w:w="240" w:type="dxa"/>
            <w:vAlign w:val="bottom"/>
            <w:tcBorders>
              <w:bottom w:val="single" w:sz="8" w:color="auto"/>
            </w:tcBorders>
          </w:tcPr>
          <w:p>
            <w:pPr>
              <w:jc w:val="right"/>
              <w:ind w:right="17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7"/>
                <w:szCs w:val="7"/>
                <w:color w:val="auto"/>
              </w:rPr>
              <w:t>54,500</w:t>
            </w:r>
          </w:p>
        </w:tc>
        <w:tc>
          <w:tcPr>
            <w:tcW w:w="600" w:type="dxa"/>
            <w:vAlign w:val="bottom"/>
          </w:tcPr>
          <w:p>
            <w:pPr>
              <w:spacing w:after="0"/>
              <w:rPr>
                <w:sz w:val="8"/>
                <w:szCs w:val="8"/>
                <w:color w:val="auto"/>
              </w:rPr>
            </w:pPr>
          </w:p>
        </w:tc>
        <w:tc>
          <w:tcPr>
            <w:tcW w:w="380" w:type="dxa"/>
            <w:vAlign w:val="bottom"/>
            <w:tcBorders>
              <w:bottom w:val="single" w:sz="8" w:color="auto"/>
            </w:tcBorders>
          </w:tcPr>
          <w:p>
            <w:pPr>
              <w:jc w:val="right"/>
              <w:ind w:right="313"/>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7"/>
                <w:szCs w:val="7"/>
                <w:color w:val="auto"/>
              </w:rPr>
              <w:t>6,944</w:t>
            </w:r>
          </w:p>
        </w:tc>
        <w:tc>
          <w:tcPr>
            <w:tcW w:w="0" w:type="dxa"/>
            <w:vAlign w:val="bottom"/>
          </w:tcPr>
          <w:p>
            <w:pPr>
              <w:spacing w:after="0"/>
              <w:rPr>
                <w:sz w:val="1"/>
                <w:szCs w:val="1"/>
                <w:color w:val="auto"/>
              </w:rPr>
            </w:pPr>
          </w:p>
        </w:tc>
      </w:tr>
      <w:tr>
        <w:trPr>
          <w:trHeight w:val="92"/>
        </w:trPr>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7,848</w:t>
            </w:r>
          </w:p>
        </w:tc>
        <w:tc>
          <w:tcPr>
            <w:tcW w:w="180" w:type="dxa"/>
            <w:vAlign w:val="bottom"/>
          </w:tcPr>
          <w:p>
            <w:pPr>
              <w:spacing w:after="0"/>
              <w:rPr>
                <w:sz w:val="8"/>
                <w:szCs w:val="8"/>
                <w:color w:val="auto"/>
              </w:rPr>
            </w:pPr>
          </w:p>
        </w:tc>
        <w:tc>
          <w:tcPr>
            <w:tcW w:w="240" w:type="dxa"/>
            <w:vAlign w:val="bottom"/>
          </w:tcPr>
          <w:p>
            <w:pPr>
              <w:jc w:val="right"/>
              <w:ind w:right="173"/>
              <w:spacing w:after="0"/>
              <w:rPr>
                <w:sz w:val="20"/>
                <w:szCs w:val="20"/>
                <w:color w:val="auto"/>
              </w:rPr>
            </w:pPr>
            <w:r>
              <w:rPr>
                <w:rFonts w:ascii="Arial" w:cs="Arial" w:eastAsia="Arial" w:hAnsi="Arial"/>
                <w:sz w:val="5"/>
                <w:szCs w:val="5"/>
                <w:b w:val="1"/>
                <w:bCs w:val="1"/>
                <w:color w:val="auto"/>
                <w:w w:val="70"/>
              </w:rPr>
              <w:t>$</w:t>
            </w:r>
          </w:p>
        </w:tc>
        <w:tc>
          <w:tcPr>
            <w:tcW w:w="780" w:type="dxa"/>
            <w:vAlign w:val="bottom"/>
            <w:gridSpan w:val="3"/>
          </w:tcPr>
          <w:p>
            <w:pPr>
              <w:jc w:val="right"/>
              <w:ind w:right="27"/>
              <w:spacing w:after="0"/>
              <w:rPr>
                <w:sz w:val="20"/>
                <w:szCs w:val="20"/>
                <w:color w:val="auto"/>
              </w:rPr>
            </w:pPr>
            <w:r>
              <w:rPr>
                <w:rFonts w:ascii="Arial" w:cs="Arial" w:eastAsia="Arial" w:hAnsi="Arial"/>
                <w:sz w:val="7"/>
                <w:szCs w:val="7"/>
                <w:b w:val="1"/>
                <w:bCs w:val="1"/>
                <w:color w:val="auto"/>
              </w:rPr>
              <w:t>54,500</w:t>
            </w:r>
          </w:p>
        </w:tc>
        <w:tc>
          <w:tcPr>
            <w:tcW w:w="600" w:type="dxa"/>
            <w:vAlign w:val="bottom"/>
          </w:tcPr>
          <w:p>
            <w:pPr>
              <w:spacing w:after="0"/>
              <w:rPr>
                <w:sz w:val="8"/>
                <w:szCs w:val="8"/>
                <w:color w:val="auto"/>
              </w:rPr>
            </w:pPr>
          </w:p>
        </w:tc>
        <w:tc>
          <w:tcPr>
            <w:tcW w:w="380" w:type="dxa"/>
            <w:vAlign w:val="bottom"/>
          </w:tcPr>
          <w:p>
            <w:pPr>
              <w:jc w:val="right"/>
              <w:ind w:right="313"/>
              <w:spacing w:after="0"/>
              <w:rPr>
                <w:sz w:val="20"/>
                <w:szCs w:val="20"/>
                <w:color w:val="auto"/>
              </w:rPr>
            </w:pPr>
            <w:r>
              <w:rPr>
                <w:rFonts w:ascii="Arial" w:cs="Arial" w:eastAsia="Arial" w:hAnsi="Arial"/>
                <w:sz w:val="5"/>
                <w:szCs w:val="5"/>
                <w:b w:val="1"/>
                <w:bCs w:val="1"/>
                <w:color w:val="auto"/>
                <w:w w:val="70"/>
              </w:rPr>
              <w:t>$</w:t>
            </w:r>
          </w:p>
        </w:tc>
        <w:tc>
          <w:tcPr>
            <w:tcW w:w="620" w:type="dxa"/>
            <w:vAlign w:val="bottom"/>
            <w:gridSpan w:val="2"/>
          </w:tcPr>
          <w:p>
            <w:pPr>
              <w:jc w:val="right"/>
              <w:ind w:right="7"/>
              <w:spacing w:after="0"/>
              <w:rPr>
                <w:sz w:val="20"/>
                <w:szCs w:val="20"/>
                <w:color w:val="auto"/>
              </w:rPr>
            </w:pPr>
            <w:r>
              <w:rPr>
                <w:rFonts w:ascii="Arial" w:cs="Arial" w:eastAsia="Arial" w:hAnsi="Arial"/>
                <w:sz w:val="7"/>
                <w:szCs w:val="7"/>
                <w:b w:val="1"/>
                <w:bCs w:val="1"/>
                <w:color w:val="auto"/>
              </w:rPr>
              <w:t>6,944</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45</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7" w:right="141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SUMMARY OF REAL ESTATE ACQUISITION/DISPOSITION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77659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-17780</wp:posOffset>
            </wp:positionV>
            <wp:extent cx="1136650" cy="3244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3"/>
          <w:szCs w:val="13"/>
          <w:b w:val="1"/>
          <w:bCs w:val="1"/>
          <w:color w:val="auto"/>
        </w:rPr>
        <w:t>Suburban</w:t>
      </w:r>
    </w:p>
    <w:p>
      <w:pPr>
        <w:spacing w:after="0" w:line="227"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77659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577659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76595" cy="635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94"/>
        </w:trPr>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92"/>
              </w:rPr>
              <w:t>Gross Asset</w:t>
            </w: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8"/>
          </w:tcPr>
          <w:p>
            <w:pPr>
              <w:ind w:left="380"/>
              <w:spacing w:after="0"/>
              <w:rPr>
                <w:sz w:val="20"/>
                <w:szCs w:val="20"/>
                <w:color w:val="auto"/>
              </w:rPr>
            </w:pPr>
            <w:r>
              <w:rPr>
                <w:rFonts w:ascii="Arial" w:cs="Arial" w:eastAsia="Arial" w:hAnsi="Arial"/>
                <w:sz w:val="7"/>
                <w:szCs w:val="7"/>
                <w:b w:val="1"/>
                <w:bCs w:val="1"/>
                <w:color w:val="auto"/>
              </w:rPr>
              <w:t>Occupancy (%)</w:t>
            </w:r>
          </w:p>
        </w:tc>
      </w:tr>
      <w:tr>
        <w:trPr>
          <w:trHeight w:val="79"/>
        </w:trPr>
        <w:tc>
          <w:tcPr>
            <w:tcW w:w="840" w:type="dxa"/>
            <w:vAlign w:val="bottom"/>
          </w:tcPr>
          <w:p>
            <w:pPr>
              <w:spacing w:after="0"/>
              <w:rPr>
                <w:sz w:val="6"/>
                <w:szCs w:val="6"/>
                <w:color w:val="auto"/>
              </w:rPr>
            </w:pPr>
          </w:p>
        </w:tc>
        <w:tc>
          <w:tcPr>
            <w:tcW w:w="1460" w:type="dxa"/>
            <w:vAlign w:val="bottom"/>
            <w:gridSpan w:val="3"/>
          </w:tcPr>
          <w:p>
            <w:pPr>
              <w:spacing w:after="0" w:line="79" w:lineRule="exact"/>
              <w:rPr>
                <w:sz w:val="20"/>
                <w:szCs w:val="20"/>
                <w:color w:val="auto"/>
              </w:rPr>
            </w:pPr>
            <w:r>
              <w:rPr>
                <w:rFonts w:ascii="Arial" w:cs="Arial" w:eastAsia="Arial" w:hAnsi="Arial"/>
                <w:sz w:val="7"/>
                <w:szCs w:val="7"/>
                <w:b w:val="1"/>
                <w:bCs w:val="1"/>
                <w:color w:val="auto"/>
              </w:rPr>
              <w:t>Property</w:t>
            </w:r>
          </w:p>
        </w:tc>
        <w:tc>
          <w:tcPr>
            <w:tcW w:w="1120" w:type="dxa"/>
            <w:vAlign w:val="bottom"/>
            <w:gridSpan w:val="2"/>
          </w:tcPr>
          <w:p>
            <w:pPr>
              <w:spacing w:after="0" w:line="79" w:lineRule="exact"/>
              <w:rPr>
                <w:sz w:val="20"/>
                <w:szCs w:val="20"/>
                <w:color w:val="auto"/>
              </w:rPr>
            </w:pPr>
            <w:r>
              <w:rPr>
                <w:rFonts w:ascii="Arial" w:cs="Arial" w:eastAsia="Arial" w:hAnsi="Arial"/>
                <w:sz w:val="7"/>
                <w:szCs w:val="7"/>
                <w:b w:val="1"/>
                <w:bCs w:val="1"/>
                <w:color w:val="auto"/>
              </w:rPr>
              <w:t>Submarket</w:t>
            </w:r>
          </w:p>
        </w:tc>
        <w:tc>
          <w:tcPr>
            <w:tcW w:w="880" w:type="dxa"/>
            <w:vAlign w:val="bottom"/>
            <w:gridSpan w:val="4"/>
          </w:tcPr>
          <w:p>
            <w:pPr>
              <w:jc w:val="center"/>
              <w:ind w:right="340"/>
              <w:spacing w:after="0" w:line="79" w:lineRule="exact"/>
              <w:rPr>
                <w:sz w:val="20"/>
                <w:szCs w:val="20"/>
                <w:color w:val="auto"/>
              </w:rPr>
            </w:pPr>
            <w:r>
              <w:rPr>
                <w:rFonts w:ascii="Arial" w:cs="Arial" w:eastAsia="Arial" w:hAnsi="Arial"/>
                <w:sz w:val="7"/>
                <w:szCs w:val="7"/>
                <w:b w:val="1"/>
                <w:bCs w:val="1"/>
                <w:color w:val="auto"/>
                <w:w w:val="93"/>
              </w:rPr>
              <w:t>Interest Acquired</w:t>
            </w:r>
          </w:p>
        </w:tc>
        <w:tc>
          <w:tcPr>
            <w:tcW w:w="1280" w:type="dxa"/>
            <w:vAlign w:val="bottom"/>
            <w:gridSpan w:val="2"/>
          </w:tcPr>
          <w:p>
            <w:pPr>
              <w:spacing w:after="0" w:line="79" w:lineRule="exact"/>
              <w:rPr>
                <w:sz w:val="20"/>
                <w:szCs w:val="20"/>
                <w:color w:val="auto"/>
              </w:rPr>
            </w:pPr>
            <w:r>
              <w:rPr>
                <w:rFonts w:ascii="Arial" w:cs="Arial" w:eastAsia="Arial" w:hAnsi="Arial"/>
                <w:sz w:val="7"/>
                <w:szCs w:val="7"/>
                <w:b w:val="1"/>
                <w:bCs w:val="1"/>
                <w:color w:val="auto"/>
              </w:rPr>
              <w:t>Type of Ownership</w:t>
            </w:r>
          </w:p>
        </w:tc>
        <w:tc>
          <w:tcPr>
            <w:tcW w:w="80" w:type="dxa"/>
            <w:vAlign w:val="bottom"/>
          </w:tcPr>
          <w:p>
            <w:pPr>
              <w:spacing w:after="0"/>
              <w:rPr>
                <w:sz w:val="6"/>
                <w:szCs w:val="6"/>
                <w:color w:val="auto"/>
              </w:rPr>
            </w:pPr>
          </w:p>
        </w:tc>
        <w:tc>
          <w:tcPr>
            <w:tcW w:w="860" w:type="dxa"/>
            <w:vAlign w:val="bottom"/>
            <w:gridSpan w:val="3"/>
          </w:tcPr>
          <w:p>
            <w:pPr>
              <w:spacing w:after="0" w:line="79" w:lineRule="exact"/>
              <w:rPr>
                <w:sz w:val="20"/>
                <w:szCs w:val="20"/>
                <w:color w:val="auto"/>
              </w:rPr>
            </w:pPr>
            <w:r>
              <w:rPr>
                <w:rFonts w:ascii="Arial" w:cs="Arial" w:eastAsia="Arial" w:hAnsi="Arial"/>
                <w:sz w:val="7"/>
                <w:szCs w:val="7"/>
                <w:b w:val="1"/>
                <w:bCs w:val="1"/>
                <w:color w:val="auto"/>
              </w:rPr>
              <w:t>Net Rentable SF</w:t>
            </w:r>
          </w:p>
        </w:tc>
        <w:tc>
          <w:tcPr>
            <w:tcW w:w="120" w:type="dxa"/>
            <w:vAlign w:val="bottom"/>
          </w:tcPr>
          <w:p>
            <w:pPr>
              <w:spacing w:after="0"/>
              <w:rPr>
                <w:sz w:val="6"/>
                <w:szCs w:val="6"/>
                <w:color w:val="auto"/>
              </w:rPr>
            </w:pPr>
          </w:p>
        </w:tc>
        <w:tc>
          <w:tcPr>
            <w:tcW w:w="580" w:type="dxa"/>
            <w:vAlign w:val="bottom"/>
            <w:gridSpan w:val="2"/>
          </w:tcPr>
          <w:p>
            <w:pPr>
              <w:jc w:val="center"/>
              <w:ind w:right="120"/>
              <w:spacing w:after="0" w:line="79" w:lineRule="exact"/>
              <w:rPr>
                <w:sz w:val="20"/>
                <w:szCs w:val="20"/>
                <w:color w:val="auto"/>
              </w:rPr>
            </w:pPr>
            <w:r>
              <w:rPr>
                <w:rFonts w:ascii="Arial" w:cs="Arial" w:eastAsia="Arial" w:hAnsi="Arial"/>
                <w:sz w:val="7"/>
                <w:szCs w:val="7"/>
                <w:b w:val="1"/>
                <w:bCs w:val="1"/>
                <w:color w:val="auto"/>
                <w:w w:val="96"/>
              </w:rPr>
              <w:t xml:space="preserve">Valuation </w:t>
            </w:r>
            <w:r>
              <w:rPr>
                <w:rFonts w:ascii="Arial" w:cs="Arial" w:eastAsia="Arial" w:hAnsi="Arial"/>
                <w:sz w:val="7"/>
                <w:szCs w:val="7"/>
                <w:b w:val="1"/>
                <w:bCs w:val="1"/>
                <w:u w:val="single" w:color="auto"/>
                <w:color w:val="auto"/>
                <w:w w:val="96"/>
              </w:rPr>
              <w:t>($</w:t>
            </w:r>
            <w:r>
              <w:rPr>
                <w:rFonts w:ascii="Arial" w:cs="Arial" w:eastAsia="Arial" w:hAnsi="Arial"/>
                <w:sz w:val="7"/>
                <w:szCs w:val="7"/>
                <w:b w:val="1"/>
                <w:bCs w:val="1"/>
                <w:color w:val="auto"/>
                <w:w w:val="96"/>
              </w:rPr>
              <w:t>'s)</w:t>
            </w: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3"/>
          </w:tcPr>
          <w:p>
            <w:pPr>
              <w:spacing w:after="0" w:line="79" w:lineRule="exact"/>
              <w:rPr>
                <w:sz w:val="20"/>
                <w:szCs w:val="20"/>
                <w:color w:val="auto"/>
              </w:rPr>
            </w:pPr>
            <w:r>
              <w:rPr>
                <w:rFonts w:ascii="Arial" w:cs="Arial" w:eastAsia="Arial" w:hAnsi="Arial"/>
                <w:sz w:val="7"/>
                <w:szCs w:val="7"/>
                <w:b w:val="1"/>
                <w:bCs w:val="1"/>
                <w:color w:val="auto"/>
              </w:rPr>
              <w:t>at acquisition</w:t>
            </w:r>
          </w:p>
        </w:tc>
        <w:tc>
          <w:tcPr>
            <w:tcW w:w="500" w:type="dxa"/>
            <w:vAlign w:val="bottom"/>
            <w:gridSpan w:val="4"/>
          </w:tcPr>
          <w:p>
            <w:pPr>
              <w:jc w:val="right"/>
              <w:ind w:right="27"/>
              <w:spacing w:after="0" w:line="79" w:lineRule="exact"/>
              <w:rPr>
                <w:sz w:val="20"/>
                <w:szCs w:val="20"/>
                <w:color w:val="auto"/>
              </w:rPr>
            </w:pPr>
            <w:r>
              <w:rPr>
                <w:rFonts w:ascii="Arial" w:cs="Arial" w:eastAsia="Arial" w:hAnsi="Arial"/>
                <w:sz w:val="7"/>
                <w:szCs w:val="7"/>
                <w:b w:val="1"/>
                <w:bCs w:val="1"/>
                <w:color w:val="auto"/>
              </w:rPr>
              <w:t>3/31/2026</w:t>
            </w:r>
          </w:p>
        </w:tc>
        <w:tc>
          <w:tcPr>
            <w:tcW w:w="180" w:type="dxa"/>
            <w:vAlign w:val="bottom"/>
          </w:tcPr>
          <w:p>
            <w:pPr>
              <w:spacing w:after="0"/>
              <w:rPr>
                <w:sz w:val="6"/>
                <w:szCs w:val="6"/>
                <w:color w:val="auto"/>
              </w:rPr>
            </w:pPr>
          </w:p>
        </w:tc>
      </w:tr>
      <w:tr>
        <w:trPr>
          <w:trHeight w:val="110"/>
        </w:trPr>
        <w:tc>
          <w:tcPr>
            <w:tcW w:w="840" w:type="dxa"/>
            <w:vAlign w:val="bottom"/>
            <w:tcBorders>
              <w:bottom w:val="single" w:sz="8" w:color="auto"/>
            </w:tcBorders>
          </w:tcPr>
          <w:p>
            <w:pPr>
              <w:spacing w:after="0"/>
              <w:rPr>
                <w:sz w:val="20"/>
                <w:szCs w:val="20"/>
                <w:color w:val="auto"/>
              </w:rPr>
            </w:pPr>
            <w:r>
              <w:rPr>
                <w:rFonts w:ascii="Arial" w:cs="Arial" w:eastAsia="Arial" w:hAnsi="Arial"/>
                <w:sz w:val="7"/>
                <w:szCs w:val="7"/>
                <w:b w:val="1"/>
                <w:bCs w:val="1"/>
                <w:color w:val="auto"/>
              </w:rPr>
              <w:t>2007 - 2026 Acquisitions</w:t>
            </w:r>
          </w:p>
        </w:tc>
        <w:tc>
          <w:tcPr>
            <w:tcW w:w="12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r>
        <w:trPr>
          <w:trHeight w:val="86"/>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3"/>
              </w:rPr>
              <w:t>Jan-07</w:t>
            </w:r>
          </w:p>
        </w:tc>
        <w:tc>
          <w:tcPr>
            <w:tcW w:w="120" w:type="dxa"/>
            <w:vAlign w:val="bottom"/>
          </w:tcPr>
          <w:p>
            <w:pPr>
              <w:spacing w:after="0"/>
              <w:rPr>
                <w:sz w:val="20"/>
                <w:szCs w:val="20"/>
                <w:color w:val="auto"/>
              </w:rPr>
            </w:pPr>
            <w:r>
              <w:rPr>
                <w:rFonts w:ascii="Arial" w:cs="Arial" w:eastAsia="Arial" w:hAnsi="Arial"/>
                <w:sz w:val="7"/>
                <w:szCs w:val="7"/>
                <w:color w:val="auto"/>
                <w:w w:val="85"/>
              </w:rPr>
              <w:t>300</w:t>
            </w:r>
          </w:p>
        </w:tc>
        <w:tc>
          <w:tcPr>
            <w:tcW w:w="1340" w:type="dxa"/>
            <w:vAlign w:val="bottom"/>
            <w:gridSpan w:val="2"/>
          </w:tcPr>
          <w:p>
            <w:pPr>
              <w:spacing w:after="0"/>
              <w:rPr>
                <w:sz w:val="20"/>
                <w:szCs w:val="20"/>
                <w:color w:val="auto"/>
              </w:rPr>
            </w:pPr>
            <w:r>
              <w:rPr>
                <w:rFonts w:ascii="Arial" w:cs="Arial" w:eastAsia="Arial" w:hAnsi="Arial"/>
                <w:sz w:val="7"/>
                <w:szCs w:val="7"/>
                <w:color w:val="auto"/>
              </w:rPr>
              <w:t>Main Street</w:t>
            </w:r>
          </w:p>
        </w:tc>
        <w:tc>
          <w:tcPr>
            <w:tcW w:w="1120" w:type="dxa"/>
            <w:vAlign w:val="bottom"/>
            <w:gridSpan w:val="2"/>
          </w:tcPr>
          <w:p>
            <w:pPr>
              <w:spacing w:after="0"/>
              <w:rPr>
                <w:sz w:val="20"/>
                <w:szCs w:val="20"/>
                <w:color w:val="auto"/>
              </w:rPr>
            </w:pPr>
            <w:r>
              <w:rPr>
                <w:rFonts w:ascii="Arial" w:cs="Arial" w:eastAsia="Arial" w:hAnsi="Arial"/>
                <w:sz w:val="7"/>
                <w:szCs w:val="7"/>
                <w:color w:val="auto"/>
              </w:rPr>
              <w:t>Stamford, Connecticut</w:t>
            </w:r>
          </w:p>
        </w:tc>
        <w:tc>
          <w:tcPr>
            <w:tcW w:w="480" w:type="dxa"/>
            <w:vAlign w:val="bottom"/>
            <w:gridSpan w:val="2"/>
          </w:tcPr>
          <w:p>
            <w:pPr>
              <w:jc w:val="center"/>
              <w:ind w:left="27"/>
              <w:spacing w:after="0"/>
              <w:rPr>
                <w:sz w:val="20"/>
                <w:szCs w:val="20"/>
                <w:color w:val="auto"/>
              </w:rPr>
            </w:pPr>
            <w:r>
              <w:rPr>
                <w:rFonts w:ascii="Arial" w:cs="Arial" w:eastAsia="Arial" w:hAnsi="Arial"/>
                <w:sz w:val="7"/>
                <w:szCs w:val="7"/>
                <w:color w:val="auto"/>
                <w:w w:val="92"/>
              </w:rPr>
              <w:t>100.0%</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130,000</w:t>
            </w:r>
          </w:p>
        </w:tc>
        <w:tc>
          <w:tcPr>
            <w:tcW w:w="260" w:type="dxa"/>
            <w:vAlign w:val="bottom"/>
          </w:tcPr>
          <w:p>
            <w:pPr>
              <w:spacing w:after="0"/>
              <w:rPr>
                <w:sz w:val="7"/>
                <w:szCs w:val="7"/>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15,000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92.5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3"/>
              </w:rPr>
              <w:t>Jan-07</w:t>
            </w:r>
          </w:p>
        </w:tc>
        <w:tc>
          <w:tcPr>
            <w:tcW w:w="120" w:type="dxa"/>
            <w:vAlign w:val="bottom"/>
          </w:tcPr>
          <w:p>
            <w:pPr>
              <w:spacing w:after="0"/>
              <w:rPr>
                <w:sz w:val="20"/>
                <w:szCs w:val="20"/>
                <w:color w:val="auto"/>
              </w:rPr>
            </w:pPr>
            <w:r>
              <w:rPr>
                <w:rFonts w:ascii="Arial" w:cs="Arial" w:eastAsia="Arial" w:hAnsi="Arial"/>
                <w:sz w:val="7"/>
                <w:szCs w:val="7"/>
                <w:color w:val="auto"/>
                <w:w w:val="85"/>
              </w:rPr>
              <w:t>399</w:t>
            </w:r>
          </w:p>
        </w:tc>
        <w:tc>
          <w:tcPr>
            <w:tcW w:w="1340" w:type="dxa"/>
            <w:vAlign w:val="bottom"/>
            <w:gridSpan w:val="2"/>
          </w:tcPr>
          <w:p>
            <w:pPr>
              <w:spacing w:after="0"/>
              <w:rPr>
                <w:sz w:val="20"/>
                <w:szCs w:val="20"/>
                <w:color w:val="auto"/>
              </w:rPr>
            </w:pPr>
            <w:r>
              <w:rPr>
                <w:rFonts w:ascii="Arial" w:cs="Arial" w:eastAsia="Arial" w:hAnsi="Arial"/>
                <w:sz w:val="7"/>
                <w:szCs w:val="7"/>
                <w:color w:val="auto"/>
              </w:rPr>
              <w:t>Knollwood Road</w:t>
            </w:r>
          </w:p>
        </w:tc>
        <w:tc>
          <w:tcPr>
            <w:tcW w:w="1120" w:type="dxa"/>
            <w:vAlign w:val="bottom"/>
            <w:gridSpan w:val="2"/>
          </w:tcPr>
          <w:p>
            <w:pPr>
              <w:spacing w:after="0"/>
              <w:rPr>
                <w:sz w:val="20"/>
                <w:szCs w:val="20"/>
                <w:color w:val="auto"/>
              </w:rPr>
            </w:pPr>
            <w:r>
              <w:rPr>
                <w:rFonts w:ascii="Arial" w:cs="Arial" w:eastAsia="Arial" w:hAnsi="Arial"/>
                <w:sz w:val="7"/>
                <w:szCs w:val="7"/>
                <w:color w:val="auto"/>
              </w:rPr>
              <w:t>White Plains,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145,000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31,600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96.6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3"/>
              </w:rPr>
              <w:t>Jan-07</w:t>
            </w:r>
          </w:p>
        </w:tc>
        <w:tc>
          <w:tcPr>
            <w:tcW w:w="1460" w:type="dxa"/>
            <w:vAlign w:val="bottom"/>
            <w:gridSpan w:val="3"/>
          </w:tcPr>
          <w:p>
            <w:pPr>
              <w:spacing w:after="0"/>
              <w:rPr>
                <w:sz w:val="20"/>
                <w:szCs w:val="20"/>
                <w:color w:val="auto"/>
              </w:rPr>
            </w:pPr>
            <w:r>
              <w:rPr>
                <w:rFonts w:ascii="Arial" w:cs="Arial" w:eastAsia="Arial" w:hAnsi="Arial"/>
                <w:sz w:val="7"/>
                <w:szCs w:val="7"/>
                <w:color w:val="auto"/>
              </w:rPr>
              <w:t>Reckson - Connecticut Portfolio</w:t>
            </w:r>
          </w:p>
        </w:tc>
        <w:tc>
          <w:tcPr>
            <w:tcW w:w="1120" w:type="dxa"/>
            <w:vAlign w:val="bottom"/>
            <w:gridSpan w:val="2"/>
          </w:tcPr>
          <w:p>
            <w:pPr>
              <w:spacing w:after="0"/>
              <w:rPr>
                <w:sz w:val="20"/>
                <w:szCs w:val="20"/>
                <w:color w:val="auto"/>
              </w:rPr>
            </w:pPr>
            <w:r>
              <w:rPr>
                <w:rFonts w:ascii="Arial" w:cs="Arial" w:eastAsia="Arial" w:hAnsi="Arial"/>
                <w:sz w:val="7"/>
                <w:szCs w:val="7"/>
                <w:color w:val="auto"/>
              </w:rPr>
              <w:t>Stamford, Connecticut</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Interests / 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1,369,800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490,750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88.9</w:t>
            </w: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68.1</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3"/>
              </w:rPr>
              <w:t>Jan-07</w:t>
            </w:r>
          </w:p>
        </w:tc>
        <w:tc>
          <w:tcPr>
            <w:tcW w:w="1460" w:type="dxa"/>
            <w:vAlign w:val="bottom"/>
            <w:gridSpan w:val="3"/>
          </w:tcPr>
          <w:p>
            <w:pPr>
              <w:spacing w:after="0"/>
              <w:rPr>
                <w:sz w:val="20"/>
                <w:szCs w:val="20"/>
                <w:color w:val="auto"/>
              </w:rPr>
            </w:pPr>
            <w:r>
              <w:rPr>
                <w:rFonts w:ascii="Arial" w:cs="Arial" w:eastAsia="Arial" w:hAnsi="Arial"/>
                <w:sz w:val="7"/>
                <w:szCs w:val="7"/>
                <w:color w:val="auto"/>
              </w:rPr>
              <w:t>Reckson - Westchester Portfolio</w:t>
            </w:r>
          </w:p>
        </w:tc>
        <w:tc>
          <w:tcPr>
            <w:tcW w:w="1120" w:type="dxa"/>
            <w:vAlign w:val="bottom"/>
            <w:gridSpan w:val="2"/>
          </w:tcPr>
          <w:p>
            <w:pPr>
              <w:spacing w:after="0"/>
              <w:rPr>
                <w:sz w:val="20"/>
                <w:szCs w:val="20"/>
                <w:color w:val="auto"/>
              </w:rPr>
            </w:pPr>
            <w:r>
              <w:rPr>
                <w:rFonts w:ascii="Arial" w:cs="Arial" w:eastAsia="Arial" w:hAnsi="Arial"/>
                <w:sz w:val="7"/>
                <w:szCs w:val="7"/>
                <w:color w:val="auto"/>
              </w:rPr>
              <w:t>Westchester</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Interests / 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2,346,100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570,190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90.6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4"/>
              </w:rPr>
              <w:t>Apr-07</w:t>
            </w:r>
          </w:p>
        </w:tc>
        <w:tc>
          <w:tcPr>
            <w:tcW w:w="1460" w:type="dxa"/>
            <w:vAlign w:val="bottom"/>
            <w:gridSpan w:val="3"/>
          </w:tcPr>
          <w:p>
            <w:pPr>
              <w:spacing w:after="0"/>
              <w:rPr>
                <w:sz w:val="20"/>
                <w:szCs w:val="20"/>
                <w:color w:val="auto"/>
              </w:rPr>
            </w:pPr>
            <w:r>
              <w:rPr>
                <w:rFonts w:ascii="Arial" w:cs="Arial" w:eastAsia="Arial" w:hAnsi="Arial"/>
                <w:sz w:val="7"/>
                <w:szCs w:val="7"/>
                <w:color w:val="auto"/>
              </w:rPr>
              <w:t>Jericho Plaza</w:t>
            </w:r>
          </w:p>
        </w:tc>
        <w:tc>
          <w:tcPr>
            <w:tcW w:w="1120" w:type="dxa"/>
            <w:vAlign w:val="bottom"/>
            <w:gridSpan w:val="2"/>
          </w:tcPr>
          <w:p>
            <w:pPr>
              <w:spacing w:after="0"/>
              <w:rPr>
                <w:sz w:val="20"/>
                <w:szCs w:val="20"/>
                <w:color w:val="auto"/>
              </w:rPr>
            </w:pPr>
            <w:r>
              <w:rPr>
                <w:rFonts w:ascii="Arial" w:cs="Arial" w:eastAsia="Arial" w:hAnsi="Arial"/>
                <w:sz w:val="7"/>
                <w:szCs w:val="7"/>
                <w:color w:val="auto"/>
              </w:rPr>
              <w:t>Jericho, New York</w:t>
            </w:r>
          </w:p>
        </w:tc>
        <w:tc>
          <w:tcPr>
            <w:tcW w:w="480" w:type="dxa"/>
            <w:vAlign w:val="bottom"/>
            <w:gridSpan w:val="2"/>
          </w:tcPr>
          <w:p>
            <w:pPr>
              <w:jc w:val="center"/>
              <w:ind w:left="27"/>
              <w:spacing w:after="0"/>
              <w:rPr>
                <w:sz w:val="20"/>
                <w:szCs w:val="20"/>
                <w:color w:val="auto"/>
              </w:rPr>
            </w:pPr>
            <w:r>
              <w:rPr>
                <w:rFonts w:ascii="Arial" w:cs="Arial" w:eastAsia="Arial" w:hAnsi="Arial"/>
                <w:sz w:val="7"/>
                <w:szCs w:val="7"/>
                <w:color w:val="auto"/>
              </w:rPr>
              <w:t>20.3</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640,000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210,000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98.4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3"/>
              </w:rPr>
              <w:t>Jun-07</w:t>
            </w:r>
          </w:p>
        </w:tc>
        <w:tc>
          <w:tcPr>
            <w:tcW w:w="1460" w:type="dxa"/>
            <w:vAlign w:val="bottom"/>
            <w:gridSpan w:val="3"/>
          </w:tcPr>
          <w:p>
            <w:pPr>
              <w:spacing w:after="0"/>
              <w:rPr>
                <w:sz w:val="20"/>
                <w:szCs w:val="20"/>
                <w:color w:val="auto"/>
              </w:rPr>
            </w:pPr>
            <w:r>
              <w:rPr>
                <w:rFonts w:ascii="Arial" w:cs="Arial" w:eastAsia="Arial" w:hAnsi="Arial"/>
                <w:sz w:val="7"/>
                <w:szCs w:val="7"/>
                <w:color w:val="auto"/>
              </w:rPr>
              <w:t>1010 Washington Boulevard</w:t>
            </w:r>
          </w:p>
        </w:tc>
        <w:tc>
          <w:tcPr>
            <w:tcW w:w="1120" w:type="dxa"/>
            <w:vAlign w:val="bottom"/>
            <w:gridSpan w:val="2"/>
          </w:tcPr>
          <w:p>
            <w:pPr>
              <w:spacing w:after="0"/>
              <w:rPr>
                <w:sz w:val="20"/>
                <w:szCs w:val="20"/>
                <w:color w:val="auto"/>
              </w:rPr>
            </w:pPr>
            <w:r>
              <w:rPr>
                <w:rFonts w:ascii="Arial" w:cs="Arial" w:eastAsia="Arial" w:hAnsi="Arial"/>
                <w:sz w:val="7"/>
                <w:szCs w:val="7"/>
                <w:color w:val="auto"/>
              </w:rPr>
              <w:t>Stamford, Connecticut</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143,400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38,000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95.6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3"/>
              </w:rPr>
              <w:t>Jun-07</w:t>
            </w:r>
          </w:p>
        </w:tc>
        <w:tc>
          <w:tcPr>
            <w:tcW w:w="120" w:type="dxa"/>
            <w:vAlign w:val="bottom"/>
          </w:tcPr>
          <w:p>
            <w:pPr>
              <w:spacing w:after="0"/>
              <w:rPr>
                <w:sz w:val="20"/>
                <w:szCs w:val="20"/>
                <w:color w:val="auto"/>
              </w:rPr>
            </w:pPr>
            <w:r>
              <w:rPr>
                <w:rFonts w:ascii="Arial" w:cs="Arial" w:eastAsia="Arial" w:hAnsi="Arial"/>
                <w:sz w:val="7"/>
                <w:szCs w:val="7"/>
                <w:color w:val="auto"/>
                <w:w w:val="85"/>
              </w:rPr>
              <w:t>500</w:t>
            </w:r>
          </w:p>
        </w:tc>
        <w:tc>
          <w:tcPr>
            <w:tcW w:w="1340" w:type="dxa"/>
            <w:vAlign w:val="bottom"/>
            <w:gridSpan w:val="2"/>
          </w:tcPr>
          <w:p>
            <w:pPr>
              <w:spacing w:after="0"/>
              <w:rPr>
                <w:sz w:val="20"/>
                <w:szCs w:val="20"/>
                <w:color w:val="auto"/>
              </w:rPr>
            </w:pPr>
            <w:r>
              <w:rPr>
                <w:rFonts w:ascii="Arial" w:cs="Arial" w:eastAsia="Arial" w:hAnsi="Arial"/>
                <w:sz w:val="7"/>
                <w:szCs w:val="7"/>
                <w:color w:val="auto"/>
              </w:rPr>
              <w:t>West Putnam Avenue</w:t>
            </w:r>
          </w:p>
        </w:tc>
        <w:tc>
          <w:tcPr>
            <w:tcW w:w="1120" w:type="dxa"/>
            <w:vAlign w:val="bottom"/>
            <w:gridSpan w:val="2"/>
          </w:tcPr>
          <w:p>
            <w:pPr>
              <w:spacing w:after="0"/>
              <w:rPr>
                <w:sz w:val="20"/>
                <w:szCs w:val="20"/>
                <w:color w:val="auto"/>
              </w:rPr>
            </w:pPr>
            <w:r>
              <w:rPr>
                <w:rFonts w:ascii="Arial" w:cs="Arial" w:eastAsia="Arial" w:hAnsi="Arial"/>
                <w:sz w:val="7"/>
                <w:szCs w:val="7"/>
                <w:color w:val="auto"/>
              </w:rPr>
              <w:t>Greenwich, Connecticut</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121,500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56,000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94.4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spacing w:after="0"/>
              <w:rPr>
                <w:sz w:val="20"/>
                <w:szCs w:val="20"/>
                <w:color w:val="auto"/>
              </w:rPr>
            </w:pPr>
            <w:r>
              <w:rPr>
                <w:rFonts w:ascii="Arial" w:cs="Arial" w:eastAsia="Arial" w:hAnsi="Arial"/>
                <w:sz w:val="7"/>
                <w:szCs w:val="7"/>
                <w:color w:val="auto"/>
                <w:w w:val="94"/>
              </w:rPr>
              <w:t>Jul-07</w:t>
            </w:r>
          </w:p>
        </w:tc>
        <w:tc>
          <w:tcPr>
            <w:tcW w:w="1460" w:type="dxa"/>
            <w:vAlign w:val="bottom"/>
            <w:gridSpan w:val="3"/>
          </w:tcPr>
          <w:p>
            <w:pPr>
              <w:spacing w:after="0"/>
              <w:rPr>
                <w:sz w:val="20"/>
                <w:szCs w:val="20"/>
                <w:color w:val="auto"/>
              </w:rPr>
            </w:pPr>
            <w:r>
              <w:rPr>
                <w:rFonts w:ascii="Arial" w:cs="Arial" w:eastAsia="Arial" w:hAnsi="Arial"/>
                <w:sz w:val="7"/>
                <w:szCs w:val="7"/>
                <w:color w:val="auto"/>
              </w:rPr>
              <w:t>16 Court Street</w:t>
            </w:r>
          </w:p>
        </w:tc>
        <w:tc>
          <w:tcPr>
            <w:tcW w:w="11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480" w:type="dxa"/>
            <w:vAlign w:val="bottom"/>
            <w:gridSpan w:val="2"/>
          </w:tcPr>
          <w:p>
            <w:pPr>
              <w:jc w:val="center"/>
              <w:ind w:left="27"/>
              <w:spacing w:after="0"/>
              <w:rPr>
                <w:sz w:val="20"/>
                <w:szCs w:val="20"/>
                <w:color w:val="auto"/>
              </w:rPr>
            </w:pPr>
            <w:r>
              <w:rPr>
                <w:rFonts w:ascii="Arial" w:cs="Arial" w:eastAsia="Arial" w:hAnsi="Arial"/>
                <w:sz w:val="7"/>
                <w:szCs w:val="7"/>
                <w:color w:val="auto"/>
              </w:rPr>
              <w:t>35.0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317,600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107,500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80.6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Aug-07</w:t>
            </w:r>
          </w:p>
        </w:tc>
        <w:tc>
          <w:tcPr>
            <w:tcW w:w="120" w:type="dxa"/>
            <w:vAlign w:val="bottom"/>
          </w:tcPr>
          <w:p>
            <w:pPr>
              <w:spacing w:after="0"/>
              <w:rPr>
                <w:sz w:val="20"/>
                <w:szCs w:val="20"/>
                <w:color w:val="auto"/>
              </w:rPr>
            </w:pPr>
            <w:r>
              <w:rPr>
                <w:rFonts w:ascii="Arial" w:cs="Arial" w:eastAsia="Arial" w:hAnsi="Arial"/>
                <w:sz w:val="7"/>
                <w:szCs w:val="7"/>
                <w:color w:val="auto"/>
                <w:w w:val="85"/>
              </w:rPr>
              <w:t>150</w:t>
            </w:r>
          </w:p>
        </w:tc>
        <w:tc>
          <w:tcPr>
            <w:tcW w:w="1340" w:type="dxa"/>
            <w:vAlign w:val="bottom"/>
            <w:gridSpan w:val="2"/>
          </w:tcPr>
          <w:p>
            <w:pPr>
              <w:spacing w:after="0"/>
              <w:rPr>
                <w:sz w:val="20"/>
                <w:szCs w:val="20"/>
                <w:color w:val="auto"/>
              </w:rPr>
            </w:pPr>
            <w:r>
              <w:rPr>
                <w:rFonts w:ascii="Arial" w:cs="Arial" w:eastAsia="Arial" w:hAnsi="Arial"/>
                <w:sz w:val="7"/>
                <w:szCs w:val="7"/>
                <w:color w:val="auto"/>
              </w:rPr>
              <w:t>Grand Street</w:t>
            </w:r>
          </w:p>
        </w:tc>
        <w:tc>
          <w:tcPr>
            <w:tcW w:w="1120" w:type="dxa"/>
            <w:vAlign w:val="bottom"/>
            <w:gridSpan w:val="2"/>
          </w:tcPr>
          <w:p>
            <w:pPr>
              <w:spacing w:after="0"/>
              <w:rPr>
                <w:sz w:val="20"/>
                <w:szCs w:val="20"/>
                <w:color w:val="auto"/>
              </w:rPr>
            </w:pPr>
            <w:r>
              <w:rPr>
                <w:rFonts w:ascii="Arial" w:cs="Arial" w:eastAsia="Arial" w:hAnsi="Arial"/>
                <w:sz w:val="7"/>
                <w:szCs w:val="7"/>
                <w:color w:val="auto"/>
              </w:rPr>
              <w:t>White Plains,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85,000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6,700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52.9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Sep-07</w:t>
            </w:r>
          </w:p>
        </w:tc>
        <w:tc>
          <w:tcPr>
            <w:tcW w:w="1460" w:type="dxa"/>
            <w:vAlign w:val="bottom"/>
            <w:gridSpan w:val="3"/>
          </w:tcPr>
          <w:p>
            <w:pPr>
              <w:spacing w:after="0"/>
              <w:rPr>
                <w:sz w:val="20"/>
                <w:szCs w:val="20"/>
                <w:color w:val="auto"/>
              </w:rPr>
            </w:pPr>
            <w:r>
              <w:rPr>
                <w:rFonts w:ascii="Arial" w:cs="Arial" w:eastAsia="Arial" w:hAnsi="Arial"/>
                <w:sz w:val="7"/>
                <w:szCs w:val="7"/>
                <w:color w:val="auto"/>
              </w:rPr>
              <w:t>The Meadows</w:t>
            </w:r>
          </w:p>
        </w:tc>
        <w:tc>
          <w:tcPr>
            <w:tcW w:w="1120" w:type="dxa"/>
            <w:vAlign w:val="bottom"/>
            <w:gridSpan w:val="2"/>
          </w:tcPr>
          <w:p>
            <w:pPr>
              <w:spacing w:after="0"/>
              <w:rPr>
                <w:sz w:val="20"/>
                <w:szCs w:val="20"/>
                <w:color w:val="auto"/>
              </w:rPr>
            </w:pPr>
            <w:r>
              <w:rPr>
                <w:rFonts w:ascii="Arial" w:cs="Arial" w:eastAsia="Arial" w:hAnsi="Arial"/>
                <w:sz w:val="7"/>
                <w:szCs w:val="7"/>
                <w:color w:val="auto"/>
              </w:rPr>
              <w:t>Rutherford, New Jersey</w:t>
            </w:r>
          </w:p>
        </w:tc>
        <w:tc>
          <w:tcPr>
            <w:tcW w:w="480" w:type="dxa"/>
            <w:vAlign w:val="bottom"/>
            <w:gridSpan w:val="2"/>
          </w:tcPr>
          <w:p>
            <w:pPr>
              <w:jc w:val="center"/>
              <w:ind w:left="27"/>
              <w:spacing w:after="0"/>
              <w:rPr>
                <w:sz w:val="20"/>
                <w:szCs w:val="20"/>
                <w:color w:val="auto"/>
              </w:rPr>
            </w:pPr>
            <w:r>
              <w:rPr>
                <w:rFonts w:ascii="Arial" w:cs="Arial" w:eastAsia="Arial" w:hAnsi="Arial"/>
                <w:sz w:val="7"/>
                <w:szCs w:val="7"/>
                <w:color w:val="auto"/>
              </w:rPr>
              <w:t>25.0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582,100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111,500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81.3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3"/>
              </w:rPr>
              <w:t>Jan-08</w:t>
            </w:r>
          </w:p>
        </w:tc>
        <w:tc>
          <w:tcPr>
            <w:tcW w:w="120" w:type="dxa"/>
            <w:vAlign w:val="bottom"/>
          </w:tcPr>
          <w:p>
            <w:pPr>
              <w:spacing w:after="0"/>
              <w:rPr>
                <w:sz w:val="20"/>
                <w:szCs w:val="20"/>
                <w:color w:val="auto"/>
              </w:rPr>
            </w:pPr>
            <w:r>
              <w:rPr>
                <w:rFonts w:ascii="Arial" w:cs="Arial" w:eastAsia="Arial" w:hAnsi="Arial"/>
                <w:sz w:val="7"/>
                <w:szCs w:val="7"/>
                <w:color w:val="auto"/>
                <w:w w:val="85"/>
              </w:rPr>
              <w:t>125</w:t>
            </w:r>
          </w:p>
        </w:tc>
        <w:tc>
          <w:tcPr>
            <w:tcW w:w="1340" w:type="dxa"/>
            <w:vAlign w:val="bottom"/>
            <w:gridSpan w:val="2"/>
          </w:tcPr>
          <w:p>
            <w:pPr>
              <w:spacing w:after="0"/>
              <w:rPr>
                <w:sz w:val="20"/>
                <w:szCs w:val="20"/>
                <w:color w:val="auto"/>
              </w:rPr>
            </w:pPr>
            <w:r>
              <w:rPr>
                <w:rFonts w:ascii="Arial" w:cs="Arial" w:eastAsia="Arial" w:hAnsi="Arial"/>
                <w:sz w:val="7"/>
                <w:szCs w:val="7"/>
                <w:color w:val="auto"/>
              </w:rPr>
              <w:t>Chubb Way</w:t>
            </w:r>
          </w:p>
        </w:tc>
        <w:tc>
          <w:tcPr>
            <w:tcW w:w="1120" w:type="dxa"/>
            <w:vAlign w:val="bottom"/>
            <w:gridSpan w:val="2"/>
          </w:tcPr>
          <w:p>
            <w:pPr>
              <w:spacing w:after="0"/>
              <w:rPr>
                <w:sz w:val="20"/>
                <w:szCs w:val="20"/>
                <w:color w:val="auto"/>
              </w:rPr>
            </w:pPr>
            <w:r>
              <w:rPr>
                <w:rFonts w:ascii="Arial" w:cs="Arial" w:eastAsia="Arial" w:hAnsi="Arial"/>
                <w:sz w:val="7"/>
                <w:szCs w:val="7"/>
                <w:color w:val="auto"/>
              </w:rPr>
              <w:t>Lyndhurst, New Jersey</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278,000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29,364</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Dec-10</w:t>
            </w:r>
          </w:p>
        </w:tc>
        <w:tc>
          <w:tcPr>
            <w:tcW w:w="1460" w:type="dxa"/>
            <w:vAlign w:val="bottom"/>
            <w:gridSpan w:val="3"/>
          </w:tcPr>
          <w:p>
            <w:pPr>
              <w:spacing w:after="0"/>
              <w:rPr>
                <w:sz w:val="20"/>
                <w:szCs w:val="20"/>
                <w:color w:val="auto"/>
              </w:rPr>
            </w:pPr>
            <w:r>
              <w:rPr>
                <w:rFonts w:ascii="Arial" w:cs="Arial" w:eastAsia="Arial" w:hAnsi="Arial"/>
                <w:sz w:val="7"/>
                <w:szCs w:val="7"/>
                <w:color w:val="auto"/>
              </w:rPr>
              <w:t>7 Renaissance Square</w:t>
            </w:r>
          </w:p>
        </w:tc>
        <w:tc>
          <w:tcPr>
            <w:tcW w:w="1120" w:type="dxa"/>
            <w:vAlign w:val="bottom"/>
            <w:gridSpan w:val="2"/>
          </w:tcPr>
          <w:p>
            <w:pPr>
              <w:spacing w:after="0"/>
              <w:rPr>
                <w:sz w:val="20"/>
                <w:szCs w:val="20"/>
                <w:color w:val="auto"/>
              </w:rPr>
            </w:pPr>
            <w:r>
              <w:rPr>
                <w:rFonts w:ascii="Arial" w:cs="Arial" w:eastAsia="Arial" w:hAnsi="Arial"/>
                <w:sz w:val="7"/>
                <w:szCs w:val="7"/>
                <w:color w:val="auto"/>
              </w:rPr>
              <w:t>White Plains, New York</w:t>
            </w:r>
          </w:p>
        </w:tc>
        <w:tc>
          <w:tcPr>
            <w:tcW w:w="480" w:type="dxa"/>
            <w:vAlign w:val="bottom"/>
            <w:gridSpan w:val="2"/>
          </w:tcPr>
          <w:p>
            <w:pPr>
              <w:jc w:val="center"/>
              <w:ind w:left="27"/>
              <w:spacing w:after="0"/>
              <w:rPr>
                <w:sz w:val="20"/>
                <w:szCs w:val="20"/>
                <w:color w:val="auto"/>
              </w:rPr>
            </w:pPr>
            <w:r>
              <w:rPr>
                <w:rFonts w:ascii="Arial" w:cs="Arial" w:eastAsia="Arial" w:hAnsi="Arial"/>
                <w:sz w:val="7"/>
                <w:szCs w:val="7"/>
                <w:color w:val="auto"/>
              </w:rPr>
              <w:t>50.0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65,641</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4,000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11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4"/>
              </w:rPr>
              <w:t>Apr-13</w:t>
            </w:r>
          </w:p>
        </w:tc>
        <w:tc>
          <w:tcPr>
            <w:tcW w:w="1460" w:type="dxa"/>
            <w:vAlign w:val="bottom"/>
            <w:gridSpan w:val="3"/>
          </w:tcPr>
          <w:p>
            <w:pPr>
              <w:spacing w:after="0"/>
              <w:rPr>
                <w:sz w:val="20"/>
                <w:szCs w:val="20"/>
                <w:color w:val="auto"/>
              </w:rPr>
            </w:pPr>
            <w:r>
              <w:rPr>
                <w:rFonts w:ascii="Arial" w:cs="Arial" w:eastAsia="Arial" w:hAnsi="Arial"/>
                <w:sz w:val="7"/>
                <w:szCs w:val="7"/>
                <w:color w:val="auto"/>
              </w:rPr>
              <w:t>16 Court Street</w:t>
            </w:r>
          </w:p>
        </w:tc>
        <w:tc>
          <w:tcPr>
            <w:tcW w:w="11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480" w:type="dxa"/>
            <w:vAlign w:val="bottom"/>
            <w:gridSpan w:val="2"/>
          </w:tcPr>
          <w:p>
            <w:pPr>
              <w:jc w:val="center"/>
              <w:ind w:left="27"/>
              <w:spacing w:after="0"/>
              <w:rPr>
                <w:sz w:val="20"/>
                <w:szCs w:val="20"/>
                <w:color w:val="auto"/>
              </w:rPr>
            </w:pPr>
            <w:r>
              <w:rPr>
                <w:rFonts w:ascii="Arial" w:cs="Arial" w:eastAsia="Arial" w:hAnsi="Arial"/>
                <w:sz w:val="7"/>
                <w:szCs w:val="7"/>
                <w:color w:val="auto"/>
              </w:rPr>
              <w:t>49.0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7"/>
                <w:szCs w:val="7"/>
                <w:color w:val="auto"/>
              </w:rPr>
              <w:t>317,600</w:t>
            </w: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7"/>
                <w:szCs w:val="7"/>
                <w:color w:val="auto"/>
              </w:rPr>
              <w:t>96,200</w:t>
            </w:r>
          </w:p>
        </w:tc>
        <w:tc>
          <w:tcPr>
            <w:tcW w:w="1060" w:type="dxa"/>
            <w:vAlign w:val="bottom"/>
            <w:gridSpan w:val="4"/>
          </w:tcPr>
          <w:p>
            <w:pPr>
              <w:ind w:left="820"/>
              <w:spacing w:after="0"/>
              <w:rPr>
                <w:sz w:val="20"/>
                <w:szCs w:val="20"/>
                <w:color w:val="auto"/>
              </w:rPr>
            </w:pPr>
            <w:r>
              <w:rPr>
                <w:rFonts w:ascii="Arial" w:cs="Arial" w:eastAsia="Arial" w:hAnsi="Arial"/>
                <w:sz w:val="7"/>
                <w:szCs w:val="7"/>
                <w:color w:val="auto"/>
              </w:rPr>
              <w:t>84.9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7"/>
                <w:szCs w:val="7"/>
                <w:color w:val="auto"/>
              </w:rPr>
              <w:t>N/A</w:t>
            </w:r>
          </w:p>
        </w:tc>
      </w:tr>
      <w:tr>
        <w:trPr>
          <w:trHeight w:val="92"/>
        </w:trPr>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7"/>
                <w:szCs w:val="7"/>
                <w:b w:val="1"/>
                <w:bCs w:val="1"/>
                <w:color w:val="auto"/>
              </w:rPr>
              <w:t>6,541,741</w:t>
            </w:r>
          </w:p>
        </w:tc>
        <w:tc>
          <w:tcPr>
            <w:tcW w:w="260" w:type="dxa"/>
            <w:vAlign w:val="bottom"/>
          </w:tcPr>
          <w:p>
            <w:pPr>
              <w:spacing w:after="0"/>
              <w:rPr>
                <w:sz w:val="8"/>
                <w:szCs w:val="8"/>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580" w:type="dxa"/>
            <w:vAlign w:val="bottom"/>
            <w:gridSpan w:val="2"/>
          </w:tcPr>
          <w:p>
            <w:pPr>
              <w:jc w:val="right"/>
              <w:ind w:right="40"/>
              <w:spacing w:after="0"/>
              <w:rPr>
                <w:sz w:val="20"/>
                <w:szCs w:val="20"/>
                <w:color w:val="auto"/>
              </w:rPr>
            </w:pPr>
            <w:r>
              <w:rPr>
                <w:rFonts w:ascii="Arial" w:cs="Arial" w:eastAsia="Arial" w:hAnsi="Arial"/>
                <w:sz w:val="7"/>
                <w:szCs w:val="7"/>
                <w:b w:val="1"/>
                <w:bCs w:val="1"/>
                <w:color w:val="auto"/>
              </w:rPr>
              <w:t>1,766,804</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92"/>
              </w:rPr>
              <w:t>Gross Asset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94"/>
        </w:trPr>
        <w:tc>
          <w:tcPr>
            <w:tcW w:w="840" w:type="dxa"/>
            <w:vAlign w:val="bottom"/>
          </w:tcPr>
          <w:p>
            <w:pPr>
              <w:spacing w:after="0"/>
              <w:rPr>
                <w:sz w:val="8"/>
                <w:szCs w:val="8"/>
                <w:color w:val="auto"/>
              </w:rPr>
            </w:pPr>
          </w:p>
        </w:tc>
        <w:tc>
          <w:tcPr>
            <w:tcW w:w="1460" w:type="dxa"/>
            <w:vAlign w:val="bottom"/>
            <w:gridSpan w:val="3"/>
          </w:tcPr>
          <w:p>
            <w:pPr>
              <w:spacing w:after="0"/>
              <w:rPr>
                <w:sz w:val="20"/>
                <w:szCs w:val="20"/>
                <w:color w:val="auto"/>
              </w:rPr>
            </w:pPr>
            <w:r>
              <w:rPr>
                <w:rFonts w:ascii="Arial" w:cs="Arial" w:eastAsia="Arial" w:hAnsi="Arial"/>
                <w:sz w:val="7"/>
                <w:szCs w:val="7"/>
                <w:b w:val="1"/>
                <w:bCs w:val="1"/>
                <w:color w:val="auto"/>
              </w:rPr>
              <w:t>Property</w:t>
            </w:r>
          </w:p>
        </w:tc>
        <w:tc>
          <w:tcPr>
            <w:tcW w:w="1120" w:type="dxa"/>
            <w:vAlign w:val="bottom"/>
            <w:gridSpan w:val="2"/>
          </w:tcPr>
          <w:p>
            <w:pPr>
              <w:spacing w:after="0"/>
              <w:rPr>
                <w:sz w:val="20"/>
                <w:szCs w:val="20"/>
                <w:color w:val="auto"/>
              </w:rPr>
            </w:pPr>
            <w:r>
              <w:rPr>
                <w:rFonts w:ascii="Arial" w:cs="Arial" w:eastAsia="Arial" w:hAnsi="Arial"/>
                <w:sz w:val="7"/>
                <w:szCs w:val="7"/>
                <w:b w:val="1"/>
                <w:bCs w:val="1"/>
                <w:color w:val="auto"/>
              </w:rPr>
              <w:t>Submarket</w:t>
            </w:r>
          </w:p>
        </w:tc>
        <w:tc>
          <w:tcPr>
            <w:tcW w:w="880" w:type="dxa"/>
            <w:vAlign w:val="bottom"/>
            <w:gridSpan w:val="4"/>
          </w:tcPr>
          <w:p>
            <w:pPr>
              <w:jc w:val="center"/>
              <w:ind w:right="320"/>
              <w:spacing w:after="0"/>
              <w:rPr>
                <w:sz w:val="20"/>
                <w:szCs w:val="20"/>
                <w:color w:val="auto"/>
              </w:rPr>
            </w:pPr>
            <w:r>
              <w:rPr>
                <w:rFonts w:ascii="Arial" w:cs="Arial" w:eastAsia="Arial" w:hAnsi="Arial"/>
                <w:sz w:val="7"/>
                <w:szCs w:val="7"/>
                <w:b w:val="1"/>
                <w:bCs w:val="1"/>
                <w:color w:val="auto"/>
                <w:w w:val="94"/>
              </w:rPr>
              <w:t>Interest Sold</w:t>
            </w:r>
          </w:p>
        </w:tc>
        <w:tc>
          <w:tcPr>
            <w:tcW w:w="1280" w:type="dxa"/>
            <w:vAlign w:val="bottom"/>
            <w:gridSpan w:val="2"/>
          </w:tcPr>
          <w:p>
            <w:pPr>
              <w:spacing w:after="0"/>
              <w:rPr>
                <w:sz w:val="20"/>
                <w:szCs w:val="20"/>
                <w:color w:val="auto"/>
              </w:rPr>
            </w:pPr>
            <w:r>
              <w:rPr>
                <w:rFonts w:ascii="Arial" w:cs="Arial" w:eastAsia="Arial" w:hAnsi="Arial"/>
                <w:sz w:val="7"/>
                <w:szCs w:val="7"/>
                <w:b w:val="1"/>
                <w:bCs w:val="1"/>
                <w:color w:val="auto"/>
              </w:rPr>
              <w:t>Type of Ownership</w:t>
            </w:r>
          </w:p>
        </w:tc>
        <w:tc>
          <w:tcPr>
            <w:tcW w:w="80" w:type="dxa"/>
            <w:vAlign w:val="bottom"/>
          </w:tcPr>
          <w:p>
            <w:pPr>
              <w:spacing w:after="0"/>
              <w:rPr>
                <w:sz w:val="8"/>
                <w:szCs w:val="8"/>
                <w:color w:val="auto"/>
              </w:rPr>
            </w:pPr>
          </w:p>
        </w:tc>
        <w:tc>
          <w:tcPr>
            <w:tcW w:w="860" w:type="dxa"/>
            <w:vAlign w:val="bottom"/>
            <w:gridSpan w:val="3"/>
          </w:tcPr>
          <w:p>
            <w:pPr>
              <w:spacing w:after="0"/>
              <w:rPr>
                <w:sz w:val="20"/>
                <w:szCs w:val="20"/>
                <w:color w:val="auto"/>
              </w:rPr>
            </w:pPr>
            <w:r>
              <w:rPr>
                <w:rFonts w:ascii="Arial" w:cs="Arial" w:eastAsia="Arial" w:hAnsi="Arial"/>
                <w:sz w:val="7"/>
                <w:szCs w:val="7"/>
                <w:b w:val="1"/>
                <w:bCs w:val="1"/>
                <w:color w:val="auto"/>
              </w:rPr>
              <w:t>Net Rentable SF</w:t>
            </w:r>
          </w:p>
        </w:tc>
        <w:tc>
          <w:tcPr>
            <w:tcW w:w="120" w:type="dxa"/>
            <w:vAlign w:val="bottom"/>
          </w:tcPr>
          <w:p>
            <w:pPr>
              <w:spacing w:after="0"/>
              <w:rPr>
                <w:sz w:val="8"/>
                <w:szCs w:val="8"/>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96"/>
              </w:rPr>
              <w:t xml:space="preserve">Valuation </w:t>
            </w:r>
            <w:r>
              <w:rPr>
                <w:rFonts w:ascii="Arial" w:cs="Arial" w:eastAsia="Arial" w:hAnsi="Arial"/>
                <w:sz w:val="7"/>
                <w:szCs w:val="7"/>
                <w:b w:val="1"/>
                <w:bCs w:val="1"/>
                <w:u w:val="single" w:color="auto"/>
                <w:color w:val="auto"/>
                <w:w w:val="96"/>
              </w:rPr>
              <w:t>($</w:t>
            </w:r>
            <w:r>
              <w:rPr>
                <w:rFonts w:ascii="Arial" w:cs="Arial" w:eastAsia="Arial" w:hAnsi="Arial"/>
                <w:sz w:val="7"/>
                <w:szCs w:val="7"/>
                <w:b w:val="1"/>
                <w:bCs w:val="1"/>
                <w:color w:val="auto"/>
                <w:w w:val="96"/>
              </w:rPr>
              <w:t>'s)</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5"/>
          </w:tcPr>
          <w:p>
            <w:pPr>
              <w:jc w:val="center"/>
              <w:ind w:right="100"/>
              <w:spacing w:after="0"/>
              <w:rPr>
                <w:sz w:val="20"/>
                <w:szCs w:val="20"/>
                <w:color w:val="auto"/>
              </w:rPr>
            </w:pPr>
            <w:r>
              <w:rPr>
                <w:rFonts w:ascii="Arial" w:cs="Arial" w:eastAsia="Arial" w:hAnsi="Arial"/>
                <w:sz w:val="7"/>
                <w:szCs w:val="7"/>
                <w:b w:val="1"/>
                <w:bCs w:val="1"/>
                <w:color w:val="auto"/>
                <w:w w:val="95"/>
              </w:rPr>
              <w:t xml:space="preserve">Price </w:t>
            </w:r>
            <w:r>
              <w:rPr>
                <w:rFonts w:ascii="Arial" w:cs="Arial" w:eastAsia="Arial" w:hAnsi="Arial"/>
                <w:sz w:val="7"/>
                <w:szCs w:val="7"/>
                <w:b w:val="1"/>
                <w:bCs w:val="1"/>
                <w:u w:val="single" w:color="auto"/>
                <w:color w:val="auto"/>
                <w:w w:val="95"/>
              </w:rPr>
              <w:t>($</w:t>
            </w:r>
            <w:r>
              <w:rPr>
                <w:rFonts w:ascii="Arial" w:cs="Arial" w:eastAsia="Arial" w:hAnsi="Arial"/>
                <w:sz w:val="7"/>
                <w:szCs w:val="7"/>
                <w:b w:val="1"/>
                <w:bCs w:val="1"/>
                <w:color w:val="auto"/>
                <w:w w:val="95"/>
              </w:rPr>
              <w:t>'s/SF)</w:t>
            </w:r>
          </w:p>
        </w:tc>
      </w:tr>
      <w:tr>
        <w:trPr>
          <w:trHeight w:val="110"/>
        </w:trPr>
        <w:tc>
          <w:tcPr>
            <w:tcW w:w="840" w:type="dxa"/>
            <w:vAlign w:val="bottom"/>
            <w:tcBorders>
              <w:bottom w:val="single" w:sz="8" w:color="auto"/>
            </w:tcBorders>
          </w:tcPr>
          <w:p>
            <w:pPr>
              <w:spacing w:after="0"/>
              <w:rPr>
                <w:sz w:val="20"/>
                <w:szCs w:val="20"/>
                <w:color w:val="auto"/>
              </w:rPr>
            </w:pPr>
            <w:r>
              <w:rPr>
                <w:rFonts w:ascii="Arial" w:cs="Arial" w:eastAsia="Arial" w:hAnsi="Arial"/>
                <w:sz w:val="7"/>
                <w:szCs w:val="7"/>
                <w:b w:val="1"/>
                <w:bCs w:val="1"/>
                <w:color w:val="auto"/>
              </w:rPr>
              <w:t>2008 - 2026 Dispositions</w:t>
            </w:r>
          </w:p>
        </w:tc>
        <w:tc>
          <w:tcPr>
            <w:tcW w:w="12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r>
        <w:trPr>
          <w:trHeight w:val="86"/>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4"/>
              </w:rPr>
              <w:t>Oct-08</w:t>
            </w:r>
          </w:p>
        </w:tc>
        <w:tc>
          <w:tcPr>
            <w:tcW w:w="120" w:type="dxa"/>
            <w:vAlign w:val="bottom"/>
          </w:tcPr>
          <w:p>
            <w:pPr>
              <w:spacing w:after="0"/>
              <w:rPr>
                <w:sz w:val="20"/>
                <w:szCs w:val="20"/>
                <w:color w:val="auto"/>
              </w:rPr>
            </w:pPr>
            <w:r>
              <w:rPr>
                <w:rFonts w:ascii="Arial" w:cs="Arial" w:eastAsia="Arial" w:hAnsi="Arial"/>
                <w:sz w:val="7"/>
                <w:szCs w:val="7"/>
                <w:color w:val="auto"/>
                <w:w w:val="85"/>
              </w:rPr>
              <w:t>100</w:t>
            </w:r>
          </w:p>
        </w:tc>
        <w:tc>
          <w:tcPr>
            <w:tcW w:w="1340" w:type="dxa"/>
            <w:vAlign w:val="bottom"/>
            <w:gridSpan w:val="2"/>
          </w:tcPr>
          <w:p>
            <w:pPr>
              <w:spacing w:after="0"/>
              <w:rPr>
                <w:sz w:val="20"/>
                <w:szCs w:val="20"/>
                <w:color w:val="auto"/>
              </w:rPr>
            </w:pPr>
            <w:r>
              <w:rPr>
                <w:rFonts w:ascii="Arial" w:cs="Arial" w:eastAsia="Arial" w:hAnsi="Arial"/>
                <w:sz w:val="7"/>
                <w:szCs w:val="7"/>
                <w:color w:val="auto"/>
              </w:rPr>
              <w:t>&amp; 120 White Plains Road</w:t>
            </w:r>
          </w:p>
        </w:tc>
        <w:tc>
          <w:tcPr>
            <w:tcW w:w="1120" w:type="dxa"/>
            <w:vAlign w:val="bottom"/>
            <w:gridSpan w:val="2"/>
          </w:tcPr>
          <w:p>
            <w:pPr>
              <w:spacing w:after="0"/>
              <w:rPr>
                <w:sz w:val="20"/>
                <w:szCs w:val="20"/>
                <w:color w:val="auto"/>
              </w:rPr>
            </w:pPr>
            <w:r>
              <w:rPr>
                <w:rFonts w:ascii="Arial" w:cs="Arial" w:eastAsia="Arial" w:hAnsi="Arial"/>
                <w:sz w:val="7"/>
                <w:szCs w:val="7"/>
                <w:color w:val="auto"/>
              </w:rPr>
              <w:t>Tarrytown,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211,000</w:t>
            </w:r>
          </w:p>
        </w:tc>
        <w:tc>
          <w:tcPr>
            <w:tcW w:w="260" w:type="dxa"/>
            <w:vAlign w:val="bottom"/>
          </w:tcPr>
          <w:p>
            <w:pPr>
              <w:spacing w:after="0"/>
              <w:rPr>
                <w:sz w:val="7"/>
                <w:szCs w:val="7"/>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48,000</w:t>
            </w:r>
          </w:p>
        </w:tc>
        <w:tc>
          <w:tcPr>
            <w:tcW w:w="1160" w:type="dxa"/>
            <w:vAlign w:val="bottom"/>
            <w:gridSpan w:val="5"/>
          </w:tcPr>
          <w:p>
            <w:pPr>
              <w:jc w:val="right"/>
              <w:ind w:right="60"/>
              <w:spacing w:after="0"/>
              <w:rPr>
                <w:sz w:val="20"/>
                <w:szCs w:val="20"/>
                <w:color w:val="auto"/>
              </w:rPr>
            </w:pPr>
            <w:r>
              <w:rPr>
                <w:rFonts w:ascii="Arial" w:cs="Arial" w:eastAsia="Arial" w:hAnsi="Arial"/>
                <w:sz w:val="7"/>
                <w:szCs w:val="7"/>
                <w:color w:val="auto"/>
              </w:rPr>
              <w:t>$</w:t>
            </w: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227</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3"/>
              </w:rPr>
              <w:t>Jan-09</w:t>
            </w:r>
          </w:p>
        </w:tc>
        <w:tc>
          <w:tcPr>
            <w:tcW w:w="1460" w:type="dxa"/>
            <w:vAlign w:val="bottom"/>
            <w:gridSpan w:val="3"/>
          </w:tcPr>
          <w:p>
            <w:pPr>
              <w:spacing w:after="0"/>
              <w:rPr>
                <w:sz w:val="20"/>
                <w:szCs w:val="20"/>
                <w:color w:val="auto"/>
              </w:rPr>
            </w:pPr>
            <w:r>
              <w:rPr>
                <w:rFonts w:ascii="Arial" w:cs="Arial" w:eastAsia="Arial" w:hAnsi="Arial"/>
                <w:sz w:val="7"/>
                <w:szCs w:val="7"/>
                <w:color w:val="auto"/>
              </w:rPr>
              <w:t>55 Corporate Drive</w:t>
            </w:r>
          </w:p>
        </w:tc>
        <w:tc>
          <w:tcPr>
            <w:tcW w:w="1120" w:type="dxa"/>
            <w:vAlign w:val="bottom"/>
            <w:gridSpan w:val="2"/>
          </w:tcPr>
          <w:p>
            <w:pPr>
              <w:spacing w:after="0"/>
              <w:rPr>
                <w:sz w:val="20"/>
                <w:szCs w:val="20"/>
                <w:color w:val="auto"/>
              </w:rPr>
            </w:pPr>
            <w:r>
              <w:rPr>
                <w:rFonts w:ascii="Arial" w:cs="Arial" w:eastAsia="Arial" w:hAnsi="Arial"/>
                <w:sz w:val="7"/>
                <w:szCs w:val="7"/>
                <w:color w:val="auto"/>
              </w:rPr>
              <w:t>Bridgewater, New Jersey</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670,000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230,000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343</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Aug-09</w:t>
            </w:r>
          </w:p>
        </w:tc>
        <w:tc>
          <w:tcPr>
            <w:tcW w:w="120" w:type="dxa"/>
            <w:vAlign w:val="bottom"/>
          </w:tcPr>
          <w:p>
            <w:pPr>
              <w:spacing w:after="0"/>
              <w:rPr>
                <w:sz w:val="20"/>
                <w:szCs w:val="20"/>
                <w:color w:val="auto"/>
              </w:rPr>
            </w:pPr>
            <w:r>
              <w:rPr>
                <w:rFonts w:ascii="Arial" w:cs="Arial" w:eastAsia="Arial" w:hAnsi="Arial"/>
                <w:sz w:val="7"/>
                <w:szCs w:val="7"/>
                <w:color w:val="auto"/>
                <w:w w:val="85"/>
              </w:rPr>
              <w:t>399</w:t>
            </w:r>
          </w:p>
        </w:tc>
        <w:tc>
          <w:tcPr>
            <w:tcW w:w="1340" w:type="dxa"/>
            <w:vAlign w:val="bottom"/>
            <w:gridSpan w:val="2"/>
          </w:tcPr>
          <w:p>
            <w:pPr>
              <w:spacing w:after="0"/>
              <w:rPr>
                <w:sz w:val="20"/>
                <w:szCs w:val="20"/>
                <w:color w:val="auto"/>
              </w:rPr>
            </w:pPr>
            <w:r>
              <w:rPr>
                <w:rFonts w:ascii="Arial" w:cs="Arial" w:eastAsia="Arial" w:hAnsi="Arial"/>
                <w:sz w:val="7"/>
                <w:szCs w:val="7"/>
                <w:color w:val="auto"/>
              </w:rPr>
              <w:t>Knollwood Road</w:t>
            </w:r>
          </w:p>
        </w:tc>
        <w:tc>
          <w:tcPr>
            <w:tcW w:w="1120" w:type="dxa"/>
            <w:vAlign w:val="bottom"/>
            <w:gridSpan w:val="2"/>
          </w:tcPr>
          <w:p>
            <w:pPr>
              <w:spacing w:after="0"/>
              <w:rPr>
                <w:sz w:val="20"/>
                <w:szCs w:val="20"/>
                <w:color w:val="auto"/>
              </w:rPr>
            </w:pPr>
            <w:r>
              <w:rPr>
                <w:rFonts w:ascii="Arial" w:cs="Arial" w:eastAsia="Arial" w:hAnsi="Arial"/>
                <w:sz w:val="7"/>
                <w:szCs w:val="7"/>
                <w:color w:val="auto"/>
              </w:rPr>
              <w:t>White Plains,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145,000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20,767</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143</w:t>
            </w:r>
          </w:p>
        </w:tc>
      </w:tr>
      <w:tr>
        <w:trPr>
          <w:trHeight w:val="108"/>
        </w:trPr>
        <w:tc>
          <w:tcPr>
            <w:tcW w:w="840" w:type="dxa"/>
            <w:vAlign w:val="bottom"/>
          </w:tcPr>
          <w:p>
            <w:pPr>
              <w:jc w:val="center"/>
              <w:spacing w:after="0"/>
              <w:rPr>
                <w:sz w:val="20"/>
                <w:szCs w:val="20"/>
                <w:color w:val="auto"/>
              </w:rPr>
            </w:pPr>
            <w:r>
              <w:rPr>
                <w:rFonts w:ascii="Arial" w:cs="Arial" w:eastAsia="Arial" w:hAnsi="Arial"/>
                <w:sz w:val="7"/>
                <w:szCs w:val="7"/>
                <w:color w:val="auto"/>
                <w:w w:val="94"/>
              </w:rPr>
              <w:t>Jul-12</w:t>
            </w:r>
          </w:p>
        </w:tc>
        <w:tc>
          <w:tcPr>
            <w:tcW w:w="1460" w:type="dxa"/>
            <w:vAlign w:val="bottom"/>
            <w:gridSpan w:val="3"/>
          </w:tcPr>
          <w:p>
            <w:pPr>
              <w:spacing w:after="0"/>
              <w:rPr>
                <w:sz w:val="20"/>
                <w:szCs w:val="20"/>
                <w:color w:val="auto"/>
              </w:rPr>
            </w:pPr>
            <w:r>
              <w:rPr>
                <w:rFonts w:ascii="Arial" w:cs="Arial" w:eastAsia="Arial" w:hAnsi="Arial"/>
                <w:sz w:val="7"/>
                <w:szCs w:val="7"/>
                <w:color w:val="auto"/>
              </w:rPr>
              <w:t>One Court Square</w:t>
            </w:r>
          </w:p>
        </w:tc>
        <w:tc>
          <w:tcPr>
            <w:tcW w:w="1120" w:type="dxa"/>
            <w:vAlign w:val="bottom"/>
            <w:gridSpan w:val="2"/>
          </w:tcPr>
          <w:p>
            <w:pPr>
              <w:spacing w:after="0"/>
              <w:rPr>
                <w:sz w:val="20"/>
                <w:szCs w:val="20"/>
                <w:color w:val="auto"/>
              </w:rPr>
            </w:pPr>
            <w:r>
              <w:rPr>
                <w:rFonts w:ascii="Arial" w:cs="Arial" w:eastAsia="Arial" w:hAnsi="Arial"/>
                <w:sz w:val="7"/>
                <w:szCs w:val="7"/>
                <w:color w:val="auto"/>
              </w:rPr>
              <w:t>Long Island City,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1,402,000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481,100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343</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Sep-13</w:t>
            </w:r>
          </w:p>
        </w:tc>
        <w:tc>
          <w:tcPr>
            <w:tcW w:w="120" w:type="dxa"/>
            <w:vAlign w:val="bottom"/>
          </w:tcPr>
          <w:p>
            <w:pPr>
              <w:spacing w:after="0"/>
              <w:rPr>
                <w:sz w:val="20"/>
                <w:szCs w:val="20"/>
                <w:color w:val="auto"/>
              </w:rPr>
            </w:pPr>
            <w:r>
              <w:rPr>
                <w:rFonts w:ascii="Arial" w:cs="Arial" w:eastAsia="Arial" w:hAnsi="Arial"/>
                <w:sz w:val="7"/>
                <w:szCs w:val="7"/>
                <w:color w:val="auto"/>
                <w:w w:val="85"/>
              </w:rPr>
              <w:t>300</w:t>
            </w:r>
          </w:p>
        </w:tc>
        <w:tc>
          <w:tcPr>
            <w:tcW w:w="1340" w:type="dxa"/>
            <w:vAlign w:val="bottom"/>
            <w:gridSpan w:val="2"/>
          </w:tcPr>
          <w:p>
            <w:pPr>
              <w:spacing w:after="0"/>
              <w:rPr>
                <w:sz w:val="20"/>
                <w:szCs w:val="20"/>
                <w:color w:val="auto"/>
              </w:rPr>
            </w:pPr>
            <w:r>
              <w:rPr>
                <w:rFonts w:ascii="Arial" w:cs="Arial" w:eastAsia="Arial" w:hAnsi="Arial"/>
                <w:sz w:val="7"/>
                <w:szCs w:val="7"/>
                <w:color w:val="auto"/>
              </w:rPr>
              <w:t>Main Street</w:t>
            </w:r>
          </w:p>
        </w:tc>
        <w:tc>
          <w:tcPr>
            <w:tcW w:w="1120" w:type="dxa"/>
            <w:vAlign w:val="bottom"/>
            <w:gridSpan w:val="2"/>
          </w:tcPr>
          <w:p>
            <w:pPr>
              <w:spacing w:after="0"/>
              <w:rPr>
                <w:sz w:val="20"/>
                <w:szCs w:val="20"/>
                <w:color w:val="auto"/>
              </w:rPr>
            </w:pPr>
            <w:r>
              <w:rPr>
                <w:rFonts w:ascii="Arial" w:cs="Arial" w:eastAsia="Arial" w:hAnsi="Arial"/>
                <w:sz w:val="7"/>
                <w:szCs w:val="7"/>
                <w:color w:val="auto"/>
              </w:rPr>
              <w:t>Stamford, Connecticut</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130,000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13,500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104</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Aug-15</w:t>
            </w:r>
          </w:p>
        </w:tc>
        <w:tc>
          <w:tcPr>
            <w:tcW w:w="1460" w:type="dxa"/>
            <w:vAlign w:val="bottom"/>
            <w:gridSpan w:val="3"/>
          </w:tcPr>
          <w:p>
            <w:pPr>
              <w:spacing w:after="0"/>
              <w:rPr>
                <w:sz w:val="20"/>
                <w:szCs w:val="20"/>
                <w:color w:val="auto"/>
              </w:rPr>
            </w:pPr>
            <w:r>
              <w:rPr>
                <w:rFonts w:ascii="Arial" w:cs="Arial" w:eastAsia="Arial" w:hAnsi="Arial"/>
                <w:sz w:val="7"/>
                <w:szCs w:val="7"/>
                <w:color w:val="auto"/>
              </w:rPr>
              <w:t>The Meadows</w:t>
            </w:r>
          </w:p>
        </w:tc>
        <w:tc>
          <w:tcPr>
            <w:tcW w:w="1120" w:type="dxa"/>
            <w:vAlign w:val="bottom"/>
            <w:gridSpan w:val="2"/>
          </w:tcPr>
          <w:p>
            <w:pPr>
              <w:spacing w:after="0"/>
              <w:rPr>
                <w:sz w:val="20"/>
                <w:szCs w:val="20"/>
                <w:color w:val="auto"/>
              </w:rPr>
            </w:pPr>
            <w:r>
              <w:rPr>
                <w:rFonts w:ascii="Arial" w:cs="Arial" w:eastAsia="Arial" w:hAnsi="Arial"/>
                <w:sz w:val="7"/>
                <w:szCs w:val="7"/>
                <w:color w:val="auto"/>
              </w:rPr>
              <w:t>Rutherford, New Jersey</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582,100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121,100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208</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Dec-15</w:t>
            </w:r>
          </w:p>
        </w:tc>
        <w:tc>
          <w:tcPr>
            <w:tcW w:w="120" w:type="dxa"/>
            <w:vAlign w:val="bottom"/>
          </w:tcPr>
          <w:p>
            <w:pPr>
              <w:spacing w:after="0"/>
              <w:rPr>
                <w:sz w:val="20"/>
                <w:szCs w:val="20"/>
                <w:color w:val="auto"/>
              </w:rPr>
            </w:pPr>
            <w:r>
              <w:rPr>
                <w:rFonts w:ascii="Arial" w:cs="Arial" w:eastAsia="Arial" w:hAnsi="Arial"/>
                <w:sz w:val="7"/>
                <w:szCs w:val="7"/>
                <w:color w:val="auto"/>
                <w:w w:val="85"/>
              </w:rPr>
              <w:t>140</w:t>
            </w:r>
          </w:p>
        </w:tc>
        <w:tc>
          <w:tcPr>
            <w:tcW w:w="1340" w:type="dxa"/>
            <w:vAlign w:val="bottom"/>
            <w:gridSpan w:val="2"/>
          </w:tcPr>
          <w:p>
            <w:pPr>
              <w:spacing w:after="0"/>
              <w:rPr>
                <w:sz w:val="20"/>
                <w:szCs w:val="20"/>
                <w:color w:val="auto"/>
              </w:rPr>
            </w:pPr>
            <w:r>
              <w:rPr>
                <w:rFonts w:ascii="Arial" w:cs="Arial" w:eastAsia="Arial" w:hAnsi="Arial"/>
                <w:sz w:val="7"/>
                <w:szCs w:val="7"/>
                <w:color w:val="auto"/>
              </w:rPr>
              <w:t>Grand Street</w:t>
            </w:r>
          </w:p>
        </w:tc>
        <w:tc>
          <w:tcPr>
            <w:tcW w:w="1120" w:type="dxa"/>
            <w:vAlign w:val="bottom"/>
            <w:gridSpan w:val="2"/>
          </w:tcPr>
          <w:p>
            <w:pPr>
              <w:spacing w:after="0"/>
              <w:rPr>
                <w:sz w:val="20"/>
                <w:szCs w:val="20"/>
                <w:color w:val="auto"/>
              </w:rPr>
            </w:pPr>
            <w:r>
              <w:rPr>
                <w:rFonts w:ascii="Arial" w:cs="Arial" w:eastAsia="Arial" w:hAnsi="Arial"/>
                <w:sz w:val="7"/>
                <w:szCs w:val="7"/>
                <w:color w:val="auto"/>
              </w:rPr>
              <w:t>White Plains,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130,100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22,400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172</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Dec-15</w:t>
            </w:r>
          </w:p>
        </w:tc>
        <w:tc>
          <w:tcPr>
            <w:tcW w:w="120" w:type="dxa"/>
            <w:vAlign w:val="bottom"/>
          </w:tcPr>
          <w:p>
            <w:pPr>
              <w:spacing w:after="0"/>
              <w:rPr>
                <w:sz w:val="20"/>
                <w:szCs w:val="20"/>
                <w:color w:val="auto"/>
              </w:rPr>
            </w:pPr>
            <w:r>
              <w:rPr>
                <w:rFonts w:ascii="Arial" w:cs="Arial" w:eastAsia="Arial" w:hAnsi="Arial"/>
                <w:sz w:val="7"/>
                <w:szCs w:val="7"/>
                <w:color w:val="auto"/>
                <w:w w:val="85"/>
              </w:rPr>
              <w:t>150</w:t>
            </w:r>
          </w:p>
        </w:tc>
        <w:tc>
          <w:tcPr>
            <w:tcW w:w="1340" w:type="dxa"/>
            <w:vAlign w:val="bottom"/>
            <w:gridSpan w:val="2"/>
          </w:tcPr>
          <w:p>
            <w:pPr>
              <w:spacing w:after="0"/>
              <w:rPr>
                <w:sz w:val="20"/>
                <w:szCs w:val="20"/>
                <w:color w:val="auto"/>
              </w:rPr>
            </w:pPr>
            <w:r>
              <w:rPr>
                <w:rFonts w:ascii="Arial" w:cs="Arial" w:eastAsia="Arial" w:hAnsi="Arial"/>
                <w:sz w:val="7"/>
                <w:szCs w:val="7"/>
                <w:color w:val="auto"/>
              </w:rPr>
              <w:t>Grand Street</w:t>
            </w:r>
          </w:p>
        </w:tc>
        <w:tc>
          <w:tcPr>
            <w:tcW w:w="1120" w:type="dxa"/>
            <w:vAlign w:val="bottom"/>
            <w:gridSpan w:val="2"/>
          </w:tcPr>
          <w:p>
            <w:pPr>
              <w:spacing w:after="0"/>
              <w:rPr>
                <w:sz w:val="20"/>
                <w:szCs w:val="20"/>
                <w:color w:val="auto"/>
              </w:rPr>
            </w:pPr>
            <w:r>
              <w:rPr>
                <w:rFonts w:ascii="Arial" w:cs="Arial" w:eastAsia="Arial" w:hAnsi="Arial"/>
                <w:sz w:val="7"/>
                <w:szCs w:val="7"/>
                <w:color w:val="auto"/>
              </w:rPr>
              <w:t>White Plains,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85,000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9,600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113</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9"/>
              </w:rPr>
              <w:t>Mar-16</w:t>
            </w:r>
          </w:p>
        </w:tc>
        <w:tc>
          <w:tcPr>
            <w:tcW w:w="1460" w:type="dxa"/>
            <w:vAlign w:val="bottom"/>
            <w:gridSpan w:val="3"/>
          </w:tcPr>
          <w:p>
            <w:pPr>
              <w:spacing w:after="0"/>
              <w:rPr>
                <w:sz w:val="20"/>
                <w:szCs w:val="20"/>
                <w:color w:val="auto"/>
              </w:rPr>
            </w:pPr>
            <w:r>
              <w:rPr>
                <w:rFonts w:ascii="Arial" w:cs="Arial" w:eastAsia="Arial" w:hAnsi="Arial"/>
                <w:sz w:val="7"/>
                <w:szCs w:val="7"/>
                <w:color w:val="auto"/>
              </w:rPr>
              <w:t>7 Renaissance Square</w:t>
            </w:r>
          </w:p>
        </w:tc>
        <w:tc>
          <w:tcPr>
            <w:tcW w:w="1120" w:type="dxa"/>
            <w:vAlign w:val="bottom"/>
            <w:gridSpan w:val="2"/>
          </w:tcPr>
          <w:p>
            <w:pPr>
              <w:spacing w:after="0"/>
              <w:rPr>
                <w:sz w:val="20"/>
                <w:szCs w:val="20"/>
                <w:color w:val="auto"/>
              </w:rPr>
            </w:pPr>
            <w:r>
              <w:rPr>
                <w:rFonts w:ascii="Arial" w:cs="Arial" w:eastAsia="Arial" w:hAnsi="Arial"/>
                <w:sz w:val="7"/>
                <w:szCs w:val="7"/>
                <w:color w:val="auto"/>
              </w:rPr>
              <w:t>White Plains,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65,641</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21,000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320</w:t>
            </w:r>
          </w:p>
        </w:tc>
      </w:tr>
      <w:tr>
        <w:trPr>
          <w:trHeight w:val="108"/>
        </w:trPr>
        <w:tc>
          <w:tcPr>
            <w:tcW w:w="840" w:type="dxa"/>
            <w:vAlign w:val="bottom"/>
          </w:tcPr>
          <w:p>
            <w:pPr>
              <w:jc w:val="center"/>
              <w:spacing w:after="0"/>
              <w:rPr>
                <w:sz w:val="20"/>
                <w:szCs w:val="20"/>
                <w:color w:val="auto"/>
              </w:rPr>
            </w:pPr>
            <w:r>
              <w:rPr>
                <w:rFonts w:ascii="Arial" w:cs="Arial" w:eastAsia="Arial" w:hAnsi="Arial"/>
                <w:sz w:val="7"/>
                <w:szCs w:val="7"/>
                <w:color w:val="auto"/>
                <w:w w:val="94"/>
              </w:rPr>
              <w:t>Jul-16</w:t>
            </w:r>
          </w:p>
        </w:tc>
        <w:tc>
          <w:tcPr>
            <w:tcW w:w="120" w:type="dxa"/>
            <w:vAlign w:val="bottom"/>
          </w:tcPr>
          <w:p>
            <w:pPr>
              <w:spacing w:after="0"/>
              <w:rPr>
                <w:sz w:val="20"/>
                <w:szCs w:val="20"/>
                <w:color w:val="auto"/>
              </w:rPr>
            </w:pPr>
            <w:r>
              <w:rPr>
                <w:rFonts w:ascii="Arial" w:cs="Arial" w:eastAsia="Arial" w:hAnsi="Arial"/>
                <w:sz w:val="7"/>
                <w:szCs w:val="7"/>
                <w:color w:val="auto"/>
                <w:w w:val="85"/>
              </w:rPr>
              <w:t>500</w:t>
            </w:r>
          </w:p>
        </w:tc>
        <w:tc>
          <w:tcPr>
            <w:tcW w:w="1340" w:type="dxa"/>
            <w:vAlign w:val="bottom"/>
            <w:gridSpan w:val="2"/>
          </w:tcPr>
          <w:p>
            <w:pPr>
              <w:spacing w:after="0"/>
              <w:rPr>
                <w:sz w:val="20"/>
                <w:szCs w:val="20"/>
                <w:color w:val="auto"/>
              </w:rPr>
            </w:pPr>
            <w:r>
              <w:rPr>
                <w:rFonts w:ascii="Arial" w:cs="Arial" w:eastAsia="Arial" w:hAnsi="Arial"/>
                <w:sz w:val="7"/>
                <w:szCs w:val="7"/>
                <w:color w:val="auto"/>
              </w:rPr>
              <w:t>West Putnam Avenue</w:t>
            </w:r>
          </w:p>
        </w:tc>
        <w:tc>
          <w:tcPr>
            <w:tcW w:w="1120" w:type="dxa"/>
            <w:vAlign w:val="bottom"/>
            <w:gridSpan w:val="2"/>
          </w:tcPr>
          <w:p>
            <w:pPr>
              <w:spacing w:after="0"/>
              <w:rPr>
                <w:sz w:val="20"/>
                <w:szCs w:val="20"/>
                <w:color w:val="auto"/>
              </w:rPr>
            </w:pPr>
            <w:r>
              <w:rPr>
                <w:rFonts w:ascii="Arial" w:cs="Arial" w:eastAsia="Arial" w:hAnsi="Arial"/>
                <w:sz w:val="7"/>
                <w:szCs w:val="7"/>
                <w:color w:val="auto"/>
              </w:rPr>
              <w:t>Greenwich, Connecticut</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121,500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41,000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337</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4"/>
              </w:rPr>
              <w:t>Apr-17</w:t>
            </w:r>
          </w:p>
        </w:tc>
        <w:tc>
          <w:tcPr>
            <w:tcW w:w="120" w:type="dxa"/>
            <w:vAlign w:val="bottom"/>
          </w:tcPr>
          <w:p>
            <w:pPr>
              <w:spacing w:after="0"/>
              <w:rPr>
                <w:sz w:val="20"/>
                <w:szCs w:val="20"/>
                <w:color w:val="auto"/>
              </w:rPr>
            </w:pPr>
            <w:r>
              <w:rPr>
                <w:rFonts w:ascii="Arial" w:cs="Arial" w:eastAsia="Arial" w:hAnsi="Arial"/>
                <w:sz w:val="7"/>
                <w:szCs w:val="7"/>
                <w:color w:val="auto"/>
                <w:w w:val="85"/>
              </w:rPr>
              <w:t>520</w:t>
            </w:r>
          </w:p>
        </w:tc>
        <w:tc>
          <w:tcPr>
            <w:tcW w:w="1340" w:type="dxa"/>
            <w:vAlign w:val="bottom"/>
            <w:gridSpan w:val="2"/>
          </w:tcPr>
          <w:p>
            <w:pPr>
              <w:spacing w:after="0"/>
              <w:rPr>
                <w:sz w:val="20"/>
                <w:szCs w:val="20"/>
                <w:color w:val="auto"/>
              </w:rPr>
            </w:pPr>
            <w:r>
              <w:rPr>
                <w:rFonts w:ascii="Arial" w:cs="Arial" w:eastAsia="Arial" w:hAnsi="Arial"/>
                <w:sz w:val="7"/>
                <w:szCs w:val="7"/>
                <w:color w:val="auto"/>
              </w:rPr>
              <w:t>White Plains Road</w:t>
            </w:r>
          </w:p>
        </w:tc>
        <w:tc>
          <w:tcPr>
            <w:tcW w:w="1120" w:type="dxa"/>
            <w:vAlign w:val="bottom"/>
            <w:gridSpan w:val="2"/>
          </w:tcPr>
          <w:p>
            <w:pPr>
              <w:spacing w:after="0"/>
              <w:rPr>
                <w:sz w:val="20"/>
                <w:szCs w:val="20"/>
                <w:color w:val="auto"/>
              </w:rPr>
            </w:pPr>
            <w:r>
              <w:rPr>
                <w:rFonts w:ascii="Arial" w:cs="Arial" w:eastAsia="Arial" w:hAnsi="Arial"/>
                <w:sz w:val="7"/>
                <w:szCs w:val="7"/>
                <w:color w:val="auto"/>
              </w:rPr>
              <w:t>Tarrytown,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180,000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21,000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117</w:t>
            </w:r>
          </w:p>
        </w:tc>
      </w:tr>
      <w:tr>
        <w:trPr>
          <w:trHeight w:val="108"/>
        </w:trPr>
        <w:tc>
          <w:tcPr>
            <w:tcW w:w="840" w:type="dxa"/>
            <w:vAlign w:val="bottom"/>
          </w:tcPr>
          <w:p>
            <w:pPr>
              <w:jc w:val="center"/>
              <w:spacing w:after="0"/>
              <w:rPr>
                <w:sz w:val="20"/>
                <w:szCs w:val="20"/>
                <w:color w:val="auto"/>
              </w:rPr>
            </w:pPr>
            <w:r>
              <w:rPr>
                <w:rFonts w:ascii="Arial" w:cs="Arial" w:eastAsia="Arial" w:hAnsi="Arial"/>
                <w:sz w:val="7"/>
                <w:szCs w:val="7"/>
                <w:color w:val="auto"/>
                <w:w w:val="94"/>
              </w:rPr>
              <w:t>Jul-17</w:t>
            </w:r>
          </w:p>
        </w:tc>
        <w:tc>
          <w:tcPr>
            <w:tcW w:w="120" w:type="dxa"/>
            <w:vAlign w:val="bottom"/>
          </w:tcPr>
          <w:p>
            <w:pPr>
              <w:spacing w:after="0"/>
              <w:rPr>
                <w:sz w:val="20"/>
                <w:szCs w:val="20"/>
                <w:color w:val="auto"/>
              </w:rPr>
            </w:pPr>
            <w:r>
              <w:rPr>
                <w:rFonts w:ascii="Arial" w:cs="Arial" w:eastAsia="Arial" w:hAnsi="Arial"/>
                <w:sz w:val="7"/>
                <w:szCs w:val="7"/>
                <w:color w:val="auto"/>
                <w:w w:val="85"/>
              </w:rPr>
              <w:t>680</w:t>
            </w:r>
          </w:p>
        </w:tc>
        <w:tc>
          <w:tcPr>
            <w:tcW w:w="1340" w:type="dxa"/>
            <w:vAlign w:val="bottom"/>
            <w:gridSpan w:val="2"/>
          </w:tcPr>
          <w:p>
            <w:pPr>
              <w:spacing w:after="0"/>
              <w:rPr>
                <w:sz w:val="20"/>
                <w:szCs w:val="20"/>
                <w:color w:val="auto"/>
              </w:rPr>
            </w:pPr>
            <w:r>
              <w:rPr>
                <w:rFonts w:ascii="Arial" w:cs="Arial" w:eastAsia="Arial" w:hAnsi="Arial"/>
                <w:sz w:val="7"/>
                <w:szCs w:val="7"/>
                <w:color w:val="auto"/>
              </w:rPr>
              <w:t>Washington Avenue</w:t>
            </w:r>
          </w:p>
        </w:tc>
        <w:tc>
          <w:tcPr>
            <w:tcW w:w="1120" w:type="dxa"/>
            <w:vAlign w:val="bottom"/>
            <w:gridSpan w:val="2"/>
          </w:tcPr>
          <w:p>
            <w:pPr>
              <w:spacing w:after="0"/>
              <w:rPr>
                <w:sz w:val="20"/>
                <w:szCs w:val="20"/>
                <w:color w:val="auto"/>
              </w:rPr>
            </w:pPr>
            <w:r>
              <w:rPr>
                <w:rFonts w:ascii="Arial" w:cs="Arial" w:eastAsia="Arial" w:hAnsi="Arial"/>
                <w:sz w:val="7"/>
                <w:szCs w:val="7"/>
                <w:color w:val="auto"/>
              </w:rPr>
              <w:t>Stamford, Connecticut</w:t>
            </w:r>
          </w:p>
        </w:tc>
        <w:tc>
          <w:tcPr>
            <w:tcW w:w="480" w:type="dxa"/>
            <w:vAlign w:val="bottom"/>
            <w:gridSpan w:val="2"/>
          </w:tcPr>
          <w:p>
            <w:pPr>
              <w:jc w:val="center"/>
              <w:ind w:left="27"/>
              <w:spacing w:after="0"/>
              <w:rPr>
                <w:sz w:val="20"/>
                <w:szCs w:val="20"/>
                <w:color w:val="auto"/>
              </w:rPr>
            </w:pPr>
            <w:r>
              <w:rPr>
                <w:rFonts w:ascii="Arial" w:cs="Arial" w:eastAsia="Arial" w:hAnsi="Arial"/>
                <w:sz w:val="7"/>
                <w:szCs w:val="7"/>
                <w:color w:val="auto"/>
              </w:rPr>
              <w:t>51.0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133,000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42,011</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316</w:t>
            </w:r>
          </w:p>
        </w:tc>
      </w:tr>
      <w:tr>
        <w:trPr>
          <w:trHeight w:val="108"/>
        </w:trPr>
        <w:tc>
          <w:tcPr>
            <w:tcW w:w="840" w:type="dxa"/>
            <w:vAlign w:val="bottom"/>
          </w:tcPr>
          <w:p>
            <w:pPr>
              <w:jc w:val="center"/>
              <w:spacing w:after="0"/>
              <w:rPr>
                <w:sz w:val="20"/>
                <w:szCs w:val="20"/>
                <w:color w:val="auto"/>
              </w:rPr>
            </w:pPr>
            <w:r>
              <w:rPr>
                <w:rFonts w:ascii="Arial" w:cs="Arial" w:eastAsia="Arial" w:hAnsi="Arial"/>
                <w:sz w:val="7"/>
                <w:szCs w:val="7"/>
                <w:color w:val="auto"/>
                <w:w w:val="94"/>
              </w:rPr>
              <w:t>Jul-17</w:t>
            </w:r>
          </w:p>
        </w:tc>
        <w:tc>
          <w:tcPr>
            <w:tcW w:w="120" w:type="dxa"/>
            <w:vAlign w:val="bottom"/>
          </w:tcPr>
          <w:p>
            <w:pPr>
              <w:spacing w:after="0"/>
              <w:rPr>
                <w:sz w:val="20"/>
                <w:szCs w:val="20"/>
                <w:color w:val="auto"/>
              </w:rPr>
            </w:pPr>
            <w:r>
              <w:rPr>
                <w:rFonts w:ascii="Arial" w:cs="Arial" w:eastAsia="Arial" w:hAnsi="Arial"/>
                <w:sz w:val="7"/>
                <w:szCs w:val="7"/>
                <w:color w:val="auto"/>
                <w:w w:val="85"/>
              </w:rPr>
              <w:t>750</w:t>
            </w:r>
          </w:p>
        </w:tc>
        <w:tc>
          <w:tcPr>
            <w:tcW w:w="1340" w:type="dxa"/>
            <w:vAlign w:val="bottom"/>
            <w:gridSpan w:val="2"/>
          </w:tcPr>
          <w:p>
            <w:pPr>
              <w:spacing w:after="0"/>
              <w:rPr>
                <w:sz w:val="20"/>
                <w:szCs w:val="20"/>
                <w:color w:val="auto"/>
              </w:rPr>
            </w:pPr>
            <w:r>
              <w:rPr>
                <w:rFonts w:ascii="Arial" w:cs="Arial" w:eastAsia="Arial" w:hAnsi="Arial"/>
                <w:sz w:val="7"/>
                <w:szCs w:val="7"/>
                <w:color w:val="auto"/>
              </w:rPr>
              <w:t>Washington Avenue</w:t>
            </w:r>
          </w:p>
        </w:tc>
        <w:tc>
          <w:tcPr>
            <w:tcW w:w="1120" w:type="dxa"/>
            <w:vAlign w:val="bottom"/>
            <w:gridSpan w:val="2"/>
          </w:tcPr>
          <w:p>
            <w:pPr>
              <w:spacing w:after="0"/>
              <w:rPr>
                <w:sz w:val="20"/>
                <w:szCs w:val="20"/>
                <w:color w:val="auto"/>
              </w:rPr>
            </w:pPr>
            <w:r>
              <w:rPr>
                <w:rFonts w:ascii="Arial" w:cs="Arial" w:eastAsia="Arial" w:hAnsi="Arial"/>
                <w:sz w:val="7"/>
                <w:szCs w:val="7"/>
                <w:color w:val="auto"/>
              </w:rPr>
              <w:t>Stamford, Connecticut</w:t>
            </w:r>
          </w:p>
        </w:tc>
        <w:tc>
          <w:tcPr>
            <w:tcW w:w="480" w:type="dxa"/>
            <w:vAlign w:val="bottom"/>
            <w:gridSpan w:val="2"/>
          </w:tcPr>
          <w:p>
            <w:pPr>
              <w:jc w:val="center"/>
              <w:ind w:left="27"/>
              <w:spacing w:after="0"/>
              <w:rPr>
                <w:sz w:val="20"/>
                <w:szCs w:val="20"/>
                <w:color w:val="auto"/>
              </w:rPr>
            </w:pPr>
            <w:r>
              <w:rPr>
                <w:rFonts w:ascii="Arial" w:cs="Arial" w:eastAsia="Arial" w:hAnsi="Arial"/>
                <w:sz w:val="7"/>
                <w:szCs w:val="7"/>
                <w:color w:val="auto"/>
              </w:rPr>
              <w:t>51.0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192,000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53,745</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280</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4"/>
              </w:rPr>
              <w:t>Oct-17</w:t>
            </w:r>
          </w:p>
        </w:tc>
        <w:tc>
          <w:tcPr>
            <w:tcW w:w="1460" w:type="dxa"/>
            <w:vAlign w:val="bottom"/>
            <w:gridSpan w:val="3"/>
          </w:tcPr>
          <w:p>
            <w:pPr>
              <w:spacing w:after="0"/>
              <w:rPr>
                <w:sz w:val="20"/>
                <w:szCs w:val="20"/>
                <w:color w:val="auto"/>
              </w:rPr>
            </w:pPr>
            <w:r>
              <w:rPr>
                <w:rFonts w:ascii="Arial" w:cs="Arial" w:eastAsia="Arial" w:hAnsi="Arial"/>
                <w:sz w:val="7"/>
                <w:szCs w:val="7"/>
                <w:color w:val="auto"/>
              </w:rPr>
              <w:t>16 Court Street</w:t>
            </w:r>
          </w:p>
        </w:tc>
        <w:tc>
          <w:tcPr>
            <w:tcW w:w="11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317,600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171,000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538</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4"/>
              </w:rPr>
              <w:t>Oct-17</w:t>
            </w:r>
          </w:p>
        </w:tc>
        <w:tc>
          <w:tcPr>
            <w:tcW w:w="120" w:type="dxa"/>
            <w:vAlign w:val="bottom"/>
          </w:tcPr>
          <w:p>
            <w:pPr>
              <w:spacing w:after="0"/>
              <w:rPr>
                <w:sz w:val="20"/>
                <w:szCs w:val="20"/>
                <w:color w:val="auto"/>
              </w:rPr>
            </w:pPr>
            <w:r>
              <w:rPr>
                <w:rFonts w:ascii="Arial" w:cs="Arial" w:eastAsia="Arial" w:hAnsi="Arial"/>
                <w:sz w:val="7"/>
                <w:szCs w:val="7"/>
                <w:color w:val="auto"/>
                <w:w w:val="85"/>
              </w:rPr>
              <w:t>125</w:t>
            </w:r>
          </w:p>
        </w:tc>
        <w:tc>
          <w:tcPr>
            <w:tcW w:w="1340" w:type="dxa"/>
            <w:vAlign w:val="bottom"/>
            <w:gridSpan w:val="2"/>
          </w:tcPr>
          <w:p>
            <w:pPr>
              <w:spacing w:after="0"/>
              <w:rPr>
                <w:sz w:val="20"/>
                <w:szCs w:val="20"/>
                <w:color w:val="auto"/>
              </w:rPr>
            </w:pPr>
            <w:r>
              <w:rPr>
                <w:rFonts w:ascii="Arial" w:cs="Arial" w:eastAsia="Arial" w:hAnsi="Arial"/>
                <w:sz w:val="7"/>
                <w:szCs w:val="7"/>
                <w:color w:val="auto"/>
              </w:rPr>
              <w:t>Chubb Way</w:t>
            </w:r>
          </w:p>
        </w:tc>
        <w:tc>
          <w:tcPr>
            <w:tcW w:w="1120" w:type="dxa"/>
            <w:vAlign w:val="bottom"/>
            <w:gridSpan w:val="2"/>
          </w:tcPr>
          <w:p>
            <w:pPr>
              <w:spacing w:after="0"/>
              <w:rPr>
                <w:sz w:val="20"/>
                <w:szCs w:val="20"/>
                <w:color w:val="auto"/>
              </w:rPr>
            </w:pPr>
            <w:r>
              <w:rPr>
                <w:rFonts w:ascii="Arial" w:cs="Arial" w:eastAsia="Arial" w:hAnsi="Arial"/>
                <w:sz w:val="7"/>
                <w:szCs w:val="7"/>
                <w:color w:val="auto"/>
              </w:rPr>
              <w:t>Lyndhurst, New Jersey</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278,000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29,500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106</w:t>
            </w:r>
          </w:p>
        </w:tc>
      </w:tr>
      <w:tr>
        <w:trPr>
          <w:trHeight w:val="108"/>
        </w:trPr>
        <w:tc>
          <w:tcPr>
            <w:tcW w:w="840" w:type="dxa"/>
            <w:vAlign w:val="bottom"/>
          </w:tcPr>
          <w:p>
            <w:pPr>
              <w:jc w:val="center"/>
              <w:spacing w:after="0"/>
              <w:rPr>
                <w:sz w:val="20"/>
                <w:szCs w:val="20"/>
                <w:color w:val="auto"/>
              </w:rPr>
            </w:pPr>
            <w:r>
              <w:rPr>
                <w:rFonts w:ascii="Arial" w:cs="Arial" w:eastAsia="Arial" w:hAnsi="Arial"/>
                <w:sz w:val="7"/>
                <w:szCs w:val="7"/>
                <w:color w:val="auto"/>
                <w:w w:val="94"/>
              </w:rPr>
              <w:t>May-18</w:t>
            </w:r>
          </w:p>
        </w:tc>
        <w:tc>
          <w:tcPr>
            <w:tcW w:w="1460" w:type="dxa"/>
            <w:vAlign w:val="bottom"/>
            <w:gridSpan w:val="3"/>
          </w:tcPr>
          <w:p>
            <w:pPr>
              <w:spacing w:after="0"/>
              <w:rPr>
                <w:sz w:val="20"/>
                <w:szCs w:val="20"/>
                <w:color w:val="auto"/>
              </w:rPr>
            </w:pPr>
            <w:r>
              <w:rPr>
                <w:rFonts w:ascii="Arial" w:cs="Arial" w:eastAsia="Arial" w:hAnsi="Arial"/>
                <w:sz w:val="7"/>
                <w:szCs w:val="7"/>
                <w:color w:val="auto"/>
              </w:rPr>
              <w:t>115-117 Stevens Avenue</w:t>
            </w:r>
          </w:p>
        </w:tc>
        <w:tc>
          <w:tcPr>
            <w:tcW w:w="1120" w:type="dxa"/>
            <w:vAlign w:val="bottom"/>
            <w:gridSpan w:val="2"/>
          </w:tcPr>
          <w:p>
            <w:pPr>
              <w:spacing w:after="0"/>
              <w:rPr>
                <w:sz w:val="20"/>
                <w:szCs w:val="20"/>
                <w:color w:val="auto"/>
              </w:rPr>
            </w:pPr>
            <w:r>
              <w:rPr>
                <w:rFonts w:ascii="Arial" w:cs="Arial" w:eastAsia="Arial" w:hAnsi="Arial"/>
                <w:sz w:val="7"/>
                <w:szCs w:val="7"/>
                <w:color w:val="auto"/>
              </w:rPr>
              <w:t>Valhalla,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178,000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12,000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67</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93"/>
              </w:rPr>
              <w:t>Jun-18</w:t>
            </w:r>
          </w:p>
        </w:tc>
        <w:tc>
          <w:tcPr>
            <w:tcW w:w="1460" w:type="dxa"/>
            <w:vAlign w:val="bottom"/>
            <w:gridSpan w:val="3"/>
          </w:tcPr>
          <w:p>
            <w:pPr>
              <w:spacing w:after="0"/>
              <w:rPr>
                <w:sz w:val="20"/>
                <w:szCs w:val="20"/>
                <w:color w:val="auto"/>
              </w:rPr>
            </w:pPr>
            <w:r>
              <w:rPr>
                <w:rFonts w:ascii="Arial" w:cs="Arial" w:eastAsia="Arial" w:hAnsi="Arial"/>
                <w:sz w:val="7"/>
                <w:szCs w:val="7"/>
                <w:color w:val="auto"/>
              </w:rPr>
              <w:t>Jericho Plaza</w:t>
            </w:r>
          </w:p>
        </w:tc>
        <w:tc>
          <w:tcPr>
            <w:tcW w:w="1120" w:type="dxa"/>
            <w:vAlign w:val="bottom"/>
            <w:gridSpan w:val="2"/>
          </w:tcPr>
          <w:p>
            <w:pPr>
              <w:spacing w:after="0"/>
              <w:rPr>
                <w:sz w:val="20"/>
                <w:szCs w:val="20"/>
                <w:color w:val="auto"/>
              </w:rPr>
            </w:pPr>
            <w:r>
              <w:rPr>
                <w:rFonts w:ascii="Arial" w:cs="Arial" w:eastAsia="Arial" w:hAnsi="Arial"/>
                <w:sz w:val="7"/>
                <w:szCs w:val="7"/>
                <w:color w:val="auto"/>
              </w:rPr>
              <w:t>Jericho,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87"/>
              </w:rPr>
              <w:t>11.7</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640,000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117,400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183</w:t>
            </w:r>
          </w:p>
        </w:tc>
      </w:tr>
      <w:tr>
        <w:trPr>
          <w:trHeight w:val="108"/>
        </w:trPr>
        <w:tc>
          <w:tcPr>
            <w:tcW w:w="840" w:type="dxa"/>
            <w:vAlign w:val="bottom"/>
          </w:tcPr>
          <w:p>
            <w:pPr>
              <w:jc w:val="center"/>
              <w:spacing w:after="0"/>
              <w:rPr>
                <w:sz w:val="20"/>
                <w:szCs w:val="20"/>
                <w:color w:val="auto"/>
              </w:rPr>
            </w:pPr>
            <w:r>
              <w:rPr>
                <w:rFonts w:ascii="Arial" w:cs="Arial" w:eastAsia="Arial" w:hAnsi="Arial"/>
                <w:sz w:val="7"/>
                <w:szCs w:val="7"/>
                <w:color w:val="auto"/>
                <w:w w:val="94"/>
              </w:rPr>
              <w:t>Jul-18</w:t>
            </w:r>
          </w:p>
        </w:tc>
        <w:tc>
          <w:tcPr>
            <w:tcW w:w="1460" w:type="dxa"/>
            <w:vAlign w:val="bottom"/>
            <w:gridSpan w:val="3"/>
          </w:tcPr>
          <w:p>
            <w:pPr>
              <w:spacing w:after="0"/>
              <w:rPr>
                <w:sz w:val="20"/>
                <w:szCs w:val="20"/>
                <w:color w:val="auto"/>
              </w:rPr>
            </w:pPr>
            <w:r>
              <w:rPr>
                <w:rFonts w:ascii="Arial" w:cs="Arial" w:eastAsia="Arial" w:hAnsi="Arial"/>
                <w:sz w:val="7"/>
                <w:szCs w:val="7"/>
                <w:color w:val="auto"/>
              </w:rPr>
              <w:t>1-6 International Drive</w:t>
            </w:r>
          </w:p>
        </w:tc>
        <w:tc>
          <w:tcPr>
            <w:tcW w:w="1120" w:type="dxa"/>
            <w:vAlign w:val="bottom"/>
            <w:gridSpan w:val="2"/>
          </w:tcPr>
          <w:p>
            <w:pPr>
              <w:spacing w:after="0"/>
              <w:rPr>
                <w:sz w:val="20"/>
                <w:szCs w:val="20"/>
                <w:color w:val="auto"/>
              </w:rPr>
            </w:pPr>
            <w:r>
              <w:rPr>
                <w:rFonts w:ascii="Arial" w:cs="Arial" w:eastAsia="Arial" w:hAnsi="Arial"/>
                <w:sz w:val="7"/>
                <w:szCs w:val="7"/>
                <w:color w:val="auto"/>
              </w:rPr>
              <w:t>Rye Brook,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540,000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55,000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102</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Nov-19</w:t>
            </w:r>
          </w:p>
        </w:tc>
        <w:tc>
          <w:tcPr>
            <w:tcW w:w="1460" w:type="dxa"/>
            <w:vAlign w:val="bottom"/>
            <w:gridSpan w:val="3"/>
          </w:tcPr>
          <w:p>
            <w:pPr>
              <w:spacing w:after="0"/>
              <w:rPr>
                <w:sz w:val="20"/>
                <w:szCs w:val="20"/>
                <w:color w:val="auto"/>
              </w:rPr>
            </w:pPr>
            <w:r>
              <w:rPr>
                <w:rFonts w:ascii="Arial" w:cs="Arial" w:eastAsia="Arial" w:hAnsi="Arial"/>
                <w:sz w:val="7"/>
                <w:szCs w:val="7"/>
                <w:color w:val="auto"/>
              </w:rPr>
              <w:t>1010 Washington Boulevard</w:t>
            </w:r>
          </w:p>
        </w:tc>
        <w:tc>
          <w:tcPr>
            <w:tcW w:w="1120" w:type="dxa"/>
            <w:vAlign w:val="bottom"/>
            <w:gridSpan w:val="2"/>
          </w:tcPr>
          <w:p>
            <w:pPr>
              <w:spacing w:after="0"/>
              <w:rPr>
                <w:sz w:val="20"/>
                <w:szCs w:val="20"/>
                <w:color w:val="auto"/>
              </w:rPr>
            </w:pPr>
            <w:r>
              <w:rPr>
                <w:rFonts w:ascii="Arial" w:cs="Arial" w:eastAsia="Arial" w:hAnsi="Arial"/>
                <w:sz w:val="7"/>
                <w:szCs w:val="7"/>
                <w:color w:val="auto"/>
              </w:rPr>
              <w:t>Stamford, Connecticut</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143,400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23,100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161</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Dec-19</w:t>
            </w:r>
          </w:p>
        </w:tc>
        <w:tc>
          <w:tcPr>
            <w:tcW w:w="120" w:type="dxa"/>
            <w:vAlign w:val="bottom"/>
          </w:tcPr>
          <w:p>
            <w:pPr>
              <w:spacing w:after="0"/>
              <w:rPr>
                <w:sz w:val="20"/>
                <w:szCs w:val="20"/>
                <w:color w:val="auto"/>
              </w:rPr>
            </w:pPr>
            <w:r>
              <w:rPr>
                <w:rFonts w:ascii="Arial" w:cs="Arial" w:eastAsia="Arial" w:hAnsi="Arial"/>
                <w:sz w:val="7"/>
                <w:szCs w:val="7"/>
                <w:color w:val="auto"/>
                <w:w w:val="85"/>
              </w:rPr>
              <w:t>100</w:t>
            </w:r>
          </w:p>
        </w:tc>
        <w:tc>
          <w:tcPr>
            <w:tcW w:w="1340" w:type="dxa"/>
            <w:vAlign w:val="bottom"/>
            <w:gridSpan w:val="2"/>
          </w:tcPr>
          <w:p>
            <w:pPr>
              <w:spacing w:after="0"/>
              <w:rPr>
                <w:sz w:val="20"/>
                <w:szCs w:val="20"/>
                <w:color w:val="auto"/>
              </w:rPr>
            </w:pPr>
            <w:r>
              <w:rPr>
                <w:rFonts w:ascii="Arial" w:cs="Arial" w:eastAsia="Arial" w:hAnsi="Arial"/>
                <w:sz w:val="7"/>
                <w:szCs w:val="7"/>
                <w:color w:val="auto"/>
              </w:rPr>
              <w:t>Summit Lake Drive</w:t>
            </w:r>
          </w:p>
        </w:tc>
        <w:tc>
          <w:tcPr>
            <w:tcW w:w="1120" w:type="dxa"/>
            <w:vAlign w:val="bottom"/>
            <w:gridSpan w:val="2"/>
          </w:tcPr>
          <w:p>
            <w:pPr>
              <w:spacing w:after="0"/>
              <w:rPr>
                <w:sz w:val="20"/>
                <w:szCs w:val="20"/>
                <w:color w:val="auto"/>
              </w:rPr>
            </w:pPr>
            <w:r>
              <w:rPr>
                <w:rFonts w:ascii="Arial" w:cs="Arial" w:eastAsia="Arial" w:hAnsi="Arial"/>
                <w:sz w:val="7"/>
                <w:szCs w:val="7"/>
                <w:color w:val="auto"/>
              </w:rPr>
              <w:t>Valhalla,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250,000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41,581</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166</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Dec-19</w:t>
            </w:r>
          </w:p>
        </w:tc>
        <w:tc>
          <w:tcPr>
            <w:tcW w:w="120" w:type="dxa"/>
            <w:vAlign w:val="bottom"/>
          </w:tcPr>
          <w:p>
            <w:pPr>
              <w:spacing w:after="0"/>
              <w:rPr>
                <w:sz w:val="20"/>
                <w:szCs w:val="20"/>
                <w:color w:val="auto"/>
              </w:rPr>
            </w:pPr>
            <w:r>
              <w:rPr>
                <w:rFonts w:ascii="Arial" w:cs="Arial" w:eastAsia="Arial" w:hAnsi="Arial"/>
                <w:sz w:val="7"/>
                <w:szCs w:val="7"/>
                <w:color w:val="auto"/>
                <w:w w:val="85"/>
              </w:rPr>
              <w:t>200</w:t>
            </w:r>
          </w:p>
        </w:tc>
        <w:tc>
          <w:tcPr>
            <w:tcW w:w="1340" w:type="dxa"/>
            <w:vAlign w:val="bottom"/>
            <w:gridSpan w:val="2"/>
          </w:tcPr>
          <w:p>
            <w:pPr>
              <w:spacing w:after="0"/>
              <w:rPr>
                <w:sz w:val="20"/>
                <w:szCs w:val="20"/>
                <w:color w:val="auto"/>
              </w:rPr>
            </w:pPr>
            <w:r>
              <w:rPr>
                <w:rFonts w:ascii="Arial" w:cs="Arial" w:eastAsia="Arial" w:hAnsi="Arial"/>
                <w:sz w:val="7"/>
                <w:szCs w:val="7"/>
                <w:color w:val="auto"/>
              </w:rPr>
              <w:t>Summit Lake Drive</w:t>
            </w:r>
          </w:p>
        </w:tc>
        <w:tc>
          <w:tcPr>
            <w:tcW w:w="1120" w:type="dxa"/>
            <w:vAlign w:val="bottom"/>
            <w:gridSpan w:val="2"/>
          </w:tcPr>
          <w:p>
            <w:pPr>
              <w:spacing w:after="0"/>
              <w:rPr>
                <w:sz w:val="20"/>
                <w:szCs w:val="20"/>
                <w:color w:val="auto"/>
              </w:rPr>
            </w:pPr>
            <w:r>
              <w:rPr>
                <w:rFonts w:ascii="Arial" w:cs="Arial" w:eastAsia="Arial" w:hAnsi="Arial"/>
                <w:sz w:val="7"/>
                <w:szCs w:val="7"/>
                <w:color w:val="auto"/>
              </w:rPr>
              <w:t>Valhalla,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245,000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37,943</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155</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Dec-19</w:t>
            </w:r>
          </w:p>
        </w:tc>
        <w:tc>
          <w:tcPr>
            <w:tcW w:w="120" w:type="dxa"/>
            <w:vAlign w:val="bottom"/>
          </w:tcPr>
          <w:p>
            <w:pPr>
              <w:spacing w:after="0"/>
              <w:rPr>
                <w:sz w:val="20"/>
                <w:szCs w:val="20"/>
                <w:color w:val="auto"/>
              </w:rPr>
            </w:pPr>
            <w:r>
              <w:rPr>
                <w:rFonts w:ascii="Arial" w:cs="Arial" w:eastAsia="Arial" w:hAnsi="Arial"/>
                <w:sz w:val="7"/>
                <w:szCs w:val="7"/>
                <w:color w:val="auto"/>
                <w:w w:val="85"/>
              </w:rPr>
              <w:t>500</w:t>
            </w:r>
          </w:p>
        </w:tc>
        <w:tc>
          <w:tcPr>
            <w:tcW w:w="1340" w:type="dxa"/>
            <w:vAlign w:val="bottom"/>
            <w:gridSpan w:val="2"/>
          </w:tcPr>
          <w:p>
            <w:pPr>
              <w:spacing w:after="0"/>
              <w:rPr>
                <w:sz w:val="20"/>
                <w:szCs w:val="20"/>
                <w:color w:val="auto"/>
              </w:rPr>
            </w:pPr>
            <w:r>
              <w:rPr>
                <w:rFonts w:ascii="Arial" w:cs="Arial" w:eastAsia="Arial" w:hAnsi="Arial"/>
                <w:sz w:val="7"/>
                <w:szCs w:val="7"/>
                <w:color w:val="auto"/>
              </w:rPr>
              <w:t>Summit Lake Drive</w:t>
            </w:r>
          </w:p>
        </w:tc>
        <w:tc>
          <w:tcPr>
            <w:tcW w:w="1120" w:type="dxa"/>
            <w:vAlign w:val="bottom"/>
            <w:gridSpan w:val="2"/>
          </w:tcPr>
          <w:p>
            <w:pPr>
              <w:spacing w:after="0"/>
              <w:rPr>
                <w:sz w:val="20"/>
                <w:szCs w:val="20"/>
                <w:color w:val="auto"/>
              </w:rPr>
            </w:pPr>
            <w:r>
              <w:rPr>
                <w:rFonts w:ascii="Arial" w:cs="Arial" w:eastAsia="Arial" w:hAnsi="Arial"/>
                <w:sz w:val="7"/>
                <w:szCs w:val="7"/>
                <w:color w:val="auto"/>
              </w:rPr>
              <w:t>Valhalla,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228,000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34,185</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150</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Dec-19</w:t>
            </w:r>
          </w:p>
        </w:tc>
        <w:tc>
          <w:tcPr>
            <w:tcW w:w="120" w:type="dxa"/>
            <w:vAlign w:val="bottom"/>
          </w:tcPr>
          <w:p>
            <w:pPr>
              <w:spacing w:after="0"/>
              <w:rPr>
                <w:sz w:val="20"/>
                <w:szCs w:val="20"/>
                <w:color w:val="auto"/>
              </w:rPr>
            </w:pPr>
            <w:r>
              <w:rPr>
                <w:rFonts w:ascii="Arial" w:cs="Arial" w:eastAsia="Arial" w:hAnsi="Arial"/>
                <w:sz w:val="7"/>
                <w:szCs w:val="7"/>
                <w:color w:val="auto"/>
                <w:w w:val="85"/>
              </w:rPr>
              <w:t>360</w:t>
            </w:r>
          </w:p>
        </w:tc>
        <w:tc>
          <w:tcPr>
            <w:tcW w:w="1340" w:type="dxa"/>
            <w:vAlign w:val="bottom"/>
            <w:gridSpan w:val="2"/>
          </w:tcPr>
          <w:p>
            <w:pPr>
              <w:spacing w:after="0"/>
              <w:rPr>
                <w:sz w:val="20"/>
                <w:szCs w:val="20"/>
                <w:color w:val="auto"/>
              </w:rPr>
            </w:pPr>
            <w:r>
              <w:rPr>
                <w:rFonts w:ascii="Arial" w:cs="Arial" w:eastAsia="Arial" w:hAnsi="Arial"/>
                <w:sz w:val="7"/>
                <w:szCs w:val="7"/>
                <w:color w:val="auto"/>
              </w:rPr>
              <w:t>Hamilton Avenue</w:t>
            </w:r>
          </w:p>
        </w:tc>
        <w:tc>
          <w:tcPr>
            <w:tcW w:w="1120" w:type="dxa"/>
            <w:vAlign w:val="bottom"/>
            <w:gridSpan w:val="2"/>
          </w:tcPr>
          <w:p>
            <w:pPr>
              <w:spacing w:after="0"/>
              <w:rPr>
                <w:sz w:val="20"/>
                <w:szCs w:val="20"/>
                <w:color w:val="auto"/>
              </w:rPr>
            </w:pPr>
            <w:r>
              <w:rPr>
                <w:rFonts w:ascii="Arial" w:cs="Arial" w:eastAsia="Arial" w:hAnsi="Arial"/>
                <w:sz w:val="7"/>
                <w:szCs w:val="7"/>
                <w:color w:val="auto"/>
              </w:rPr>
              <w:t>White Plains,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384,000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115,452</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301</w:t>
            </w:r>
          </w:p>
        </w:tc>
      </w:tr>
      <w:tr>
        <w:trPr>
          <w:trHeight w:val="108"/>
        </w:trPr>
        <w:tc>
          <w:tcPr>
            <w:tcW w:w="840" w:type="dxa"/>
            <w:vAlign w:val="bottom"/>
          </w:tcPr>
          <w:p>
            <w:pPr>
              <w:jc w:val="center"/>
              <w:ind w:right="7"/>
              <w:spacing w:after="0"/>
              <w:rPr>
                <w:sz w:val="20"/>
                <w:szCs w:val="20"/>
                <w:color w:val="auto"/>
              </w:rPr>
            </w:pPr>
            <w:r>
              <w:rPr>
                <w:rFonts w:ascii="Arial" w:cs="Arial" w:eastAsia="Arial" w:hAnsi="Arial"/>
                <w:sz w:val="7"/>
                <w:szCs w:val="7"/>
                <w:color w:val="auto"/>
                <w:w w:val="88"/>
              </w:rPr>
              <w:t>Dec-20</w:t>
            </w:r>
          </w:p>
        </w:tc>
        <w:tc>
          <w:tcPr>
            <w:tcW w:w="1460" w:type="dxa"/>
            <w:vAlign w:val="bottom"/>
            <w:gridSpan w:val="3"/>
          </w:tcPr>
          <w:p>
            <w:pPr>
              <w:spacing w:after="0"/>
              <w:rPr>
                <w:sz w:val="20"/>
                <w:szCs w:val="20"/>
                <w:color w:val="auto"/>
              </w:rPr>
            </w:pPr>
            <w:r>
              <w:rPr>
                <w:rFonts w:ascii="Arial" w:cs="Arial" w:eastAsia="Arial" w:hAnsi="Arial"/>
                <w:sz w:val="7"/>
                <w:szCs w:val="7"/>
                <w:color w:val="auto"/>
              </w:rPr>
              <w:t>1055 Washington Boulevard</w:t>
            </w:r>
          </w:p>
        </w:tc>
        <w:tc>
          <w:tcPr>
            <w:tcW w:w="1120" w:type="dxa"/>
            <w:vAlign w:val="bottom"/>
            <w:gridSpan w:val="2"/>
          </w:tcPr>
          <w:p>
            <w:pPr>
              <w:spacing w:after="0"/>
              <w:rPr>
                <w:sz w:val="20"/>
                <w:szCs w:val="20"/>
                <w:color w:val="auto"/>
              </w:rPr>
            </w:pPr>
            <w:r>
              <w:rPr>
                <w:rFonts w:ascii="Arial" w:cs="Arial" w:eastAsia="Arial" w:hAnsi="Arial"/>
                <w:sz w:val="7"/>
                <w:szCs w:val="7"/>
                <w:color w:val="auto"/>
              </w:rPr>
              <w:t>Stamford, Connecticut</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680" w:type="dxa"/>
            <w:vAlign w:val="bottom"/>
            <w:gridSpan w:val="3"/>
          </w:tcPr>
          <w:p>
            <w:pPr>
              <w:jc w:val="right"/>
              <w:ind w:right="60"/>
              <w:spacing w:after="0"/>
              <w:rPr>
                <w:sz w:val="20"/>
                <w:szCs w:val="20"/>
                <w:color w:val="auto"/>
              </w:rPr>
            </w:pPr>
            <w:r>
              <w:rPr>
                <w:rFonts w:ascii="Arial" w:cs="Arial" w:eastAsia="Arial" w:hAnsi="Arial"/>
                <w:sz w:val="7"/>
                <w:szCs w:val="7"/>
                <w:color w:val="auto"/>
              </w:rPr>
              <w:t>182,000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7"/>
                <w:szCs w:val="7"/>
                <w:color w:val="auto"/>
              </w:rPr>
              <w:t>23,750</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7"/>
                <w:szCs w:val="7"/>
                <w:color w:val="auto"/>
              </w:rPr>
              <w:t>130</w:t>
            </w:r>
          </w:p>
        </w:tc>
      </w:tr>
      <w:tr>
        <w:trPr>
          <w:trHeight w:val="118"/>
        </w:trPr>
        <w:tc>
          <w:tcPr>
            <w:tcW w:w="840" w:type="dxa"/>
            <w:vAlign w:val="bottom"/>
          </w:tcPr>
          <w:p>
            <w:pPr>
              <w:jc w:val="center"/>
              <w:spacing w:after="0"/>
              <w:rPr>
                <w:sz w:val="20"/>
                <w:szCs w:val="20"/>
                <w:color w:val="auto"/>
              </w:rPr>
            </w:pPr>
            <w:r>
              <w:rPr>
                <w:rFonts w:ascii="Arial" w:cs="Arial" w:eastAsia="Arial" w:hAnsi="Arial"/>
                <w:sz w:val="7"/>
                <w:szCs w:val="7"/>
                <w:color w:val="auto"/>
                <w:w w:val="94"/>
              </w:rPr>
              <w:t>Jul-24</w:t>
            </w:r>
          </w:p>
        </w:tc>
        <w:tc>
          <w:tcPr>
            <w:tcW w:w="1460" w:type="dxa"/>
            <w:vAlign w:val="bottom"/>
            <w:gridSpan w:val="3"/>
          </w:tcPr>
          <w:p>
            <w:pPr>
              <w:spacing w:after="0"/>
              <w:rPr>
                <w:sz w:val="20"/>
                <w:szCs w:val="20"/>
                <w:color w:val="auto"/>
              </w:rPr>
            </w:pPr>
            <w:r>
              <w:rPr>
                <w:rFonts w:ascii="Arial" w:cs="Arial" w:eastAsia="Arial" w:hAnsi="Arial"/>
                <w:sz w:val="7"/>
                <w:szCs w:val="7"/>
                <w:color w:val="auto"/>
              </w:rPr>
              <w:t>Palisades Premier Conference Center</w:t>
            </w:r>
          </w:p>
        </w:tc>
        <w:tc>
          <w:tcPr>
            <w:tcW w:w="1120" w:type="dxa"/>
            <w:vAlign w:val="bottom"/>
            <w:gridSpan w:val="2"/>
          </w:tcPr>
          <w:p>
            <w:pPr>
              <w:spacing w:after="0"/>
              <w:rPr>
                <w:sz w:val="20"/>
                <w:szCs w:val="20"/>
                <w:color w:val="auto"/>
              </w:rPr>
            </w:pPr>
            <w:r>
              <w:rPr>
                <w:rFonts w:ascii="Arial" w:cs="Arial" w:eastAsia="Arial" w:hAnsi="Arial"/>
                <w:sz w:val="7"/>
                <w:szCs w:val="7"/>
                <w:color w:val="auto"/>
              </w:rPr>
              <w:t>Orangetown, New York</w:t>
            </w:r>
          </w:p>
        </w:tc>
        <w:tc>
          <w:tcPr>
            <w:tcW w:w="480" w:type="dxa"/>
            <w:vAlign w:val="bottom"/>
            <w:gridSpan w:val="2"/>
          </w:tcPr>
          <w:p>
            <w:pPr>
              <w:jc w:val="center"/>
              <w:ind w:left="47"/>
              <w:spacing w:after="0"/>
              <w:rPr>
                <w:sz w:val="20"/>
                <w:szCs w:val="20"/>
                <w:color w:val="auto"/>
              </w:rPr>
            </w:pPr>
            <w:r>
              <w:rPr>
                <w:rFonts w:ascii="Arial" w:cs="Arial" w:eastAsia="Arial" w:hAnsi="Arial"/>
                <w:sz w:val="7"/>
                <w:szCs w:val="7"/>
                <w:color w:val="auto"/>
                <w:w w:val="91"/>
              </w:rPr>
              <w:t>100.0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7"/>
                <w:szCs w:val="7"/>
                <w:color w:val="auto"/>
              </w:rPr>
              <w:t>450,000</w:t>
            </w: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7"/>
                <w:szCs w:val="7"/>
                <w:color w:val="auto"/>
              </w:rPr>
              <w:t>26,249</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7"/>
                <w:szCs w:val="7"/>
                <w:color w:val="auto"/>
              </w:rPr>
              <w:t>58</w:t>
            </w:r>
          </w:p>
        </w:tc>
      </w:tr>
      <w:tr>
        <w:trPr>
          <w:trHeight w:val="92"/>
        </w:trPr>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7"/>
                <w:szCs w:val="7"/>
                <w:b w:val="1"/>
                <w:bCs w:val="1"/>
                <w:color w:val="auto"/>
              </w:rPr>
              <w:t>7,883,341</w:t>
            </w:r>
          </w:p>
        </w:tc>
        <w:tc>
          <w:tcPr>
            <w:tcW w:w="260" w:type="dxa"/>
            <w:vAlign w:val="bottom"/>
          </w:tcPr>
          <w:p>
            <w:pPr>
              <w:spacing w:after="0"/>
              <w:rPr>
                <w:sz w:val="8"/>
                <w:szCs w:val="8"/>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580" w:type="dxa"/>
            <w:vAlign w:val="bottom"/>
            <w:gridSpan w:val="2"/>
          </w:tcPr>
          <w:p>
            <w:pPr>
              <w:jc w:val="right"/>
              <w:ind w:right="40"/>
              <w:spacing w:after="0"/>
              <w:rPr>
                <w:sz w:val="20"/>
                <w:szCs w:val="20"/>
                <w:color w:val="auto"/>
              </w:rPr>
            </w:pPr>
            <w:r>
              <w:rPr>
                <w:rFonts w:ascii="Arial" w:cs="Arial" w:eastAsia="Arial" w:hAnsi="Arial"/>
                <w:sz w:val="7"/>
                <w:szCs w:val="7"/>
                <w:b w:val="1"/>
                <w:bCs w:val="1"/>
                <w:color w:val="auto"/>
              </w:rPr>
              <w:t>1,812,383</w:t>
            </w:r>
          </w:p>
        </w:tc>
        <w:tc>
          <w:tcPr>
            <w:tcW w:w="1160" w:type="dxa"/>
            <w:vAlign w:val="bottom"/>
            <w:gridSpan w:val="5"/>
          </w:tcPr>
          <w:p>
            <w:pPr>
              <w:jc w:val="right"/>
              <w:ind w:right="60"/>
              <w:spacing w:after="0"/>
              <w:rPr>
                <w:sz w:val="20"/>
                <w:szCs w:val="20"/>
                <w:color w:val="auto"/>
              </w:rPr>
            </w:pPr>
            <w:r>
              <w:rPr>
                <w:rFonts w:ascii="Arial" w:cs="Arial" w:eastAsia="Arial" w:hAnsi="Arial"/>
                <w:sz w:val="7"/>
                <w:szCs w:val="7"/>
                <w:b w:val="1"/>
                <w:bCs w:val="1"/>
                <w:color w:val="auto"/>
              </w:rPr>
              <w:t>$</w:t>
            </w:r>
          </w:p>
        </w:tc>
        <w:tc>
          <w:tcPr>
            <w:tcW w:w="680" w:type="dxa"/>
            <w:vAlign w:val="bottom"/>
            <w:gridSpan w:val="5"/>
          </w:tcPr>
          <w:p>
            <w:pPr>
              <w:jc w:val="right"/>
              <w:ind w:right="80"/>
              <w:spacing w:after="0"/>
              <w:rPr>
                <w:sz w:val="20"/>
                <w:szCs w:val="20"/>
                <w:color w:val="auto"/>
              </w:rPr>
            </w:pPr>
            <w:r>
              <w:rPr>
                <w:rFonts w:ascii="Arial" w:cs="Arial" w:eastAsia="Arial" w:hAnsi="Arial"/>
                <w:sz w:val="7"/>
                <w:szCs w:val="7"/>
                <w:b w:val="1"/>
                <w:bCs w:val="1"/>
                <w:color w:val="auto"/>
              </w:rPr>
              <w:t>230</w:t>
            </w:r>
          </w:p>
        </w:tc>
      </w:tr>
    </w:tbl>
    <w:p>
      <w:pPr>
        <w:spacing w:after="0" w:line="357"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46</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9080"/>
          </w:cols>
          <w:pgMar w:left="1400" w:top="297" w:right="1419" w:bottom="1440" w:gutter="0" w:footer="0" w:header="0"/>
        </w:sectPr>
      </w:pPr>
    </w:p>
    <w:bookmarkStart w:id="61" w:name="page62"/>
    <w:bookmarkEnd w:id="61"/>
    <w:p>
      <w:pPr>
        <w:ind w:left="1120"/>
        <w:spacing w:after="0"/>
        <w:rPr>
          <w:sz w:val="20"/>
          <w:szCs w:val="20"/>
          <w:color w:val="auto"/>
        </w:rPr>
      </w:pPr>
      <w:r>
        <w:rPr>
          <w:rFonts w:ascii="Arial" w:cs="Arial" w:eastAsia="Arial" w:hAnsi="Arial"/>
          <w:sz w:val="17"/>
          <w:szCs w:val="17"/>
          <w:b w:val="1"/>
          <w:bCs w:val="1"/>
          <w:color w:val="auto"/>
        </w:rPr>
        <w:t>Non-GAAP Disclosures and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-121285</wp:posOffset>
            </wp:positionV>
            <wp:extent cx="577088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-21590</wp:posOffset>
            </wp:positionV>
            <wp:extent cx="1136650" cy="3244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Unaudited</w:t>
      </w:r>
    </w:p>
    <w:p>
      <w:pPr>
        <w:ind w:left="1120"/>
        <w:spacing w:after="0"/>
        <w:rPr>
          <w:sz w:val="20"/>
          <w:szCs w:val="20"/>
          <w:color w:val="auto"/>
        </w:rPr>
      </w:pPr>
      <w:r>
        <w:rPr>
          <w:rFonts w:ascii="Arial" w:cs="Arial" w:eastAsia="Arial" w:hAnsi="Arial"/>
          <w:sz w:val="10"/>
          <w:szCs w:val="10"/>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106045</wp:posOffset>
            </wp:positionV>
            <wp:extent cx="577088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80645</wp:posOffset>
            </wp:positionV>
            <wp:extent cx="577088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Funds Available for Distribution (FAD)</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0"/>
          <w:szCs w:val="10"/>
          <w:color w:val="auto"/>
        </w:rPr>
        <w:t>FAD is a non-GAAP financial measure that is calculated as FFO plus non-real estate depreciation, allowance for straight line credit loss, adjustment for straight line operating lease rent, non-cash deferred compensation, and pro-rata adjustments for these items from the Company's unconsolidated JVs, less straight line rental income, free rent net of amortization, second generation tenant improvement and leasing costs, and recurring capital expenditures.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0"/>
          <w:szCs w:val="10"/>
          <w:color w:val="auto"/>
        </w:rPr>
        <w:t>FAD is not intended to represent cash flow for the period and is not indicative of cash flow provided by operating activities as determined in accordance with GAAP. FAD is presented solely as a supplemental disclosure with respect to liquidity.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Earnings Before Interest, Taxes, Depreciation and Amortization (EBITDAre)</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0"/>
          <w:szCs w:val="10"/>
          <w:color w:val="auto"/>
        </w:rPr>
        <w:t>EBITDAre is a non-GAAP financial measure. The Company computes EBITDAre in accordance with standards established by Nareit, which may not be comparable to EBITDAre reported by other REITs that do not compute EBITDAre in accordance with the Nareit definition, or that interpret the Nareit definition differently than the Company does. The White Paper on EBITDAre approved by the Board of Governors of Nareit in September 2017 defines EBITDAre as net income (loss) (computed in accordance with GAAP), plus interest expense, plus income tax expense, plus depreciation and amortization, plus (minus) losses and gains on the disposition of depreciated property, plus impairment write-downs of depreciated property and investments in unconsolidated joint ventures, plus adjustments to reflect the entity's share of EBITDAre of unconsolidated joint ventures.</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0"/>
          <w:szCs w:val="10"/>
          <w:color w:val="auto"/>
        </w:rPr>
        <w:t>The Company presents EBITDAre because the Company believes that EBITDAre, along with cash flow from operating activities, investing activities and financing activities, provides investors with an additional indicator of the Company’s ability to incur and service debt. EBITDAre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Net Operating Income (NOI) and Cash NOI</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0"/>
          <w:szCs w:val="10"/>
          <w:color w:val="auto"/>
        </w:rPr>
        <w:t>NOI is a non-GAAP financial measure that is calculated as operating income before transaction related costs, gains/losses on early extinguishment of debt, marketing general and administrative expenses and non-real estate revenue. Cash NOI is also a non-GAAP financial measure that is calculated by subtracting free rent (net of amortization), straight-line rent, and the amortization of acquired above and below-market leases from NOI, while adding operating lease straight-line adjustment and the allowance for straight-line tenant credit loss.</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The Company presents NOI and Cash NOI because the Company believes that these measures, when taken together with the corresponding GAAP financial measures and reconciliations, provide investors with meaningful information regarding the operating performance of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the Company's properties, unaffected by the cost of leverage, straight-line adjustments, depreciation, amortization, and other net income components. The Company uses these metrics internally as performance measures. None of these measures is an alternative to net income (determined in accordance with GAAP) and same-store performance should not be considered an alternative to GAAP net income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Coverage Ratios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0"/>
          <w:szCs w:val="10"/>
          <w:color w:val="auto"/>
        </w:rPr>
        <w:t>The Company presents fixed charge and debt service coverage ratios to provide a measure of the Company’s financial flexibility to service current debt amortization, interest expense and operating lease rent from current cash net operating income. These coverage ratios represent a common measure of the Company’s ability to service fixed cash payments; however, these ratios are not used as an alternative to cash flow from operating, financing and investing activities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RECONCILIATION OF NON-GAAP FINANCIAL MEASURES</w:t>
      </w:r>
    </w:p>
    <w:p>
      <w:pPr>
        <w:spacing w:after="0" w:line="293" w:lineRule="exact"/>
        <w:rPr>
          <w:sz w:val="20"/>
          <w:szCs w:val="20"/>
          <w:color w:val="auto"/>
        </w:rPr>
      </w:pPr>
    </w:p>
    <w:p>
      <w:pPr>
        <w:ind w:left="1120"/>
        <w:spacing w:after="0"/>
        <w:tabs>
          <w:tab w:leader="none" w:pos="5560" w:val="left"/>
          <w:tab w:leader="none" w:pos="94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47</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1280"/>
          </w:cols>
          <w:pgMar w:left="300" w:top="304" w:right="31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Non-GAAP Disclosures and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-121285</wp:posOffset>
            </wp:positionV>
            <wp:extent cx="577088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-21590</wp:posOffset>
            </wp:positionV>
            <wp:extent cx="1136650" cy="3244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577088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80645</wp:posOffset>
            </wp:positionV>
            <wp:extent cx="577088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Funds From Operations (FFO) Reconciliation</w:t>
      </w:r>
    </w:p>
    <w:p>
      <w:pPr>
        <w:spacing w:after="0" w:line="79" w:lineRule="exact"/>
        <w:rPr>
          <w:sz w:val="20"/>
          <w:szCs w:val="20"/>
          <w:color w:val="auto"/>
        </w:rPr>
      </w:pPr>
    </w:p>
    <w:tbl>
      <w:tblPr>
        <w:tblLayout w:type="fixed"/>
        <w:tblInd w:w="900" w:type="dxa"/>
        <w:tblCellMar>
          <w:top w:w="0" w:type="dxa"/>
          <w:left w:w="0" w:type="dxa"/>
          <w:bottom w:w="0" w:type="dxa"/>
          <w:right w:w="0" w:type="dxa"/>
        </w:tblCellMar>
      </w:tblPr>
      <w:tr>
        <w:trPr>
          <w:trHeight w:val="145"/>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391"/>
              <w:spacing w:after="0"/>
              <w:rPr>
                <w:sz w:val="20"/>
                <w:szCs w:val="20"/>
                <w:color w:val="auto"/>
              </w:rPr>
            </w:pPr>
            <w:r>
              <w:rPr>
                <w:rFonts w:ascii="Arial" w:cs="Arial" w:eastAsia="Arial" w:hAnsi="Arial"/>
                <w:sz w:val="10"/>
                <w:szCs w:val="10"/>
                <w:b w:val="1"/>
                <w:bCs w:val="1"/>
                <w:color w:val="auto"/>
              </w:rPr>
              <w:t>Three Months Ended</w:t>
            </w:r>
          </w:p>
        </w:tc>
      </w:tr>
      <w:tr>
        <w:trPr>
          <w:trHeight w:val="149"/>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March 31,</w:t>
            </w:r>
          </w:p>
        </w:tc>
        <w:tc>
          <w:tcPr>
            <w:tcW w:w="620" w:type="dxa"/>
            <w:vAlign w:val="bottom"/>
            <w:tcBorders>
              <w:bottom w:val="single" w:sz="8" w:color="auto"/>
            </w:tcBorders>
          </w:tcPr>
          <w:p>
            <w:pPr>
              <w:spacing w:after="0"/>
              <w:rPr>
                <w:sz w:val="12"/>
                <w:szCs w:val="12"/>
                <w:color w:val="auto"/>
              </w:rPr>
            </w:pPr>
          </w:p>
        </w:tc>
      </w:tr>
      <w:tr>
        <w:trPr>
          <w:trHeight w:val="128"/>
        </w:trPr>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b w:val="1"/>
                <w:bCs w:val="1"/>
                <w:color w:val="auto"/>
              </w:rPr>
              <w:t>2026</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b w:val="1"/>
                <w:bCs w:val="1"/>
                <w:color w:val="auto"/>
              </w:rPr>
              <w:t>2025</w:t>
            </w:r>
          </w:p>
        </w:tc>
      </w:tr>
      <w:tr>
        <w:trPr>
          <w:trHeight w:val="194"/>
        </w:trPr>
        <w:tc>
          <w:tcPr>
            <w:tcW w:w="5420" w:type="dxa"/>
            <w:vAlign w:val="bottom"/>
            <w:gridSpan w:val="3"/>
          </w:tcPr>
          <w:p>
            <w:pPr>
              <w:spacing w:after="0"/>
              <w:rPr>
                <w:sz w:val="20"/>
                <w:szCs w:val="20"/>
                <w:color w:val="auto"/>
              </w:rPr>
            </w:pPr>
            <w:r>
              <w:rPr>
                <w:rFonts w:ascii="Arial" w:cs="Arial" w:eastAsia="Arial" w:hAnsi="Arial"/>
                <w:sz w:val="10"/>
                <w:szCs w:val="10"/>
                <w:b w:val="1"/>
                <w:bCs w:val="1"/>
                <w:color w:val="auto"/>
              </w:rPr>
              <w:t>Net loss attributable to SL Green common stockholders</w:t>
            </w:r>
          </w:p>
        </w:tc>
        <w:tc>
          <w:tcPr>
            <w:tcW w:w="200" w:type="dxa"/>
            <w:vAlign w:val="bottom"/>
          </w:tcPr>
          <w:p>
            <w:pPr>
              <w:jc w:val="right"/>
              <w:ind w:right="71"/>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(84,391)</w:t>
            </w:r>
          </w:p>
        </w:tc>
        <w:tc>
          <w:tcPr>
            <w:tcW w:w="120" w:type="dxa"/>
            <w:vAlign w:val="bottom"/>
          </w:tcPr>
          <w:p>
            <w:pPr>
              <w:spacing w:after="0"/>
              <w:rPr>
                <w:sz w:val="16"/>
                <w:szCs w:val="16"/>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(21,075)</w:t>
            </w:r>
          </w:p>
        </w:tc>
      </w:tr>
      <w:tr>
        <w:trPr>
          <w:trHeight w:val="112"/>
        </w:trPr>
        <w:tc>
          <w:tcPr>
            <w:tcW w:w="5420" w:type="dxa"/>
            <w:vAlign w:val="bottom"/>
            <w:gridSpan w:val="3"/>
          </w:tcPr>
          <w:p>
            <w:pPr>
              <w:spacing w:after="0" w:line="112" w:lineRule="exact"/>
              <w:rPr>
                <w:sz w:val="20"/>
                <w:szCs w:val="20"/>
                <w:color w:val="auto"/>
              </w:rPr>
            </w:pPr>
            <w:r>
              <w:rPr>
                <w:rFonts w:ascii="Arial" w:cs="Arial" w:eastAsia="Arial" w:hAnsi="Arial"/>
                <w:sz w:val="10"/>
                <w:szCs w:val="10"/>
                <w:color w:val="auto"/>
              </w:rPr>
              <w:t>Add:</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38"/>
        </w:trPr>
        <w:tc>
          <w:tcPr>
            <w:tcW w:w="5420" w:type="dxa"/>
            <w:vAlign w:val="bottom"/>
            <w:gridSpan w:val="3"/>
          </w:tcPr>
          <w:p>
            <w:pPr>
              <w:ind w:left="80"/>
              <w:spacing w:after="0"/>
              <w:rPr>
                <w:sz w:val="20"/>
                <w:szCs w:val="20"/>
                <w:color w:val="auto"/>
              </w:rPr>
            </w:pPr>
            <w:r>
              <w:rPr>
                <w:rFonts w:ascii="Arial" w:cs="Arial" w:eastAsia="Arial" w:hAnsi="Arial"/>
                <w:sz w:val="10"/>
                <w:szCs w:val="10"/>
                <w:color w:val="auto"/>
              </w:rPr>
              <w:t>Depreciation and amortization</w:t>
            </w:r>
          </w:p>
        </w:tc>
        <w:tc>
          <w:tcPr>
            <w:tcW w:w="2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69,751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64,498</w:t>
            </w:r>
          </w:p>
        </w:tc>
      </w:tr>
      <w:tr>
        <w:trPr>
          <w:trHeight w:val="138"/>
        </w:trPr>
        <w:tc>
          <w:tcPr>
            <w:tcW w:w="5420" w:type="dxa"/>
            <w:vAlign w:val="bottom"/>
            <w:gridSpan w:val="3"/>
          </w:tcPr>
          <w:p>
            <w:pPr>
              <w:ind w:left="80"/>
              <w:spacing w:after="0"/>
              <w:rPr>
                <w:sz w:val="20"/>
                <w:szCs w:val="20"/>
                <w:color w:val="auto"/>
              </w:rPr>
            </w:pPr>
            <w:r>
              <w:rPr>
                <w:rFonts w:ascii="Arial" w:cs="Arial" w:eastAsia="Arial" w:hAnsi="Arial"/>
                <w:sz w:val="10"/>
                <w:szCs w:val="10"/>
                <w:color w:val="auto"/>
              </w:rPr>
              <w:t>Joint venture depreciation and noncontrolling interest adjustments</w:t>
            </w:r>
          </w:p>
        </w:tc>
        <w:tc>
          <w:tcPr>
            <w:tcW w:w="2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62,596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53,361</w:t>
            </w:r>
          </w:p>
        </w:tc>
      </w:tr>
      <w:tr>
        <w:trPr>
          <w:trHeight w:val="138"/>
        </w:trPr>
        <w:tc>
          <w:tcPr>
            <w:tcW w:w="5420" w:type="dxa"/>
            <w:vAlign w:val="bottom"/>
            <w:gridSpan w:val="3"/>
          </w:tcPr>
          <w:p>
            <w:pPr>
              <w:ind w:left="80"/>
              <w:spacing w:after="0"/>
              <w:rPr>
                <w:sz w:val="20"/>
                <w:szCs w:val="20"/>
                <w:color w:val="auto"/>
              </w:rPr>
            </w:pPr>
            <w:r>
              <w:rPr>
                <w:rFonts w:ascii="Arial" w:cs="Arial" w:eastAsia="Arial" w:hAnsi="Arial"/>
                <w:sz w:val="10"/>
                <w:szCs w:val="10"/>
                <w:color w:val="auto"/>
              </w:rPr>
              <w:t>Net income (loss) attributable to noncontrolling interests</w:t>
            </w:r>
          </w:p>
        </w:tc>
        <w:tc>
          <w:tcPr>
            <w:tcW w:w="2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1,056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(6,362)</w:t>
            </w:r>
          </w:p>
        </w:tc>
      </w:tr>
      <w:tr>
        <w:trPr>
          <w:trHeight w:val="118"/>
        </w:trPr>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w w:val="91"/>
              </w:rPr>
              <w:t>Less:</w:t>
            </w:r>
          </w:p>
        </w:tc>
        <w:tc>
          <w:tcPr>
            <w:tcW w:w="5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8"/>
        </w:trPr>
        <w:tc>
          <w:tcPr>
            <w:tcW w:w="5420" w:type="dxa"/>
            <w:vAlign w:val="bottom"/>
            <w:gridSpan w:val="3"/>
          </w:tcPr>
          <w:p>
            <w:pPr>
              <w:ind w:left="80"/>
              <w:spacing w:after="0"/>
              <w:rPr>
                <w:sz w:val="20"/>
                <w:szCs w:val="20"/>
                <w:color w:val="auto"/>
              </w:rPr>
            </w:pPr>
            <w:r>
              <w:rPr>
                <w:rFonts w:ascii="Arial" w:cs="Arial" w:eastAsia="Arial" w:hAnsi="Arial"/>
                <w:sz w:val="10"/>
                <w:szCs w:val="10"/>
                <w:color w:val="auto"/>
              </w:rPr>
              <w:t>Equity in net loss on sale of interest in unconsolidated joint venture/real estate</w:t>
            </w: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(814)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38"/>
        </w:trPr>
        <w:tc>
          <w:tcPr>
            <w:tcW w:w="5420" w:type="dxa"/>
            <w:vAlign w:val="bottom"/>
            <w:gridSpan w:val="3"/>
          </w:tcPr>
          <w:p>
            <w:pPr>
              <w:ind w:left="80"/>
              <w:spacing w:after="0"/>
              <w:rPr>
                <w:sz w:val="20"/>
                <w:szCs w:val="20"/>
                <w:color w:val="auto"/>
              </w:rPr>
            </w:pPr>
            <w:r>
              <w:rPr>
                <w:rFonts w:ascii="Arial" w:cs="Arial" w:eastAsia="Arial" w:hAnsi="Arial"/>
                <w:sz w:val="10"/>
                <w:szCs w:val="10"/>
                <w:color w:val="auto"/>
              </w:rPr>
              <w:t>Purchase price and other fair value adjustments</w:t>
            </w:r>
          </w:p>
        </w:tc>
        <w:tc>
          <w:tcPr>
            <w:tcW w:w="2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2,224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(6,544)</w:t>
            </w:r>
          </w:p>
        </w:tc>
      </w:tr>
      <w:tr>
        <w:trPr>
          <w:trHeight w:val="138"/>
        </w:trPr>
        <w:tc>
          <w:tcPr>
            <w:tcW w:w="5420" w:type="dxa"/>
            <w:vAlign w:val="bottom"/>
            <w:gridSpan w:val="3"/>
          </w:tcPr>
          <w:p>
            <w:pPr>
              <w:ind w:left="80"/>
              <w:spacing w:after="0"/>
              <w:rPr>
                <w:sz w:val="20"/>
                <w:szCs w:val="20"/>
                <w:color w:val="auto"/>
              </w:rPr>
            </w:pPr>
            <w:r>
              <w:rPr>
                <w:rFonts w:ascii="Arial" w:cs="Arial" w:eastAsia="Arial" w:hAnsi="Arial"/>
                <w:sz w:val="10"/>
                <w:szCs w:val="10"/>
                <w:color w:val="auto"/>
              </w:rPr>
              <w:t>Gain (loss) on sale of real estate, net</w:t>
            </w:r>
          </w:p>
        </w:tc>
        <w:tc>
          <w:tcPr>
            <w:tcW w:w="2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16,636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(482)</w:t>
            </w:r>
          </w:p>
        </w:tc>
      </w:tr>
      <w:tr>
        <w:trPr>
          <w:trHeight w:val="138"/>
        </w:trPr>
        <w:tc>
          <w:tcPr>
            <w:tcW w:w="5420" w:type="dxa"/>
            <w:vAlign w:val="bottom"/>
            <w:gridSpan w:val="3"/>
          </w:tcPr>
          <w:p>
            <w:pPr>
              <w:ind w:left="80"/>
              <w:spacing w:after="0"/>
              <w:rPr>
                <w:sz w:val="20"/>
                <w:szCs w:val="20"/>
                <w:color w:val="auto"/>
              </w:rPr>
            </w:pPr>
            <w:r>
              <w:rPr>
                <w:rFonts w:ascii="Arial" w:cs="Arial" w:eastAsia="Arial" w:hAnsi="Arial"/>
                <w:sz w:val="10"/>
                <w:szCs w:val="10"/>
                <w:color w:val="auto"/>
              </w:rPr>
              <w:t>Depreciable real estate reserves</w:t>
            </w: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(35,160)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(8,546)</w:t>
            </w:r>
          </w:p>
        </w:tc>
      </w:tr>
      <w:tr>
        <w:trPr>
          <w:trHeight w:val="138"/>
        </w:trPr>
        <w:tc>
          <w:tcPr>
            <w:tcW w:w="5420" w:type="dxa"/>
            <w:vAlign w:val="bottom"/>
            <w:gridSpan w:val="3"/>
          </w:tcPr>
          <w:p>
            <w:pPr>
              <w:ind w:left="80"/>
              <w:spacing w:after="0"/>
              <w:rPr>
                <w:sz w:val="20"/>
                <w:szCs w:val="20"/>
                <w:color w:val="auto"/>
              </w:rPr>
            </w:pPr>
            <w:r>
              <w:rPr>
                <w:rFonts w:ascii="Arial" w:cs="Arial" w:eastAsia="Arial" w:hAnsi="Arial"/>
                <w:sz w:val="10"/>
                <w:szCs w:val="10"/>
                <w:color w:val="auto"/>
              </w:rPr>
              <w:t>Depreciable real estate reserves in unconsolidated joint venture</w:t>
            </w:r>
          </w:p>
        </w:tc>
        <w:tc>
          <w:tcPr>
            <w:tcW w:w="20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(1,780)</w:t>
            </w:r>
          </w:p>
        </w:tc>
      </w:tr>
      <w:tr>
        <w:trPr>
          <w:trHeight w:val="142"/>
        </w:trPr>
        <w:tc>
          <w:tcPr>
            <w:tcW w:w="5420" w:type="dxa"/>
            <w:vAlign w:val="bottom"/>
            <w:gridSpan w:val="3"/>
          </w:tcPr>
          <w:p>
            <w:pPr>
              <w:ind w:left="80"/>
              <w:spacing w:after="0"/>
              <w:rPr>
                <w:sz w:val="20"/>
                <w:szCs w:val="20"/>
                <w:color w:val="auto"/>
              </w:rPr>
            </w:pPr>
            <w:r>
              <w:rPr>
                <w:rFonts w:ascii="Arial" w:cs="Arial" w:eastAsia="Arial" w:hAnsi="Arial"/>
                <w:sz w:val="10"/>
                <w:szCs w:val="10"/>
                <w:color w:val="auto"/>
              </w:rPr>
              <w:t>Depreciation on non-rental real estate assets</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1,503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1,263</w:t>
            </w:r>
          </w:p>
        </w:tc>
      </w:tr>
      <w:tr>
        <w:trPr>
          <w:trHeight w:val="132"/>
        </w:trPr>
        <w:tc>
          <w:tcPr>
            <w:tcW w:w="5420" w:type="dxa"/>
            <w:vAlign w:val="bottom"/>
            <w:gridSpan w:val="3"/>
          </w:tcPr>
          <w:p>
            <w:pPr>
              <w:spacing w:after="0"/>
              <w:rPr>
                <w:sz w:val="20"/>
                <w:szCs w:val="20"/>
                <w:color w:val="auto"/>
              </w:rPr>
            </w:pPr>
            <w:r>
              <w:rPr>
                <w:rFonts w:ascii="Arial" w:cs="Arial" w:eastAsia="Arial" w:hAnsi="Arial"/>
                <w:sz w:val="10"/>
                <w:szCs w:val="10"/>
                <w:b w:val="1"/>
                <w:bCs w:val="1"/>
                <w:color w:val="auto"/>
              </w:rPr>
              <w:t>FFO attributable to SL Green common stockholders and unit holders</w:t>
            </w: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64,623</w:t>
            </w:r>
          </w:p>
        </w:tc>
        <w:tc>
          <w:tcPr>
            <w:tcW w:w="12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106,511</w:t>
            </w: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Earnings Before Interest, Taxes, Depreciation and Amortization for Real Estate (EBITDAre)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For the three months ended</w:t>
            </w: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128"/>
        </w:trPr>
        <w:tc>
          <w:tcPr>
            <w:tcW w:w="4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3/31/2026</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12/31/2025</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9/30/2025</w:t>
            </w: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6/30/2025</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3/31/2025</w:t>
            </w:r>
          </w:p>
        </w:tc>
      </w:tr>
      <w:tr>
        <w:trPr>
          <w:trHeight w:val="194"/>
        </w:trPr>
        <w:tc>
          <w:tcPr>
            <w:tcW w:w="4400" w:type="dxa"/>
            <w:vAlign w:val="bottom"/>
          </w:tcPr>
          <w:p>
            <w:pPr>
              <w:spacing w:after="0"/>
              <w:rPr>
                <w:sz w:val="20"/>
                <w:szCs w:val="20"/>
                <w:color w:val="auto"/>
              </w:rPr>
            </w:pPr>
            <w:r>
              <w:rPr>
                <w:rFonts w:ascii="Arial" w:cs="Arial" w:eastAsia="Arial" w:hAnsi="Arial"/>
                <w:sz w:val="10"/>
                <w:szCs w:val="10"/>
                <w:b w:val="1"/>
                <w:bCs w:val="1"/>
                <w:color w:val="auto"/>
              </w:rPr>
              <w:t>Net (Loss) income</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(77,398)</w:t>
            </w:r>
          </w:p>
        </w:tc>
        <w:tc>
          <w:tcPr>
            <w:tcW w:w="12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(103,720)</w:t>
            </w:r>
          </w:p>
        </w:tc>
        <w:tc>
          <w:tcPr>
            <w:tcW w:w="12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ind w:right="11"/>
              <w:spacing w:after="0"/>
              <w:rPr>
                <w:sz w:val="20"/>
                <w:szCs w:val="20"/>
                <w:color w:val="auto"/>
              </w:rPr>
            </w:pPr>
            <w:r>
              <w:rPr>
                <w:rFonts w:ascii="Arial" w:cs="Arial" w:eastAsia="Arial" w:hAnsi="Arial"/>
                <w:sz w:val="10"/>
                <w:szCs w:val="10"/>
                <w:b w:val="1"/>
                <w:bCs w:val="1"/>
                <w:color w:val="auto"/>
              </w:rPr>
              <w:t>35,161</w:t>
            </w:r>
          </w:p>
        </w:tc>
        <w:tc>
          <w:tcPr>
            <w:tcW w:w="120" w:type="dxa"/>
            <w:vAlign w:val="bottom"/>
          </w:tcPr>
          <w:p>
            <w:pPr>
              <w:spacing w:after="0"/>
              <w:rPr>
                <w:sz w:val="16"/>
                <w:szCs w:val="16"/>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b w:val="1"/>
                <w:bCs w:val="1"/>
                <w:color w:val="auto"/>
              </w:rPr>
              <w:t>$</w:t>
            </w: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(6,817)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(21,545)</w:t>
            </w:r>
          </w:p>
        </w:tc>
      </w:tr>
      <w:tr>
        <w:trPr>
          <w:trHeight w:val="132"/>
        </w:trPr>
        <w:tc>
          <w:tcPr>
            <w:tcW w:w="4400" w:type="dxa"/>
            <w:vAlign w:val="bottom"/>
          </w:tcPr>
          <w:p>
            <w:pPr>
              <w:spacing w:after="0"/>
              <w:rPr>
                <w:sz w:val="20"/>
                <w:szCs w:val="20"/>
                <w:color w:val="auto"/>
              </w:rPr>
            </w:pPr>
            <w:r>
              <w:rPr>
                <w:rFonts w:ascii="Arial" w:cs="Arial" w:eastAsia="Arial" w:hAnsi="Arial"/>
                <w:sz w:val="10"/>
                <w:szCs w:val="10"/>
                <w:color w:val="auto"/>
              </w:rPr>
              <w:t>Depreciable real estate reserves</w:t>
            </w:r>
          </w:p>
        </w:tc>
        <w:tc>
          <w:tcPr>
            <w:tcW w:w="6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35,160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23,546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8,546</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Depreciable real estate reserves in unconsolidated joint venture</w:t>
            </w:r>
          </w:p>
        </w:tc>
        <w:tc>
          <w:tcPr>
            <w:tcW w:w="6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12,812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1,780</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(Gain) loss on sale of real estate, net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(16,636)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426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1,068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482</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Purchase price and other fair value adjustments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(4,183)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28,143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(11,138)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9,617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9,611</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Equity in net loss (gain) on sale of interest in unconsolidated joint venture/real estate</w:t>
            </w:r>
          </w:p>
        </w:tc>
        <w:tc>
          <w:tcPr>
            <w:tcW w:w="6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814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(1,142)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(86,872)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1,946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Gain on sale of marketable securities</w:t>
            </w:r>
          </w:p>
        </w:tc>
        <w:tc>
          <w:tcPr>
            <w:tcW w:w="6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(10,232)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Depreciation and amortization</w:t>
            </w:r>
          </w:p>
        </w:tc>
        <w:tc>
          <w:tcPr>
            <w:tcW w:w="6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69,751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67,839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63,216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60,160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64,498</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Income taxes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(1,045)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2,305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137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653</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SUMMIT Operator tax expense</w:t>
            </w:r>
          </w:p>
        </w:tc>
        <w:tc>
          <w:tcPr>
            <w:tcW w:w="6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585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478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1,279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1,547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(45)</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Amortization of deferred financing costs</w:t>
            </w:r>
          </w:p>
        </w:tc>
        <w:tc>
          <w:tcPr>
            <w:tcW w:w="6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2,802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1,901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1,724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1,742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1,687</w:t>
            </w:r>
          </w:p>
        </w:tc>
      </w:tr>
      <w:tr>
        <w:trPr>
          <w:trHeight w:val="138"/>
        </w:trPr>
        <w:tc>
          <w:tcPr>
            <w:tcW w:w="4400" w:type="dxa"/>
            <w:vAlign w:val="bottom"/>
          </w:tcPr>
          <w:p>
            <w:pPr>
              <w:spacing w:after="0"/>
              <w:rPr>
                <w:sz w:val="20"/>
                <w:szCs w:val="20"/>
                <w:color w:val="auto"/>
              </w:rPr>
            </w:pPr>
            <w:r>
              <w:rPr>
                <w:rFonts w:ascii="Arial" w:cs="Arial" w:eastAsia="Arial" w:hAnsi="Arial"/>
                <w:sz w:val="10"/>
                <w:szCs w:val="10"/>
                <w:color w:val="auto"/>
              </w:rPr>
              <w:t>Interest expense, net of interest income</w:t>
            </w:r>
          </w:p>
        </w:tc>
        <w:tc>
          <w:tcPr>
            <w:tcW w:w="6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50,909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49,422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47,235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45,318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45,681</w:t>
            </w:r>
          </w:p>
        </w:tc>
      </w:tr>
      <w:tr>
        <w:trPr>
          <w:trHeight w:val="142"/>
        </w:trPr>
        <w:tc>
          <w:tcPr>
            <w:tcW w:w="4400" w:type="dxa"/>
            <w:vAlign w:val="bottom"/>
          </w:tcPr>
          <w:p>
            <w:pPr>
              <w:spacing w:after="0"/>
              <w:rPr>
                <w:sz w:val="20"/>
                <w:szCs w:val="20"/>
                <w:color w:val="auto"/>
              </w:rPr>
            </w:pPr>
            <w:r>
              <w:rPr>
                <w:rFonts w:ascii="Arial" w:cs="Arial" w:eastAsia="Arial" w:hAnsi="Arial"/>
                <w:sz w:val="10"/>
                <w:szCs w:val="10"/>
                <w:color w:val="auto"/>
              </w:rPr>
              <w:t>Adjustments to reflect the entity’s share of EBITDAre of unconsolidated affiliates</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141,731</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139,218</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200,085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151,642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117,164</w:t>
            </w:r>
          </w:p>
        </w:tc>
      </w:tr>
      <w:tr>
        <w:trPr>
          <w:trHeight w:val="132"/>
        </w:trPr>
        <w:tc>
          <w:tcPr>
            <w:tcW w:w="4400" w:type="dxa"/>
            <w:vAlign w:val="bottom"/>
          </w:tcPr>
          <w:p>
            <w:pPr>
              <w:spacing w:after="0"/>
              <w:rPr>
                <w:sz w:val="20"/>
                <w:szCs w:val="20"/>
                <w:color w:val="auto"/>
              </w:rPr>
            </w:pPr>
            <w:r>
              <w:rPr>
                <w:rFonts w:ascii="Arial" w:cs="Arial" w:eastAsia="Arial" w:hAnsi="Arial"/>
                <w:sz w:val="10"/>
                <w:szCs w:val="10"/>
                <w:b w:val="1"/>
                <w:bCs w:val="1"/>
                <w:color w:val="auto"/>
              </w:rPr>
              <w:t>EBITDAre</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202,490</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221,228</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251,895</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256,386</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228,512</w:t>
            </w:r>
          </w:p>
        </w:tc>
      </w:tr>
      <w:tr>
        <w:trPr>
          <w:trHeight w:val="20"/>
        </w:trPr>
        <w:tc>
          <w:tcPr>
            <w:tcW w:w="4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40"/>
        </w:trPr>
        <w:tc>
          <w:tcPr>
            <w:tcW w:w="4400" w:type="dxa"/>
            <w:vAlign w:val="bottom"/>
          </w:tcPr>
          <w:p>
            <w:pPr>
              <w:spacing w:after="0"/>
              <w:rPr>
                <w:sz w:val="20"/>
                <w:szCs w:val="20"/>
                <w:color w:val="auto"/>
              </w:rPr>
            </w:pPr>
            <w:r>
              <w:rPr>
                <w:rFonts w:ascii="Arial" w:cs="Arial" w:eastAsia="Arial" w:hAnsi="Arial"/>
                <w:sz w:val="9"/>
                <w:szCs w:val="9"/>
                <w:color w:val="auto"/>
              </w:rPr>
              <w:t>Supplemental Information</w:t>
            </w:r>
          </w:p>
        </w:tc>
        <w:tc>
          <w:tcPr>
            <w:tcW w:w="60" w:type="dxa"/>
            <w:vAlign w:val="bottom"/>
          </w:tcPr>
          <w:p>
            <w:pPr>
              <w:spacing w:after="0"/>
              <w:rPr>
                <w:sz w:val="24"/>
                <w:szCs w:val="24"/>
                <w:color w:val="auto"/>
              </w:rPr>
            </w:pPr>
          </w:p>
        </w:tc>
        <w:tc>
          <w:tcPr>
            <w:tcW w:w="780" w:type="dxa"/>
            <w:vAlign w:val="bottom"/>
          </w:tcPr>
          <w:p>
            <w:pPr>
              <w:jc w:val="right"/>
              <w:ind w:right="611"/>
              <w:spacing w:after="0"/>
              <w:rPr>
                <w:sz w:val="20"/>
                <w:szCs w:val="20"/>
                <w:color w:val="auto"/>
              </w:rPr>
            </w:pPr>
            <w:r>
              <w:rPr>
                <w:rFonts w:ascii="Arial" w:cs="Arial" w:eastAsia="Arial" w:hAnsi="Arial"/>
                <w:sz w:val="9"/>
                <w:szCs w:val="9"/>
                <w:color w:val="auto"/>
                <w:w w:val="99"/>
              </w:rPr>
              <w:t>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First Quarter 2026</w:t>
            </w:r>
          </w:p>
        </w:tc>
      </w:tr>
    </w:tbl>
    <w:p>
      <w:pPr>
        <w:sectPr>
          <w:pgSz w:w="11900" w:h="16838" w:orient="portrait"/>
          <w:cols w:equalWidth="0" w:num="1">
            <w:col w:w="9060"/>
          </w:cols>
          <w:pgMar w:left="1420" w:top="304" w:right="141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Non-GAAP Disclosures and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-121285</wp:posOffset>
            </wp:positionV>
            <wp:extent cx="577088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-21590</wp:posOffset>
            </wp:positionV>
            <wp:extent cx="1136650" cy="3244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w:t>
      </w:r>
    </w:p>
    <w:p>
      <w:pPr>
        <w:spacing w:after="0"/>
        <w:rPr>
          <w:sz w:val="20"/>
          <w:szCs w:val="20"/>
          <w:color w:val="auto"/>
        </w:rPr>
      </w:pPr>
      <w:r>
        <w:rPr>
          <w:rFonts w:ascii="Arial" w:cs="Arial" w:eastAsia="Arial" w:hAnsi="Arial"/>
          <w:sz w:val="10"/>
          <w:szCs w:val="10"/>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577088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70880"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80645</wp:posOffset>
            </wp:positionV>
            <wp:extent cx="577088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70880" cy="63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20"/>
                <w:szCs w:val="20"/>
                <w:color w:val="auto"/>
              </w:rPr>
            </w:pPr>
            <w:r>
              <w:rPr>
                <w:rFonts w:ascii="Arial" w:cs="Arial" w:eastAsia="Arial" w:hAnsi="Arial"/>
                <w:sz w:val="11"/>
                <w:szCs w:val="11"/>
                <w:b w:val="1"/>
                <w:bCs w:val="1"/>
                <w:color w:val="auto"/>
              </w:rPr>
              <w:t>RECONCILIATION OF NON-GAAP FINANCIAL MEASURES</w:t>
            </w:r>
          </w:p>
        </w:tc>
        <w:tc>
          <w:tcPr>
            <w:tcW w:w="3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4"/>
          </w:tcPr>
          <w:p>
            <w:pPr>
              <w:jc w:val="right"/>
              <w:ind w:right="397"/>
              <w:spacing w:after="0"/>
              <w:rPr>
                <w:sz w:val="20"/>
                <w:szCs w:val="20"/>
                <w:color w:val="auto"/>
              </w:rPr>
            </w:pPr>
            <w:r>
              <w:rPr>
                <w:rFonts w:ascii="Arial" w:cs="Arial" w:eastAsia="Arial" w:hAnsi="Arial"/>
                <w:sz w:val="10"/>
                <w:szCs w:val="10"/>
                <w:b w:val="1"/>
                <w:bCs w:val="1"/>
                <w:color w:val="auto"/>
              </w:rPr>
              <w:t>Three Months Ended</w:t>
            </w:r>
          </w:p>
        </w:tc>
      </w:tr>
      <w:tr>
        <w:trPr>
          <w:trHeight w:val="193"/>
        </w:trPr>
        <w:tc>
          <w:tcPr>
            <w:tcW w:w="4000" w:type="dxa"/>
            <w:vAlign w:val="bottom"/>
          </w:tcPr>
          <w:p>
            <w:pPr>
              <w:spacing w:after="0"/>
              <w:rPr>
                <w:sz w:val="20"/>
                <w:szCs w:val="20"/>
                <w:color w:val="auto"/>
              </w:rPr>
            </w:pPr>
            <w:r>
              <w:rPr>
                <w:rFonts w:ascii="Arial" w:cs="Arial" w:eastAsia="Arial" w:hAnsi="Arial"/>
                <w:sz w:val="11"/>
                <w:szCs w:val="11"/>
                <w:b w:val="1"/>
                <w:bCs w:val="1"/>
                <w:color w:val="auto"/>
              </w:rPr>
              <w:t>Operating income and Same-store NOI Reconciliation</w:t>
            </w:r>
          </w:p>
        </w:tc>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0"/>
                <w:szCs w:val="10"/>
                <w:b w:val="1"/>
                <w:bCs w:val="1"/>
                <w:color w:val="auto"/>
              </w:rPr>
              <w:t>March 31,</w:t>
            </w:r>
          </w:p>
        </w:tc>
      </w:tr>
      <w:tr>
        <w:trPr>
          <w:trHeight w:val="126"/>
        </w:trPr>
        <w:tc>
          <w:tcPr>
            <w:tcW w:w="4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2026</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2025</w:t>
            </w:r>
          </w:p>
        </w:tc>
      </w:tr>
      <w:tr>
        <w:trPr>
          <w:trHeight w:val="139"/>
        </w:trPr>
        <w:tc>
          <w:tcPr>
            <w:tcW w:w="4000" w:type="dxa"/>
            <w:vAlign w:val="bottom"/>
          </w:tcPr>
          <w:p>
            <w:pPr>
              <w:spacing w:after="0"/>
              <w:rPr>
                <w:sz w:val="20"/>
                <w:szCs w:val="20"/>
                <w:color w:val="auto"/>
              </w:rPr>
            </w:pPr>
            <w:r>
              <w:rPr>
                <w:rFonts w:ascii="Arial" w:cs="Arial" w:eastAsia="Arial" w:hAnsi="Arial"/>
                <w:sz w:val="9"/>
                <w:szCs w:val="9"/>
                <w:b w:val="1"/>
                <w:bCs w:val="1"/>
                <w:color w:val="auto"/>
              </w:rPr>
              <w:t>Net loss</w:t>
            </w:r>
          </w:p>
        </w:tc>
        <w:tc>
          <w:tcPr>
            <w:tcW w:w="3220" w:type="dxa"/>
            <w:vAlign w:val="bottom"/>
          </w:tcPr>
          <w:p>
            <w:pPr>
              <w:spacing w:after="0"/>
              <w:rPr>
                <w:sz w:val="12"/>
                <w:szCs w:val="12"/>
                <w:color w:val="auto"/>
              </w:rPr>
            </w:pPr>
          </w:p>
        </w:tc>
        <w:tc>
          <w:tcPr>
            <w:tcW w:w="200" w:type="dxa"/>
            <w:vAlign w:val="bottom"/>
          </w:tcPr>
          <w:p>
            <w:pPr>
              <w:jc w:val="right"/>
              <w:ind w:right="97"/>
              <w:spacing w:after="0"/>
              <w:rPr>
                <w:sz w:val="20"/>
                <w:szCs w:val="20"/>
                <w:color w:val="auto"/>
              </w:rPr>
            </w:pPr>
            <w:r>
              <w:rPr>
                <w:rFonts w:ascii="Arial" w:cs="Arial" w:eastAsia="Arial" w:hAnsi="Arial"/>
                <w:sz w:val="9"/>
                <w:szCs w:val="9"/>
                <w:b w:val="1"/>
                <w:bCs w:val="1"/>
                <w:color w:val="auto"/>
                <w:w w:val="78"/>
              </w:rPr>
              <w:t>$</w:t>
            </w: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(77,398)</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80" w:type="dxa"/>
            <w:vAlign w:val="bottom"/>
          </w:tcPr>
          <w:p>
            <w:pPr>
              <w:jc w:val="right"/>
              <w:spacing w:after="0"/>
              <w:rPr>
                <w:sz w:val="20"/>
                <w:szCs w:val="20"/>
                <w:color w:val="auto"/>
              </w:rPr>
            </w:pPr>
            <w:r>
              <w:rPr>
                <w:rFonts w:ascii="Arial" w:cs="Arial" w:eastAsia="Arial" w:hAnsi="Arial"/>
                <w:sz w:val="9"/>
                <w:szCs w:val="9"/>
                <w:b w:val="1"/>
                <w:bCs w:val="1"/>
                <w:color w:val="auto"/>
              </w:rPr>
              <w:t>(21,545)</w:t>
            </w:r>
          </w:p>
        </w:tc>
      </w:tr>
      <w:tr>
        <w:trPr>
          <w:trHeight w:val="163"/>
        </w:trPr>
        <w:tc>
          <w:tcPr>
            <w:tcW w:w="4000" w:type="dxa"/>
            <w:vAlign w:val="bottom"/>
          </w:tcPr>
          <w:p>
            <w:pPr>
              <w:spacing w:after="0"/>
              <w:rPr>
                <w:sz w:val="20"/>
                <w:szCs w:val="20"/>
                <w:color w:val="auto"/>
              </w:rPr>
            </w:pPr>
            <w:r>
              <w:rPr>
                <w:rFonts w:ascii="Arial" w:cs="Arial" w:eastAsia="Arial" w:hAnsi="Arial"/>
                <w:sz w:val="9"/>
                <w:szCs w:val="9"/>
                <w:color w:val="auto"/>
              </w:rPr>
              <w:t>Depreciable real estate reserves</w:t>
            </w: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35,160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8,546</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Depreciable real estate reserves in unconsolidated joint venture</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1,780</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(Gain) loss on sale of real estate, net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(16,636)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482</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Purchase price and other fair value adjustments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(4,183)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9,611</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Equity in net loss on sale of interest in unconsolidated joint venture/real estate</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814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Gain on sale of marketable securities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Depreciation and amortization</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69,751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64,498</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SUMMIT Operator tax expense (benefit)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585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(45)</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Amortization of deferred financing costs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2,802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1,687</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Interest expense, net of interest income</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50,909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45,681</w:t>
            </w:r>
          </w:p>
        </w:tc>
      </w:tr>
      <w:tr>
        <w:trPr>
          <w:trHeight w:val="131"/>
        </w:trPr>
        <w:tc>
          <w:tcPr>
            <w:tcW w:w="4000" w:type="dxa"/>
            <w:vAlign w:val="bottom"/>
          </w:tcPr>
          <w:p>
            <w:pPr>
              <w:spacing w:after="0"/>
              <w:rPr>
                <w:sz w:val="20"/>
                <w:szCs w:val="20"/>
                <w:color w:val="auto"/>
              </w:rPr>
            </w:pPr>
            <w:r>
              <w:rPr>
                <w:rFonts w:ascii="Arial" w:cs="Arial" w:eastAsia="Arial" w:hAnsi="Arial"/>
                <w:sz w:val="9"/>
                <w:szCs w:val="9"/>
                <w:color w:val="auto"/>
              </w:rPr>
              <w:t>Interest expense on senior obligations of consolidated securitization vehicles</w:t>
            </w:r>
          </w:p>
        </w:tc>
        <w:tc>
          <w:tcPr>
            <w:tcW w:w="3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14,649</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13,972</w:t>
            </w:r>
          </w:p>
        </w:tc>
      </w:tr>
      <w:tr>
        <w:trPr>
          <w:trHeight w:val="123"/>
        </w:trPr>
        <w:tc>
          <w:tcPr>
            <w:tcW w:w="4000" w:type="dxa"/>
            <w:vAlign w:val="bottom"/>
          </w:tcPr>
          <w:p>
            <w:pPr>
              <w:spacing w:after="0"/>
              <w:rPr>
                <w:sz w:val="20"/>
                <w:szCs w:val="20"/>
                <w:color w:val="auto"/>
              </w:rPr>
            </w:pPr>
            <w:r>
              <w:rPr>
                <w:rFonts w:ascii="Arial" w:cs="Arial" w:eastAsia="Arial" w:hAnsi="Arial"/>
                <w:sz w:val="9"/>
                <w:szCs w:val="9"/>
                <w:b w:val="1"/>
                <w:bCs w:val="1"/>
                <w:color w:val="auto"/>
              </w:rPr>
              <w:t>Operating Income</w:t>
            </w:r>
          </w:p>
        </w:tc>
        <w:tc>
          <w:tcPr>
            <w:tcW w:w="3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76,453</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124,667</w:t>
            </w:r>
          </w:p>
        </w:tc>
      </w:tr>
      <w:tr>
        <w:trPr>
          <w:trHeight w:val="20"/>
        </w:trPr>
        <w:tc>
          <w:tcPr>
            <w:tcW w:w="4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8"/>
        </w:trPr>
        <w:tc>
          <w:tcPr>
            <w:tcW w:w="4000" w:type="dxa"/>
            <w:vAlign w:val="bottom"/>
          </w:tcPr>
          <w:p>
            <w:pPr>
              <w:spacing w:after="0"/>
              <w:rPr>
                <w:sz w:val="20"/>
                <w:szCs w:val="20"/>
                <w:color w:val="auto"/>
              </w:rPr>
            </w:pPr>
            <w:r>
              <w:rPr>
                <w:rFonts w:ascii="Arial" w:cs="Arial" w:eastAsia="Arial" w:hAnsi="Arial"/>
                <w:sz w:val="9"/>
                <w:szCs w:val="9"/>
                <w:color w:val="auto"/>
              </w:rPr>
              <w:t>Equity in net loss (income) from unconsolidated joint ventures</w:t>
            </w:r>
          </w:p>
        </w:tc>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20,780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(2,950)</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Income from debt fund investments, net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(2,478)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Marketing, general and administrative expense</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22,786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21,724</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Transaction related costs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295</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Loan loss and other investment reserves, net of recoveries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(25,039)</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SUMMIT Operator expenses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24,942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21,764</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Gain on early extinguishment of debt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Investment income</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(2,346)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(16,114)</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Interest income from real estate loans held by consolidated securitization vehicles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(14,649)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(15,981)</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SUMMIT Operator revenue</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(24,142)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(22,534)</w:t>
            </w:r>
          </w:p>
        </w:tc>
      </w:tr>
      <w:tr>
        <w:trPr>
          <w:trHeight w:val="131"/>
        </w:trPr>
        <w:tc>
          <w:tcPr>
            <w:tcW w:w="4000" w:type="dxa"/>
            <w:vAlign w:val="bottom"/>
          </w:tcPr>
          <w:p>
            <w:pPr>
              <w:spacing w:after="0"/>
              <w:rPr>
                <w:sz w:val="20"/>
                <w:szCs w:val="20"/>
                <w:color w:val="auto"/>
              </w:rPr>
            </w:pPr>
            <w:r>
              <w:rPr>
                <w:rFonts w:ascii="Arial" w:cs="Arial" w:eastAsia="Arial" w:hAnsi="Arial"/>
                <w:sz w:val="9"/>
                <w:szCs w:val="9"/>
                <w:color w:val="auto"/>
              </w:rPr>
              <w:t>Non-building revenue</w:t>
            </w:r>
          </w:p>
        </w:tc>
        <w:tc>
          <w:tcPr>
            <w:tcW w:w="3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(17,879)</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(10,486)</w:t>
            </w:r>
          </w:p>
        </w:tc>
      </w:tr>
      <w:tr>
        <w:trPr>
          <w:trHeight w:val="123"/>
        </w:trPr>
        <w:tc>
          <w:tcPr>
            <w:tcW w:w="4000" w:type="dxa"/>
            <w:vAlign w:val="bottom"/>
          </w:tcPr>
          <w:p>
            <w:pPr>
              <w:spacing w:after="0"/>
              <w:rPr>
                <w:sz w:val="20"/>
                <w:szCs w:val="20"/>
                <w:color w:val="auto"/>
              </w:rPr>
            </w:pPr>
            <w:r>
              <w:rPr>
                <w:rFonts w:ascii="Arial" w:cs="Arial" w:eastAsia="Arial" w:hAnsi="Arial"/>
                <w:sz w:val="9"/>
                <w:szCs w:val="9"/>
                <w:b w:val="1"/>
                <w:bCs w:val="1"/>
                <w:color w:val="auto"/>
              </w:rPr>
              <w:t>Net operating income (NOI)</w:t>
            </w:r>
          </w:p>
        </w:tc>
        <w:tc>
          <w:tcPr>
            <w:tcW w:w="3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83,751</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75,346</w:t>
            </w:r>
          </w:p>
        </w:tc>
      </w:tr>
      <w:tr>
        <w:trPr>
          <w:trHeight w:val="20"/>
        </w:trPr>
        <w:tc>
          <w:tcPr>
            <w:tcW w:w="4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8"/>
        </w:trPr>
        <w:tc>
          <w:tcPr>
            <w:tcW w:w="4000" w:type="dxa"/>
            <w:vAlign w:val="bottom"/>
          </w:tcPr>
          <w:p>
            <w:pPr>
              <w:spacing w:after="0"/>
              <w:rPr>
                <w:sz w:val="20"/>
                <w:szCs w:val="20"/>
                <w:color w:val="auto"/>
              </w:rPr>
            </w:pPr>
            <w:r>
              <w:rPr>
                <w:rFonts w:ascii="Arial" w:cs="Arial" w:eastAsia="Arial" w:hAnsi="Arial"/>
                <w:sz w:val="9"/>
                <w:szCs w:val="9"/>
                <w:color w:val="auto"/>
              </w:rPr>
              <w:t>Equity in net (loss) income from unconsolidated joint ventures</w:t>
            </w:r>
          </w:p>
        </w:tc>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(20,780)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2,950</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depreciation and amortization</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67,639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63,075</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amortization of deferred financing costs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4,456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3,191</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interest expense, net of interest income</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70,132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62,965</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transaction related costs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gain on early extinguishment of debt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4,796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investment income</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(424)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(4,918)</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loan loss and other investment reserves, net of recoveries</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1"/>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non-building revenue</w:t>
            </w:r>
          </w:p>
        </w:tc>
        <w:tc>
          <w:tcPr>
            <w:tcW w:w="3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(398)</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(1,291)</w:t>
            </w:r>
          </w:p>
        </w:tc>
      </w:tr>
      <w:tr>
        <w:trPr>
          <w:trHeight w:val="123"/>
        </w:trPr>
        <w:tc>
          <w:tcPr>
            <w:tcW w:w="4000" w:type="dxa"/>
            <w:vAlign w:val="bottom"/>
          </w:tcPr>
          <w:p>
            <w:pPr>
              <w:spacing w:after="0"/>
              <w:rPr>
                <w:sz w:val="20"/>
                <w:szCs w:val="20"/>
                <w:color w:val="auto"/>
              </w:rPr>
            </w:pPr>
            <w:r>
              <w:rPr>
                <w:rFonts w:ascii="Arial" w:cs="Arial" w:eastAsia="Arial" w:hAnsi="Arial"/>
                <w:sz w:val="9"/>
                <w:szCs w:val="9"/>
                <w:b w:val="1"/>
                <w:bCs w:val="1"/>
                <w:color w:val="auto"/>
              </w:rPr>
              <w:t>NOI including SLG share of unconsolidated JVs</w:t>
            </w:r>
          </w:p>
        </w:tc>
        <w:tc>
          <w:tcPr>
            <w:tcW w:w="3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209,172</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201,318</w:t>
            </w:r>
          </w:p>
        </w:tc>
      </w:tr>
      <w:tr>
        <w:trPr>
          <w:trHeight w:val="20"/>
        </w:trPr>
        <w:tc>
          <w:tcPr>
            <w:tcW w:w="4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1"/>
        </w:trPr>
        <w:tc>
          <w:tcPr>
            <w:tcW w:w="4000" w:type="dxa"/>
            <w:vAlign w:val="bottom"/>
          </w:tcPr>
          <w:p>
            <w:pPr>
              <w:spacing w:after="0"/>
              <w:rPr>
                <w:sz w:val="20"/>
                <w:szCs w:val="20"/>
                <w:color w:val="auto"/>
              </w:rPr>
            </w:pPr>
            <w:r>
              <w:rPr>
                <w:rFonts w:ascii="Arial" w:cs="Arial" w:eastAsia="Arial" w:hAnsi="Arial"/>
                <w:sz w:val="9"/>
                <w:szCs w:val="9"/>
                <w:color w:val="auto"/>
              </w:rPr>
              <w:t>NOI from other properties/affiliates</w:t>
            </w:r>
          </w:p>
        </w:tc>
        <w:tc>
          <w:tcPr>
            <w:tcW w:w="3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(34,623)</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(34,606)</w:t>
            </w:r>
          </w:p>
        </w:tc>
      </w:tr>
      <w:tr>
        <w:trPr>
          <w:trHeight w:val="123"/>
        </w:trPr>
        <w:tc>
          <w:tcPr>
            <w:tcW w:w="4000" w:type="dxa"/>
            <w:vAlign w:val="bottom"/>
          </w:tcPr>
          <w:p>
            <w:pPr>
              <w:spacing w:after="0"/>
              <w:rPr>
                <w:sz w:val="20"/>
                <w:szCs w:val="20"/>
                <w:color w:val="auto"/>
              </w:rPr>
            </w:pPr>
            <w:r>
              <w:rPr>
                <w:rFonts w:ascii="Arial" w:cs="Arial" w:eastAsia="Arial" w:hAnsi="Arial"/>
                <w:sz w:val="9"/>
                <w:szCs w:val="9"/>
                <w:b w:val="1"/>
                <w:bCs w:val="1"/>
                <w:color w:val="auto"/>
              </w:rPr>
              <w:t>Same-Store NOI</w:t>
            </w:r>
          </w:p>
        </w:tc>
        <w:tc>
          <w:tcPr>
            <w:tcW w:w="3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174,549</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166,712</w:t>
            </w:r>
          </w:p>
        </w:tc>
      </w:tr>
      <w:tr>
        <w:trPr>
          <w:trHeight w:val="20"/>
        </w:trPr>
        <w:tc>
          <w:tcPr>
            <w:tcW w:w="4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8"/>
        </w:trPr>
        <w:tc>
          <w:tcPr>
            <w:tcW w:w="4000" w:type="dxa"/>
            <w:vAlign w:val="bottom"/>
          </w:tcPr>
          <w:p>
            <w:pPr>
              <w:spacing w:after="0"/>
              <w:rPr>
                <w:sz w:val="20"/>
                <w:szCs w:val="20"/>
                <w:color w:val="auto"/>
              </w:rPr>
            </w:pPr>
            <w:r>
              <w:rPr>
                <w:rFonts w:ascii="Arial" w:cs="Arial" w:eastAsia="Arial" w:hAnsi="Arial"/>
                <w:sz w:val="9"/>
                <w:szCs w:val="9"/>
                <w:color w:val="auto"/>
              </w:rPr>
              <w:t>Straight-line and free rent</w:t>
            </w:r>
          </w:p>
        </w:tc>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(3,440)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1,293</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Amortization of acquired above and below-market leases, net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1,147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912</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Operating lease straight-line adjustment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204</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straight-line and free rent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(9,502)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(10,269)</w:t>
            </w:r>
          </w:p>
        </w:tc>
      </w:tr>
      <w:tr>
        <w:trPr>
          <w:trHeight w:val="128"/>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amortization of acquired above and below-market leases, net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(6,460)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(6,040)</w:t>
            </w:r>
          </w:p>
        </w:tc>
      </w:tr>
      <w:tr>
        <w:trPr>
          <w:trHeight w:val="131"/>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operating lease straight-line adjustment</w:t>
            </w: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3"/>
        </w:trPr>
        <w:tc>
          <w:tcPr>
            <w:tcW w:w="4000" w:type="dxa"/>
            <w:vAlign w:val="bottom"/>
          </w:tcPr>
          <w:p>
            <w:pPr>
              <w:spacing w:after="0"/>
              <w:rPr>
                <w:sz w:val="20"/>
                <w:szCs w:val="20"/>
                <w:color w:val="auto"/>
              </w:rPr>
            </w:pPr>
            <w:r>
              <w:rPr>
                <w:rFonts w:ascii="Arial" w:cs="Arial" w:eastAsia="Arial" w:hAnsi="Arial"/>
                <w:sz w:val="9"/>
                <w:szCs w:val="9"/>
                <w:b w:val="1"/>
                <w:bCs w:val="1"/>
                <w:color w:val="auto"/>
              </w:rPr>
              <w:t>Same-store cash NOI</w:t>
            </w:r>
          </w:p>
        </w:tc>
        <w:tc>
          <w:tcPr>
            <w:tcW w:w="32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156,498</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152,812</w:t>
            </w:r>
          </w:p>
        </w:tc>
      </w:tr>
      <w:tr>
        <w:trPr>
          <w:trHeight w:val="20"/>
        </w:trPr>
        <w:tc>
          <w:tcPr>
            <w:tcW w:w="4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8"/>
        </w:trPr>
        <w:tc>
          <w:tcPr>
            <w:tcW w:w="4000" w:type="dxa"/>
            <w:vAlign w:val="bottom"/>
          </w:tcPr>
          <w:p>
            <w:pPr>
              <w:spacing w:after="0"/>
              <w:rPr>
                <w:sz w:val="20"/>
                <w:szCs w:val="20"/>
                <w:color w:val="auto"/>
              </w:rPr>
            </w:pPr>
            <w:r>
              <w:rPr>
                <w:rFonts w:ascii="Arial" w:cs="Arial" w:eastAsia="Arial" w:hAnsi="Arial"/>
                <w:sz w:val="9"/>
                <w:szCs w:val="9"/>
                <w:color w:val="auto"/>
              </w:rPr>
              <w:t>Lease termination income</w:t>
            </w:r>
          </w:p>
        </w:tc>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356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(4,393)</w:t>
            </w:r>
          </w:p>
        </w:tc>
      </w:tr>
      <w:tr>
        <w:trPr>
          <w:trHeight w:val="131"/>
        </w:trPr>
        <w:tc>
          <w:tcPr>
            <w:tcW w:w="4000" w:type="dxa"/>
            <w:vAlign w:val="bottom"/>
          </w:tcPr>
          <w:p>
            <w:pPr>
              <w:spacing w:after="0"/>
              <w:rPr>
                <w:sz w:val="20"/>
                <w:szCs w:val="20"/>
                <w:color w:val="auto"/>
              </w:rPr>
            </w:pPr>
            <w:r>
              <w:rPr>
                <w:rFonts w:ascii="Arial" w:cs="Arial" w:eastAsia="Arial" w:hAnsi="Arial"/>
                <w:sz w:val="9"/>
                <w:szCs w:val="9"/>
                <w:color w:val="auto"/>
              </w:rPr>
              <w:t>SLG share of unconsolidated JV lease termination income</w:t>
            </w:r>
          </w:p>
        </w:tc>
        <w:tc>
          <w:tcPr>
            <w:tcW w:w="3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(4,626)</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r>
      <w:tr>
        <w:trPr>
          <w:trHeight w:val="123"/>
        </w:trPr>
        <w:tc>
          <w:tcPr>
            <w:tcW w:w="4000" w:type="dxa"/>
            <w:vAlign w:val="bottom"/>
          </w:tcPr>
          <w:p>
            <w:pPr>
              <w:spacing w:after="0"/>
              <w:rPr>
                <w:sz w:val="20"/>
                <w:szCs w:val="20"/>
                <w:color w:val="auto"/>
              </w:rPr>
            </w:pPr>
            <w:r>
              <w:rPr>
                <w:rFonts w:ascii="Arial" w:cs="Arial" w:eastAsia="Arial" w:hAnsi="Arial"/>
                <w:sz w:val="9"/>
                <w:szCs w:val="9"/>
                <w:b w:val="1"/>
                <w:bCs w:val="1"/>
                <w:color w:val="auto"/>
              </w:rPr>
              <w:t>Same-store cash NOI excluding lease termination income</w:t>
            </w:r>
          </w:p>
        </w:tc>
        <w:tc>
          <w:tcPr>
            <w:tcW w:w="3220" w:type="dxa"/>
            <w:vAlign w:val="bottom"/>
          </w:tcPr>
          <w:p>
            <w:pPr>
              <w:spacing w:after="0"/>
              <w:rPr>
                <w:sz w:val="10"/>
                <w:szCs w:val="10"/>
                <w:color w:val="auto"/>
              </w:rPr>
            </w:pPr>
          </w:p>
        </w:tc>
        <w:tc>
          <w:tcPr>
            <w:tcW w:w="200" w:type="dxa"/>
            <w:vAlign w:val="bottom"/>
            <w:tcBorders>
              <w:bottom w:val="single" w:sz="8" w:color="auto"/>
            </w:tcBorders>
          </w:tcPr>
          <w:p>
            <w:pPr>
              <w:jc w:val="right"/>
              <w:ind w:right="97"/>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152,228</w:t>
            </w:r>
          </w:p>
        </w:tc>
        <w:tc>
          <w:tcPr>
            <w:tcW w:w="12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148,419</w:t>
            </w:r>
          </w:p>
        </w:tc>
      </w:tr>
      <w:tr>
        <w:trPr>
          <w:trHeight w:val="20"/>
        </w:trPr>
        <w:tc>
          <w:tcPr>
            <w:tcW w:w="4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45"/>
        </w:trPr>
        <w:tc>
          <w:tcPr>
            <w:tcW w:w="4000" w:type="dxa"/>
            <w:vAlign w:val="bottom"/>
          </w:tcPr>
          <w:p>
            <w:pPr>
              <w:spacing w:after="0"/>
              <w:rPr>
                <w:sz w:val="20"/>
                <w:szCs w:val="20"/>
                <w:color w:val="auto"/>
              </w:rPr>
            </w:pPr>
            <w:r>
              <w:rPr>
                <w:rFonts w:ascii="Arial" w:cs="Arial" w:eastAsia="Arial" w:hAnsi="Arial"/>
                <w:sz w:val="9"/>
                <w:szCs w:val="9"/>
                <w:color w:val="auto"/>
              </w:rPr>
              <w:t>Supplemental Information</w:t>
            </w:r>
          </w:p>
        </w:tc>
        <w:tc>
          <w:tcPr>
            <w:tcW w:w="3220" w:type="dxa"/>
            <w:vAlign w:val="bottom"/>
          </w:tcPr>
          <w:p>
            <w:pPr>
              <w:jc w:val="right"/>
              <w:ind w:right="2594"/>
              <w:spacing w:after="0"/>
              <w:rPr>
                <w:sz w:val="20"/>
                <w:szCs w:val="20"/>
                <w:color w:val="auto"/>
              </w:rPr>
            </w:pPr>
            <w:r>
              <w:rPr>
                <w:rFonts w:ascii="Arial" w:cs="Arial" w:eastAsia="Arial" w:hAnsi="Arial"/>
                <w:sz w:val="9"/>
                <w:szCs w:val="9"/>
                <w:color w:val="auto"/>
              </w:rPr>
              <w:t>49</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First Quarter 2026</w:t>
            </w:r>
          </w:p>
        </w:tc>
      </w:tr>
    </w:tbl>
    <w:p>
      <w:pPr>
        <w:sectPr>
          <w:pgSz w:w="11900" w:h="16838" w:orient="portrait"/>
          <w:cols w:equalWidth="0" w:num="1">
            <w:col w:w="9060"/>
          </w:cols>
          <w:pgMar w:left="1420" w:top="304" w:right="1419" w:bottom="1440" w:gutter="0" w:footer="0" w:header="0"/>
        </w:sectPr>
      </w:pPr>
    </w:p>
    <w:bookmarkStart w:id="64" w:name="page65"/>
    <w:bookmarkEnd w:id="64"/>
    <w:p>
      <w:pPr>
        <w:ind w:left="1080"/>
        <w:spacing w:after="0"/>
        <w:rPr>
          <w:sz w:val="20"/>
          <w:szCs w:val="20"/>
          <w:color w:val="auto"/>
        </w:rPr>
      </w:pPr>
      <w:r>
        <w:rPr>
          <w:rFonts w:ascii="Arial" w:cs="Arial" w:eastAsia="Arial" w:hAnsi="Arial"/>
          <w:sz w:val="17"/>
          <w:szCs w:val="17"/>
          <w:b w:val="1"/>
          <w:bCs w:val="1"/>
          <w:color w:val="auto"/>
        </w:rPr>
        <w:t>RESEARCH ANALYST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371475</wp:posOffset>
            </wp:positionV>
            <wp:extent cx="577659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346075</wp:posOffset>
            </wp:positionV>
            <wp:extent cx="577659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-121285</wp:posOffset>
            </wp:positionV>
            <wp:extent cx="577659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-21590</wp:posOffset>
            </wp:positionV>
            <wp:extent cx="1136650" cy="3244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EQUITY COVERAGE</w:t>
      </w:r>
    </w:p>
    <w:p>
      <w:pPr>
        <w:spacing w:after="0" w:line="148" w:lineRule="exact"/>
        <w:rPr>
          <w:sz w:val="20"/>
          <w:szCs w:val="20"/>
          <w:color w:val="auto"/>
        </w:rPr>
      </w:pPr>
    </w:p>
    <w:tbl>
      <w:tblPr>
        <w:tblLayout w:type="fixed"/>
        <w:tblInd w:w="1090" w:type="dxa"/>
        <w:tblCellMar>
          <w:top w:w="0" w:type="dxa"/>
          <w:left w:w="0" w:type="dxa"/>
          <w:bottom w:w="0" w:type="dxa"/>
          <w:right w:w="0" w:type="dxa"/>
        </w:tblCellMar>
      </w:tblPr>
      <w:tr>
        <w:trPr>
          <w:trHeight w:val="138"/>
        </w:trPr>
        <w:tc>
          <w:tcPr>
            <w:tcW w:w="260" w:type="dxa"/>
            <w:vAlign w:val="bottom"/>
            <w:tcBorders>
              <w:top w:val="single" w:sz="8" w:color="00497F"/>
              <w:left w:val="single" w:sz="8" w:color="00497F"/>
            </w:tcBorders>
          </w:tcPr>
          <w:p>
            <w:pPr>
              <w:ind w:left="20"/>
              <w:spacing w:after="0"/>
              <w:rPr>
                <w:sz w:val="20"/>
                <w:szCs w:val="20"/>
                <w:color w:val="auto"/>
              </w:rPr>
            </w:pPr>
            <w:r>
              <w:rPr>
                <w:rFonts w:ascii="Arial" w:cs="Arial" w:eastAsia="Arial" w:hAnsi="Arial"/>
                <w:sz w:val="10"/>
                <w:szCs w:val="10"/>
                <w:b w:val="1"/>
                <w:bCs w:val="1"/>
                <w:color w:val="auto"/>
              </w:rPr>
              <w:t>Firm</w:t>
            </w:r>
          </w:p>
        </w:tc>
        <w:tc>
          <w:tcPr>
            <w:tcW w:w="2020" w:type="dxa"/>
            <w:vAlign w:val="bottom"/>
            <w:tcBorders>
              <w:top w:val="single" w:sz="8" w:color="00497F"/>
            </w:tcBorders>
          </w:tcPr>
          <w:p>
            <w:pPr>
              <w:spacing w:after="0"/>
              <w:rPr>
                <w:sz w:val="11"/>
                <w:szCs w:val="11"/>
                <w:color w:val="auto"/>
              </w:rPr>
            </w:pPr>
          </w:p>
        </w:tc>
        <w:tc>
          <w:tcPr>
            <w:tcW w:w="380" w:type="dxa"/>
            <w:vAlign w:val="bottom"/>
            <w:tcBorders>
              <w:top w:val="single" w:sz="8" w:color="00497F"/>
            </w:tcBorders>
          </w:tcPr>
          <w:p>
            <w:pPr>
              <w:spacing w:after="0"/>
              <w:rPr>
                <w:sz w:val="20"/>
                <w:szCs w:val="20"/>
                <w:color w:val="auto"/>
              </w:rPr>
            </w:pPr>
            <w:r>
              <w:rPr>
                <w:rFonts w:ascii="Arial" w:cs="Arial" w:eastAsia="Arial" w:hAnsi="Arial"/>
                <w:sz w:val="10"/>
                <w:szCs w:val="10"/>
                <w:b w:val="1"/>
                <w:bCs w:val="1"/>
                <w:color w:val="auto"/>
                <w:w w:val="99"/>
              </w:rPr>
              <w:t>Analyst</w:t>
            </w:r>
          </w:p>
        </w:tc>
        <w:tc>
          <w:tcPr>
            <w:tcW w:w="1880" w:type="dxa"/>
            <w:vAlign w:val="bottom"/>
            <w:tcBorders>
              <w:top w:val="single" w:sz="8" w:color="00497F"/>
            </w:tcBorders>
          </w:tcPr>
          <w:p>
            <w:pPr>
              <w:spacing w:after="0"/>
              <w:rPr>
                <w:sz w:val="11"/>
                <w:szCs w:val="11"/>
                <w:color w:val="auto"/>
              </w:rPr>
            </w:pPr>
          </w:p>
        </w:tc>
        <w:tc>
          <w:tcPr>
            <w:tcW w:w="320" w:type="dxa"/>
            <w:vAlign w:val="bottom"/>
            <w:tcBorders>
              <w:top w:val="single" w:sz="8" w:color="00497F"/>
            </w:tcBorders>
          </w:tcPr>
          <w:p>
            <w:pPr>
              <w:spacing w:after="0"/>
              <w:rPr>
                <w:sz w:val="20"/>
                <w:szCs w:val="20"/>
                <w:color w:val="auto"/>
              </w:rPr>
            </w:pPr>
            <w:r>
              <w:rPr>
                <w:rFonts w:ascii="Arial" w:cs="Arial" w:eastAsia="Arial" w:hAnsi="Arial"/>
                <w:sz w:val="10"/>
                <w:szCs w:val="10"/>
                <w:b w:val="1"/>
                <w:bCs w:val="1"/>
                <w:color w:val="auto"/>
                <w:w w:val="91"/>
              </w:rPr>
              <w:t>Phone</w:t>
            </w:r>
          </w:p>
        </w:tc>
        <w:tc>
          <w:tcPr>
            <w:tcW w:w="1160" w:type="dxa"/>
            <w:vAlign w:val="bottom"/>
            <w:tcBorders>
              <w:top w:val="single" w:sz="8" w:color="00497F"/>
            </w:tcBorders>
          </w:tcPr>
          <w:p>
            <w:pPr>
              <w:spacing w:after="0"/>
              <w:rPr>
                <w:sz w:val="11"/>
                <w:szCs w:val="11"/>
                <w:color w:val="auto"/>
              </w:rPr>
            </w:pPr>
          </w:p>
        </w:tc>
        <w:tc>
          <w:tcPr>
            <w:tcW w:w="760" w:type="dxa"/>
            <w:vAlign w:val="bottom"/>
            <w:tcBorders>
              <w:top w:val="single" w:sz="8" w:color="00497F"/>
            </w:tcBorders>
          </w:tcPr>
          <w:p>
            <w:pPr>
              <w:spacing w:after="0"/>
              <w:rPr>
                <w:sz w:val="11"/>
                <w:szCs w:val="11"/>
                <w:color w:val="auto"/>
              </w:rPr>
            </w:pPr>
          </w:p>
        </w:tc>
        <w:tc>
          <w:tcPr>
            <w:tcW w:w="2320" w:type="dxa"/>
            <w:vAlign w:val="bottom"/>
            <w:tcBorders>
              <w:top w:val="single" w:sz="8" w:color="00497F"/>
              <w:right w:val="single" w:sz="8" w:color="00497F"/>
            </w:tcBorders>
            <w:gridSpan w:val="2"/>
          </w:tcPr>
          <w:p>
            <w:pPr>
              <w:spacing w:after="0"/>
              <w:rPr>
                <w:sz w:val="20"/>
                <w:szCs w:val="20"/>
                <w:color w:val="auto"/>
              </w:rPr>
            </w:pPr>
            <w:r>
              <w:rPr>
                <w:rFonts w:ascii="Arial" w:cs="Arial" w:eastAsia="Arial" w:hAnsi="Arial"/>
                <w:sz w:val="10"/>
                <w:szCs w:val="10"/>
                <w:b w:val="1"/>
                <w:bCs w:val="1"/>
                <w:color w:val="auto"/>
              </w:rPr>
              <w:t>Email</w:t>
            </w:r>
          </w:p>
        </w:tc>
      </w:tr>
      <w:tr>
        <w:trPr>
          <w:trHeight w:val="20"/>
        </w:trPr>
        <w:tc>
          <w:tcPr>
            <w:tcW w:w="260" w:type="dxa"/>
            <w:vAlign w:val="bottom"/>
            <w:tcBorders>
              <w:left w:val="single" w:sz="8" w:color="00497F"/>
            </w:tcBorders>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Borders>
              <w:right w:val="single" w:sz="8" w:color="00497F"/>
            </w:tcBorders>
          </w:tcPr>
          <w:p>
            <w:pPr>
              <w:spacing w:after="0" w:line="20" w:lineRule="exact"/>
              <w:rPr>
                <w:sz w:val="1"/>
                <w:szCs w:val="1"/>
                <w:color w:val="auto"/>
              </w:rPr>
            </w:pPr>
          </w:p>
        </w:tc>
      </w:tr>
      <w:tr>
        <w:trPr>
          <w:trHeight w:val="160"/>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B of A Securities</w:t>
            </w:r>
          </w:p>
        </w:tc>
        <w:tc>
          <w:tcPr>
            <w:tcW w:w="2260" w:type="dxa"/>
            <w:vAlign w:val="bottom"/>
            <w:gridSpan w:val="2"/>
          </w:tcPr>
          <w:p>
            <w:pPr>
              <w:spacing w:after="0"/>
              <w:rPr>
                <w:sz w:val="20"/>
                <w:szCs w:val="20"/>
                <w:color w:val="auto"/>
              </w:rPr>
            </w:pPr>
            <w:r>
              <w:rPr>
                <w:rFonts w:ascii="Arial" w:cs="Arial" w:eastAsia="Arial" w:hAnsi="Arial"/>
                <w:sz w:val="10"/>
                <w:szCs w:val="10"/>
                <w:color w:val="auto"/>
              </w:rPr>
              <w:t>Jana Galan</w:t>
            </w:r>
          </w:p>
        </w:tc>
        <w:tc>
          <w:tcPr>
            <w:tcW w:w="320" w:type="dxa"/>
            <w:vAlign w:val="bottom"/>
          </w:tcPr>
          <w:p>
            <w:pPr>
              <w:spacing w:after="0"/>
              <w:rPr>
                <w:sz w:val="20"/>
                <w:szCs w:val="20"/>
                <w:color w:val="auto"/>
              </w:rPr>
            </w:pPr>
            <w:r>
              <w:rPr>
                <w:rFonts w:ascii="Arial" w:cs="Arial" w:eastAsia="Arial" w:hAnsi="Arial"/>
                <w:sz w:val="10"/>
                <w:szCs w:val="10"/>
                <w:color w:val="auto"/>
              </w:rPr>
              <w:t>(646)</w:t>
            </w:r>
          </w:p>
        </w:tc>
        <w:tc>
          <w:tcPr>
            <w:tcW w:w="1160" w:type="dxa"/>
            <w:vAlign w:val="bottom"/>
          </w:tcPr>
          <w:p>
            <w:pPr>
              <w:spacing w:after="0"/>
              <w:rPr>
                <w:sz w:val="20"/>
                <w:szCs w:val="20"/>
                <w:color w:val="auto"/>
              </w:rPr>
            </w:pPr>
            <w:r>
              <w:rPr>
                <w:rFonts w:ascii="Arial" w:cs="Arial" w:eastAsia="Arial" w:hAnsi="Arial"/>
                <w:sz w:val="10"/>
                <w:szCs w:val="10"/>
                <w:color w:val="auto"/>
              </w:rPr>
              <w:t>855-5042</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jana.galan@bofa.com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Barclays</w:t>
            </w:r>
          </w:p>
        </w:tc>
        <w:tc>
          <w:tcPr>
            <w:tcW w:w="2260" w:type="dxa"/>
            <w:vAlign w:val="bottom"/>
            <w:gridSpan w:val="2"/>
          </w:tcPr>
          <w:p>
            <w:pPr>
              <w:spacing w:after="0"/>
              <w:rPr>
                <w:sz w:val="20"/>
                <w:szCs w:val="20"/>
                <w:color w:val="auto"/>
              </w:rPr>
            </w:pPr>
            <w:r>
              <w:rPr>
                <w:rFonts w:ascii="Arial" w:cs="Arial" w:eastAsia="Arial" w:hAnsi="Arial"/>
                <w:sz w:val="10"/>
                <w:szCs w:val="10"/>
                <w:color w:val="auto"/>
              </w:rPr>
              <w:t>Brendan Lynch</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526-9428</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brendan.lynch@barclays.com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BMO Capital Markets Corp.</w:t>
            </w:r>
          </w:p>
        </w:tc>
        <w:tc>
          <w:tcPr>
            <w:tcW w:w="2260" w:type="dxa"/>
            <w:vAlign w:val="bottom"/>
            <w:gridSpan w:val="2"/>
          </w:tcPr>
          <w:p>
            <w:pPr>
              <w:spacing w:after="0"/>
              <w:rPr>
                <w:sz w:val="20"/>
                <w:szCs w:val="20"/>
                <w:color w:val="auto"/>
              </w:rPr>
            </w:pPr>
            <w:r>
              <w:rPr>
                <w:rFonts w:ascii="Arial" w:cs="Arial" w:eastAsia="Arial" w:hAnsi="Arial"/>
                <w:sz w:val="10"/>
                <w:szCs w:val="10"/>
                <w:color w:val="auto"/>
              </w:rPr>
              <w:t>John P. Kim</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885-4115</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JohnP.Kim@bmo.com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BTIG</w:t>
            </w:r>
          </w:p>
        </w:tc>
        <w:tc>
          <w:tcPr>
            <w:tcW w:w="2260" w:type="dxa"/>
            <w:vAlign w:val="bottom"/>
            <w:gridSpan w:val="2"/>
          </w:tcPr>
          <w:p>
            <w:pPr>
              <w:spacing w:after="0"/>
              <w:rPr>
                <w:sz w:val="20"/>
                <w:szCs w:val="20"/>
                <w:color w:val="auto"/>
              </w:rPr>
            </w:pPr>
            <w:r>
              <w:rPr>
                <w:rFonts w:ascii="Arial" w:cs="Arial" w:eastAsia="Arial" w:hAnsi="Arial"/>
                <w:sz w:val="10"/>
                <w:szCs w:val="10"/>
                <w:color w:val="auto"/>
              </w:rPr>
              <w:t>Thomas Catherwood</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738-6140</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tcatherwood@btig.com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Citi</w:t>
            </w:r>
          </w:p>
        </w:tc>
        <w:tc>
          <w:tcPr>
            <w:tcW w:w="2260" w:type="dxa"/>
            <w:vAlign w:val="bottom"/>
            <w:gridSpan w:val="2"/>
          </w:tcPr>
          <w:p>
            <w:pPr>
              <w:spacing w:after="0"/>
              <w:rPr>
                <w:sz w:val="20"/>
                <w:szCs w:val="20"/>
                <w:color w:val="auto"/>
              </w:rPr>
            </w:pPr>
            <w:r>
              <w:rPr>
                <w:rFonts w:ascii="Arial" w:cs="Arial" w:eastAsia="Arial" w:hAnsi="Arial"/>
                <w:sz w:val="10"/>
                <w:szCs w:val="10"/>
                <w:color w:val="auto"/>
              </w:rPr>
              <w:t>Seth Bergey</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816-2066</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seth.bergey@citi.com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Deutsche Bank</w:t>
            </w:r>
          </w:p>
        </w:tc>
        <w:tc>
          <w:tcPr>
            <w:tcW w:w="2260" w:type="dxa"/>
            <w:vAlign w:val="bottom"/>
            <w:gridSpan w:val="2"/>
          </w:tcPr>
          <w:p>
            <w:pPr>
              <w:spacing w:after="0"/>
              <w:rPr>
                <w:sz w:val="20"/>
                <w:szCs w:val="20"/>
                <w:color w:val="auto"/>
              </w:rPr>
            </w:pPr>
            <w:r>
              <w:rPr>
                <w:rFonts w:ascii="Arial" w:cs="Arial" w:eastAsia="Arial" w:hAnsi="Arial"/>
                <w:sz w:val="10"/>
                <w:szCs w:val="10"/>
                <w:color w:val="auto"/>
              </w:rPr>
              <w:t>Peter Abramowitz</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250-9504</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peter.abramowitz@db.com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Evercore ISI</w:t>
            </w:r>
          </w:p>
        </w:tc>
        <w:tc>
          <w:tcPr>
            <w:tcW w:w="2260" w:type="dxa"/>
            <w:vAlign w:val="bottom"/>
            <w:gridSpan w:val="2"/>
          </w:tcPr>
          <w:p>
            <w:pPr>
              <w:spacing w:after="0"/>
              <w:rPr>
                <w:sz w:val="20"/>
                <w:szCs w:val="20"/>
                <w:color w:val="auto"/>
              </w:rPr>
            </w:pPr>
            <w:r>
              <w:rPr>
                <w:rFonts w:ascii="Arial" w:cs="Arial" w:eastAsia="Arial" w:hAnsi="Arial"/>
                <w:sz w:val="10"/>
                <w:szCs w:val="10"/>
                <w:color w:val="auto"/>
              </w:rPr>
              <w:t>Steve Sakwa</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446-9462</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steve.sakwa@evercoreisi.com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Goldman Sachs &amp; Co.</w:t>
            </w:r>
          </w:p>
        </w:tc>
        <w:tc>
          <w:tcPr>
            <w:tcW w:w="2260" w:type="dxa"/>
            <w:vAlign w:val="bottom"/>
            <w:gridSpan w:val="2"/>
          </w:tcPr>
          <w:p>
            <w:pPr>
              <w:spacing w:after="0"/>
              <w:rPr>
                <w:sz w:val="20"/>
                <w:szCs w:val="20"/>
                <w:color w:val="auto"/>
              </w:rPr>
            </w:pPr>
            <w:r>
              <w:rPr>
                <w:rFonts w:ascii="Arial" w:cs="Arial" w:eastAsia="Arial" w:hAnsi="Arial"/>
                <w:sz w:val="10"/>
                <w:szCs w:val="10"/>
                <w:color w:val="auto"/>
              </w:rPr>
              <w:t>Caitlin Burrows</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902-4736</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caitlin.burrows@gs.com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Jefferies</w:t>
            </w:r>
          </w:p>
        </w:tc>
        <w:tc>
          <w:tcPr>
            <w:tcW w:w="2260" w:type="dxa"/>
            <w:vAlign w:val="bottom"/>
            <w:gridSpan w:val="2"/>
          </w:tcPr>
          <w:p>
            <w:pPr>
              <w:spacing w:after="0"/>
              <w:rPr>
                <w:sz w:val="20"/>
                <w:szCs w:val="20"/>
                <w:color w:val="auto"/>
              </w:rPr>
            </w:pPr>
            <w:r>
              <w:rPr>
                <w:rFonts w:ascii="Arial" w:cs="Arial" w:eastAsia="Arial" w:hAnsi="Arial"/>
                <w:sz w:val="10"/>
                <w:szCs w:val="10"/>
                <w:color w:val="auto"/>
              </w:rPr>
              <w:t>Joe Dickstein</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778-8771</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jdickstein1@jefferies.com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JP Morgan Securities</w:t>
            </w:r>
          </w:p>
        </w:tc>
        <w:tc>
          <w:tcPr>
            <w:tcW w:w="2260" w:type="dxa"/>
            <w:vAlign w:val="bottom"/>
            <w:gridSpan w:val="2"/>
          </w:tcPr>
          <w:p>
            <w:pPr>
              <w:spacing w:after="0"/>
              <w:rPr>
                <w:sz w:val="20"/>
                <w:szCs w:val="20"/>
                <w:color w:val="auto"/>
              </w:rPr>
            </w:pPr>
            <w:r>
              <w:rPr>
                <w:rFonts w:ascii="Arial" w:cs="Arial" w:eastAsia="Arial" w:hAnsi="Arial"/>
                <w:sz w:val="10"/>
                <w:szCs w:val="10"/>
                <w:color w:val="auto"/>
              </w:rPr>
              <w:t>Anthony Paolone</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622-6682</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anthony.paolone@jpmorgan.com</w:t>
            </w:r>
          </w:p>
        </w:tc>
      </w:tr>
      <w:tr>
        <w:trPr>
          <w:trHeight w:val="148"/>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Mizuho Securities USA</w:t>
            </w:r>
          </w:p>
        </w:tc>
        <w:tc>
          <w:tcPr>
            <w:tcW w:w="2260" w:type="dxa"/>
            <w:vAlign w:val="bottom"/>
            <w:gridSpan w:val="2"/>
          </w:tcPr>
          <w:p>
            <w:pPr>
              <w:spacing w:after="0"/>
              <w:rPr>
                <w:sz w:val="20"/>
                <w:szCs w:val="20"/>
                <w:color w:val="auto"/>
              </w:rPr>
            </w:pPr>
            <w:r>
              <w:rPr>
                <w:rFonts w:ascii="Arial" w:cs="Arial" w:eastAsia="Arial" w:hAnsi="Arial"/>
                <w:sz w:val="10"/>
                <w:szCs w:val="10"/>
                <w:color w:val="auto"/>
              </w:rPr>
              <w:t>Vikram Malhotra</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282-3827</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vikram.malhotra@mizuhogroup.com</w:t>
            </w:r>
          </w:p>
        </w:tc>
      </w:tr>
      <w:tr>
        <w:trPr>
          <w:trHeight w:val="16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Morgan Stanley &amp; Co.</w:t>
            </w:r>
          </w:p>
        </w:tc>
        <w:tc>
          <w:tcPr>
            <w:tcW w:w="2260" w:type="dxa"/>
            <w:vAlign w:val="bottom"/>
            <w:gridSpan w:val="2"/>
          </w:tcPr>
          <w:p>
            <w:pPr>
              <w:spacing w:after="0"/>
              <w:rPr>
                <w:sz w:val="20"/>
                <w:szCs w:val="20"/>
                <w:color w:val="auto"/>
              </w:rPr>
            </w:pPr>
            <w:r>
              <w:rPr>
                <w:rFonts w:ascii="Arial" w:cs="Arial" w:eastAsia="Arial" w:hAnsi="Arial"/>
                <w:sz w:val="10"/>
                <w:szCs w:val="10"/>
                <w:color w:val="auto"/>
              </w:rPr>
              <w:t>Ronald Kamdem</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296-8319</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ronald.kamdem@morganstanley.com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Piper Sandler</w:t>
            </w:r>
          </w:p>
        </w:tc>
        <w:tc>
          <w:tcPr>
            <w:tcW w:w="2260" w:type="dxa"/>
            <w:vAlign w:val="bottom"/>
            <w:gridSpan w:val="2"/>
          </w:tcPr>
          <w:p>
            <w:pPr>
              <w:spacing w:after="0"/>
              <w:rPr>
                <w:sz w:val="20"/>
                <w:szCs w:val="20"/>
                <w:color w:val="auto"/>
              </w:rPr>
            </w:pPr>
            <w:r>
              <w:rPr>
                <w:rFonts w:ascii="Arial" w:cs="Arial" w:eastAsia="Arial" w:hAnsi="Arial"/>
                <w:sz w:val="10"/>
                <w:szCs w:val="10"/>
                <w:color w:val="auto"/>
              </w:rPr>
              <w:t>Alexander Goldfarb</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466-7937</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alexander.goldfarb@psc.com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Scotiabank</w:t>
            </w:r>
          </w:p>
        </w:tc>
        <w:tc>
          <w:tcPr>
            <w:tcW w:w="2260" w:type="dxa"/>
            <w:vAlign w:val="bottom"/>
            <w:gridSpan w:val="2"/>
          </w:tcPr>
          <w:p>
            <w:pPr>
              <w:spacing w:after="0"/>
              <w:rPr>
                <w:sz w:val="20"/>
                <w:szCs w:val="20"/>
                <w:color w:val="auto"/>
              </w:rPr>
            </w:pPr>
            <w:r>
              <w:rPr>
                <w:rFonts w:ascii="Arial" w:cs="Arial" w:eastAsia="Arial" w:hAnsi="Arial"/>
                <w:sz w:val="10"/>
                <w:szCs w:val="10"/>
                <w:color w:val="auto"/>
              </w:rPr>
              <w:t>Nicholas Yulico</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225-6904</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nicholas.yulico@scotiabank.com</w:t>
            </w:r>
          </w:p>
        </w:tc>
      </w:tr>
      <w:tr>
        <w:trPr>
          <w:trHeight w:val="157"/>
        </w:trPr>
        <w:tc>
          <w:tcPr>
            <w:tcW w:w="2280" w:type="dxa"/>
            <w:vAlign w:val="bottom"/>
            <w:tcBorders>
              <w:left w:val="single" w:sz="8" w:color="00497F"/>
            </w:tcBorders>
            <w:gridSpan w:val="2"/>
          </w:tcPr>
          <w:p>
            <w:pPr>
              <w:ind w:left="20"/>
              <w:spacing w:after="0"/>
              <w:rPr>
                <w:sz w:val="20"/>
                <w:szCs w:val="20"/>
                <w:color w:val="auto"/>
              </w:rPr>
            </w:pPr>
            <w:r>
              <w:rPr>
                <w:rFonts w:ascii="Arial" w:cs="Arial" w:eastAsia="Arial" w:hAnsi="Arial"/>
                <w:sz w:val="10"/>
                <w:szCs w:val="10"/>
                <w:color w:val="auto"/>
              </w:rPr>
              <w:t>Truist Securities</w:t>
            </w:r>
          </w:p>
        </w:tc>
        <w:tc>
          <w:tcPr>
            <w:tcW w:w="2260" w:type="dxa"/>
            <w:vAlign w:val="bottom"/>
            <w:gridSpan w:val="2"/>
          </w:tcPr>
          <w:p>
            <w:pPr>
              <w:spacing w:after="0"/>
              <w:rPr>
                <w:sz w:val="20"/>
                <w:szCs w:val="20"/>
                <w:color w:val="auto"/>
              </w:rPr>
            </w:pPr>
            <w:r>
              <w:rPr>
                <w:rFonts w:ascii="Arial" w:cs="Arial" w:eastAsia="Arial" w:hAnsi="Arial"/>
                <w:sz w:val="10"/>
                <w:szCs w:val="10"/>
                <w:color w:val="auto"/>
              </w:rPr>
              <w:t>Michael Lewis</w:t>
            </w:r>
          </w:p>
        </w:tc>
        <w:tc>
          <w:tcPr>
            <w:tcW w:w="320" w:type="dxa"/>
            <w:vAlign w:val="bottom"/>
          </w:tcPr>
          <w:p>
            <w:pPr>
              <w:spacing w:after="0"/>
              <w:rPr>
                <w:sz w:val="20"/>
                <w:szCs w:val="20"/>
                <w:color w:val="auto"/>
              </w:rPr>
            </w:pPr>
            <w:r>
              <w:rPr>
                <w:rFonts w:ascii="Arial" w:cs="Arial" w:eastAsia="Arial" w:hAnsi="Arial"/>
                <w:sz w:val="10"/>
                <w:szCs w:val="10"/>
                <w:color w:val="auto"/>
              </w:rPr>
              <w:t>(212)</w:t>
            </w:r>
          </w:p>
        </w:tc>
        <w:tc>
          <w:tcPr>
            <w:tcW w:w="1160" w:type="dxa"/>
            <w:vAlign w:val="bottom"/>
          </w:tcPr>
          <w:p>
            <w:pPr>
              <w:spacing w:after="0"/>
              <w:rPr>
                <w:sz w:val="20"/>
                <w:szCs w:val="20"/>
                <w:color w:val="auto"/>
              </w:rPr>
            </w:pPr>
            <w:r>
              <w:rPr>
                <w:rFonts w:ascii="Arial" w:cs="Arial" w:eastAsia="Arial" w:hAnsi="Arial"/>
                <w:sz w:val="10"/>
                <w:szCs w:val="10"/>
                <w:color w:val="auto"/>
              </w:rPr>
              <w:t>319-5659</w:t>
            </w:r>
          </w:p>
        </w:tc>
        <w:tc>
          <w:tcPr>
            <w:tcW w:w="3080" w:type="dxa"/>
            <w:vAlign w:val="bottom"/>
            <w:tcBorders>
              <w:right w:val="single" w:sz="8" w:color="00497F"/>
            </w:tcBorders>
            <w:gridSpan w:val="3"/>
          </w:tcPr>
          <w:p>
            <w:pPr>
              <w:ind w:left="760"/>
              <w:spacing w:after="0"/>
              <w:rPr>
                <w:sz w:val="20"/>
                <w:szCs w:val="20"/>
                <w:color w:val="auto"/>
              </w:rPr>
            </w:pPr>
            <w:r>
              <w:rPr>
                <w:rFonts w:ascii="Arial" w:cs="Arial" w:eastAsia="Arial" w:hAnsi="Arial"/>
                <w:sz w:val="10"/>
                <w:szCs w:val="10"/>
                <w:color w:val="auto"/>
              </w:rPr>
              <w:t>michael.r.lewis@truist.com</w:t>
            </w:r>
          </w:p>
        </w:tc>
      </w:tr>
      <w:tr>
        <w:trPr>
          <w:trHeight w:val="155"/>
        </w:trPr>
        <w:tc>
          <w:tcPr>
            <w:tcW w:w="2280" w:type="dxa"/>
            <w:vAlign w:val="bottom"/>
            <w:tcBorders>
              <w:left w:val="single" w:sz="8" w:color="00497F"/>
              <w:bottom w:val="single" w:sz="8" w:color="00497F"/>
            </w:tcBorders>
            <w:gridSpan w:val="2"/>
          </w:tcPr>
          <w:p>
            <w:pPr>
              <w:ind w:left="20"/>
              <w:spacing w:after="0"/>
              <w:rPr>
                <w:sz w:val="20"/>
                <w:szCs w:val="20"/>
                <w:color w:val="auto"/>
              </w:rPr>
            </w:pPr>
            <w:r>
              <w:rPr>
                <w:rFonts w:ascii="Arial" w:cs="Arial" w:eastAsia="Arial" w:hAnsi="Arial"/>
                <w:sz w:val="10"/>
                <w:szCs w:val="10"/>
                <w:color w:val="auto"/>
              </w:rPr>
              <w:t>Wells Fargo</w:t>
            </w:r>
          </w:p>
        </w:tc>
        <w:tc>
          <w:tcPr>
            <w:tcW w:w="2260" w:type="dxa"/>
            <w:vAlign w:val="bottom"/>
            <w:tcBorders>
              <w:bottom w:val="single" w:sz="8" w:color="00497F"/>
            </w:tcBorders>
            <w:gridSpan w:val="2"/>
          </w:tcPr>
          <w:p>
            <w:pPr>
              <w:spacing w:after="0"/>
              <w:rPr>
                <w:sz w:val="20"/>
                <w:szCs w:val="20"/>
                <w:color w:val="auto"/>
              </w:rPr>
            </w:pPr>
            <w:r>
              <w:rPr>
                <w:rFonts w:ascii="Arial" w:cs="Arial" w:eastAsia="Arial" w:hAnsi="Arial"/>
                <w:sz w:val="10"/>
                <w:szCs w:val="10"/>
                <w:color w:val="auto"/>
              </w:rPr>
              <w:t>Blaine Heck</w:t>
            </w:r>
          </w:p>
        </w:tc>
        <w:tc>
          <w:tcPr>
            <w:tcW w:w="320" w:type="dxa"/>
            <w:vAlign w:val="bottom"/>
            <w:tcBorders>
              <w:bottom w:val="single" w:sz="8" w:color="00497F"/>
            </w:tcBorders>
          </w:tcPr>
          <w:p>
            <w:pPr>
              <w:spacing w:after="0"/>
              <w:rPr>
                <w:sz w:val="20"/>
                <w:szCs w:val="20"/>
                <w:color w:val="auto"/>
              </w:rPr>
            </w:pPr>
            <w:r>
              <w:rPr>
                <w:rFonts w:ascii="Arial" w:cs="Arial" w:eastAsia="Arial" w:hAnsi="Arial"/>
                <w:sz w:val="10"/>
                <w:szCs w:val="10"/>
                <w:color w:val="auto"/>
              </w:rPr>
              <w:t>(443)</w:t>
            </w:r>
          </w:p>
        </w:tc>
        <w:tc>
          <w:tcPr>
            <w:tcW w:w="1160" w:type="dxa"/>
            <w:vAlign w:val="bottom"/>
            <w:tcBorders>
              <w:bottom w:val="single" w:sz="8" w:color="00497F"/>
            </w:tcBorders>
          </w:tcPr>
          <w:p>
            <w:pPr>
              <w:spacing w:after="0"/>
              <w:rPr>
                <w:sz w:val="20"/>
                <w:szCs w:val="20"/>
                <w:color w:val="auto"/>
              </w:rPr>
            </w:pPr>
            <w:r>
              <w:rPr>
                <w:rFonts w:ascii="Arial" w:cs="Arial" w:eastAsia="Arial" w:hAnsi="Arial"/>
                <w:sz w:val="10"/>
                <w:szCs w:val="10"/>
                <w:color w:val="auto"/>
              </w:rPr>
              <w:t>263-6529</w:t>
            </w:r>
          </w:p>
        </w:tc>
        <w:tc>
          <w:tcPr>
            <w:tcW w:w="3080" w:type="dxa"/>
            <w:vAlign w:val="bottom"/>
            <w:tcBorders>
              <w:bottom w:val="single" w:sz="8" w:color="00497F"/>
              <w:right w:val="single" w:sz="8" w:color="00497F"/>
            </w:tcBorders>
            <w:gridSpan w:val="3"/>
          </w:tcPr>
          <w:p>
            <w:pPr>
              <w:ind w:left="760"/>
              <w:spacing w:after="0"/>
              <w:rPr>
                <w:sz w:val="20"/>
                <w:szCs w:val="20"/>
                <w:color w:val="auto"/>
              </w:rPr>
            </w:pPr>
            <w:r>
              <w:rPr>
                <w:rFonts w:ascii="Arial" w:cs="Arial" w:eastAsia="Arial" w:hAnsi="Arial"/>
                <w:sz w:val="10"/>
                <w:szCs w:val="10"/>
                <w:color w:val="auto"/>
              </w:rPr>
              <w:t>blaine.heck@wellsfargo.com</w:t>
            </w:r>
          </w:p>
        </w:tc>
      </w:tr>
    </w:tbl>
    <w:p>
      <w:pPr>
        <w:spacing w:after="0" w:line="340" w:lineRule="exact"/>
        <w:rPr>
          <w:sz w:val="20"/>
          <w:szCs w:val="20"/>
          <w:color w:val="auto"/>
        </w:rPr>
      </w:pPr>
    </w:p>
    <w:p>
      <w:pPr>
        <w:spacing w:after="0" w:line="223" w:lineRule="auto"/>
        <w:rPr>
          <w:sz w:val="20"/>
          <w:szCs w:val="20"/>
          <w:color w:val="auto"/>
        </w:rPr>
      </w:pPr>
      <w:r>
        <w:rPr>
          <w:rFonts w:ascii="Arial" w:cs="Arial" w:eastAsia="Arial" w:hAnsi="Arial"/>
          <w:sz w:val="10"/>
          <w:szCs w:val="10"/>
          <w:i w:val="1"/>
          <w:iCs w:val="1"/>
          <w:color w:val="auto"/>
        </w:rPr>
        <w:t>SL Green Realty Corp. is covered by the research analysts listed above. Please note that any opinions, estimates or forecasts regarding SL Green Realty Corp.'s performance made by these analysts are theirs alone and do not represent opinions, forecasts or predictions of SL Green Realty Corp. or its management. SL Green Realty Corp. does not, by its reference above or distribution, imply its endorsement of or concurrence with such information, conclusions or</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recommendations.</w:t>
      </w:r>
    </w:p>
    <w:p>
      <w:pPr>
        <w:spacing w:after="0" w:line="361" w:lineRule="exact"/>
        <w:rPr>
          <w:sz w:val="20"/>
          <w:szCs w:val="20"/>
          <w:color w:val="auto"/>
        </w:rPr>
      </w:pPr>
    </w:p>
    <w:p>
      <w:pPr>
        <w:ind w:left="1100"/>
        <w:spacing w:after="0"/>
        <w:tabs>
          <w:tab w:leader="none" w:pos="5540" w:val="left"/>
          <w:tab w:leader="none" w:pos="938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50</w:t>
      </w:r>
      <w:r>
        <w:rPr>
          <w:sz w:val="20"/>
          <w:szCs w:val="20"/>
          <w:color w:val="auto"/>
        </w:rPr>
        <w:tab/>
      </w:r>
      <w:r>
        <w:rPr>
          <w:rFonts w:ascii="Arial" w:cs="Arial" w:eastAsia="Arial" w:hAnsi="Arial"/>
          <w:sz w:val="9"/>
          <w:szCs w:val="9"/>
          <w:color w:val="auto"/>
        </w:rPr>
        <w:t>First Quarter 2026</w:t>
      </w:r>
    </w:p>
    <w:p>
      <w:pPr>
        <w:sectPr>
          <w:pgSz w:w="11900" w:h="16838" w:orient="portrait"/>
          <w:cols w:equalWidth="0" w:num="1">
            <w:col w:w="10960"/>
          </w:cols>
          <w:pgMar w:left="320" w:top="304" w:right="61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577659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346075</wp:posOffset>
            </wp:positionV>
            <wp:extent cx="577659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577659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76595" cy="63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-21590</wp:posOffset>
            </wp:positionV>
            <wp:extent cx="1136650" cy="3244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36650"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4140" w:type="dxa"/>
            <w:vAlign w:val="bottom"/>
          </w:tcPr>
          <w:p>
            <w:pPr>
              <w:spacing w:after="0"/>
              <w:rPr>
                <w:sz w:val="20"/>
                <w:szCs w:val="20"/>
                <w:color w:val="auto"/>
              </w:rPr>
            </w:pPr>
            <w:r>
              <w:rPr>
                <w:rFonts w:ascii="Arial" w:cs="Arial" w:eastAsia="Arial" w:hAnsi="Arial"/>
                <w:sz w:val="18"/>
                <w:szCs w:val="18"/>
                <w:b w:val="1"/>
                <w:bCs w:val="1"/>
                <w:color w:val="auto"/>
              </w:rPr>
              <w:t>Marc Holliday</w:t>
            </w:r>
          </w:p>
        </w:tc>
        <w:tc>
          <w:tcPr>
            <w:tcW w:w="4660" w:type="dxa"/>
            <w:vAlign w:val="bottom"/>
          </w:tcPr>
          <w:p>
            <w:pPr>
              <w:ind w:left="380"/>
              <w:spacing w:after="0"/>
              <w:rPr>
                <w:sz w:val="20"/>
                <w:szCs w:val="20"/>
                <w:color w:val="auto"/>
              </w:rPr>
            </w:pPr>
            <w:r>
              <w:rPr>
                <w:rFonts w:ascii="Arial" w:cs="Arial" w:eastAsia="Arial" w:hAnsi="Arial"/>
                <w:sz w:val="18"/>
                <w:szCs w:val="18"/>
                <w:b w:val="1"/>
                <w:bCs w:val="1"/>
                <w:color w:val="auto"/>
              </w:rPr>
              <w:t>Edward V. Piccinich</w:t>
            </w:r>
          </w:p>
        </w:tc>
        <w:tc>
          <w:tcPr>
            <w:tcW w:w="0" w:type="dxa"/>
            <w:vAlign w:val="bottom"/>
          </w:tcPr>
          <w:p>
            <w:pPr>
              <w:spacing w:after="0"/>
              <w:rPr>
                <w:sz w:val="1"/>
                <w:szCs w:val="1"/>
                <w:color w:val="auto"/>
              </w:rPr>
            </w:pPr>
          </w:p>
        </w:tc>
      </w:tr>
      <w:tr>
        <w:trPr>
          <w:trHeight w:val="242"/>
        </w:trPr>
        <w:tc>
          <w:tcPr>
            <w:tcW w:w="4140" w:type="dxa"/>
            <w:vAlign w:val="bottom"/>
          </w:tcPr>
          <w:p>
            <w:pPr>
              <w:ind w:left="480"/>
              <w:spacing w:after="0"/>
              <w:rPr>
                <w:sz w:val="20"/>
                <w:szCs w:val="20"/>
                <w:color w:val="auto"/>
              </w:rPr>
            </w:pPr>
            <w:r>
              <w:rPr>
                <w:rFonts w:ascii="Arial" w:cs="Arial" w:eastAsia="Arial" w:hAnsi="Arial"/>
                <w:sz w:val="17"/>
                <w:szCs w:val="17"/>
                <w:color w:val="auto"/>
              </w:rPr>
              <w:t>Chairman and Chief Executive Officer</w:t>
            </w:r>
          </w:p>
        </w:tc>
        <w:tc>
          <w:tcPr>
            <w:tcW w:w="4660" w:type="dxa"/>
            <w:vAlign w:val="bottom"/>
          </w:tcPr>
          <w:p>
            <w:pPr>
              <w:ind w:left="860"/>
              <w:spacing w:after="0"/>
              <w:rPr>
                <w:sz w:val="20"/>
                <w:szCs w:val="20"/>
                <w:color w:val="auto"/>
              </w:rPr>
            </w:pPr>
            <w:r>
              <w:rPr>
                <w:rFonts w:ascii="Arial" w:cs="Arial" w:eastAsia="Arial" w:hAnsi="Arial"/>
                <w:sz w:val="17"/>
                <w:szCs w:val="17"/>
                <w:color w:val="auto"/>
              </w:rPr>
              <w:t>Chief Operating Officer</w:t>
            </w:r>
          </w:p>
        </w:tc>
        <w:tc>
          <w:tcPr>
            <w:tcW w:w="0" w:type="dxa"/>
            <w:vAlign w:val="bottom"/>
          </w:tcPr>
          <w:p>
            <w:pPr>
              <w:spacing w:after="0"/>
              <w:rPr>
                <w:sz w:val="1"/>
                <w:szCs w:val="1"/>
                <w:color w:val="auto"/>
              </w:rPr>
            </w:pPr>
          </w:p>
        </w:tc>
      </w:tr>
      <w:tr>
        <w:trPr>
          <w:trHeight w:val="555"/>
        </w:trPr>
        <w:tc>
          <w:tcPr>
            <w:tcW w:w="4140" w:type="dxa"/>
            <w:vAlign w:val="bottom"/>
          </w:tcPr>
          <w:p>
            <w:pPr>
              <w:spacing w:after="0"/>
              <w:rPr>
                <w:sz w:val="20"/>
                <w:szCs w:val="20"/>
                <w:color w:val="auto"/>
              </w:rPr>
            </w:pPr>
            <w:r>
              <w:rPr>
                <w:rFonts w:ascii="Arial" w:cs="Arial" w:eastAsia="Arial" w:hAnsi="Arial"/>
                <w:sz w:val="18"/>
                <w:szCs w:val="18"/>
                <w:b w:val="1"/>
                <w:bCs w:val="1"/>
                <w:color w:val="auto"/>
              </w:rPr>
              <w:t>Harrison Sitomer</w:t>
            </w:r>
          </w:p>
        </w:tc>
        <w:tc>
          <w:tcPr>
            <w:tcW w:w="4660" w:type="dxa"/>
            <w:vAlign w:val="bottom"/>
          </w:tcPr>
          <w:p>
            <w:pPr>
              <w:ind w:left="380"/>
              <w:spacing w:after="0"/>
              <w:rPr>
                <w:sz w:val="20"/>
                <w:szCs w:val="20"/>
                <w:color w:val="auto"/>
              </w:rPr>
            </w:pPr>
            <w:r>
              <w:rPr>
                <w:rFonts w:ascii="Arial" w:cs="Arial" w:eastAsia="Arial" w:hAnsi="Arial"/>
                <w:sz w:val="18"/>
                <w:szCs w:val="18"/>
                <w:b w:val="1"/>
                <w:bCs w:val="1"/>
                <w:color w:val="auto"/>
              </w:rPr>
              <w:t>Neil H. Kessner</w:t>
            </w:r>
          </w:p>
        </w:tc>
        <w:tc>
          <w:tcPr>
            <w:tcW w:w="0" w:type="dxa"/>
            <w:vAlign w:val="bottom"/>
          </w:tcPr>
          <w:p>
            <w:pPr>
              <w:spacing w:after="0"/>
              <w:rPr>
                <w:sz w:val="1"/>
                <w:szCs w:val="1"/>
                <w:color w:val="auto"/>
              </w:rPr>
            </w:pPr>
          </w:p>
        </w:tc>
      </w:tr>
      <w:tr>
        <w:trPr>
          <w:trHeight w:val="242"/>
        </w:trPr>
        <w:tc>
          <w:tcPr>
            <w:tcW w:w="4140" w:type="dxa"/>
            <w:vAlign w:val="bottom"/>
          </w:tcPr>
          <w:p>
            <w:pPr>
              <w:ind w:left="480"/>
              <w:spacing w:after="0"/>
              <w:rPr>
                <w:sz w:val="20"/>
                <w:szCs w:val="20"/>
                <w:color w:val="auto"/>
              </w:rPr>
            </w:pPr>
            <w:r>
              <w:rPr>
                <w:rFonts w:ascii="Arial" w:cs="Arial" w:eastAsia="Arial" w:hAnsi="Arial"/>
                <w:sz w:val="17"/>
                <w:szCs w:val="17"/>
                <w:color w:val="auto"/>
              </w:rPr>
              <w:t>President and Chief Investment Officer</w:t>
            </w:r>
          </w:p>
        </w:tc>
        <w:tc>
          <w:tcPr>
            <w:tcW w:w="4660" w:type="dxa"/>
            <w:vAlign w:val="bottom"/>
          </w:tcPr>
          <w:p>
            <w:pPr>
              <w:ind w:left="860"/>
              <w:spacing w:after="0"/>
              <w:rPr>
                <w:sz w:val="20"/>
                <w:szCs w:val="20"/>
                <w:color w:val="auto"/>
              </w:rPr>
            </w:pPr>
            <w:r>
              <w:rPr>
                <w:rFonts w:ascii="Arial" w:cs="Arial" w:eastAsia="Arial" w:hAnsi="Arial"/>
                <w:sz w:val="17"/>
                <w:szCs w:val="17"/>
                <w:color w:val="auto"/>
              </w:rPr>
              <w:t>Executive Vice President, General</w:t>
            </w:r>
          </w:p>
        </w:tc>
        <w:tc>
          <w:tcPr>
            <w:tcW w:w="0" w:type="dxa"/>
            <w:vAlign w:val="bottom"/>
          </w:tcPr>
          <w:p>
            <w:pPr>
              <w:spacing w:after="0"/>
              <w:rPr>
                <w:sz w:val="1"/>
                <w:szCs w:val="1"/>
                <w:color w:val="auto"/>
              </w:rPr>
            </w:pPr>
          </w:p>
        </w:tc>
      </w:tr>
      <w:tr>
        <w:trPr>
          <w:trHeight w:val="266"/>
        </w:trPr>
        <w:tc>
          <w:tcPr>
            <w:tcW w:w="4140" w:type="dxa"/>
            <w:vAlign w:val="bottom"/>
          </w:tcPr>
          <w:p>
            <w:pPr>
              <w:spacing w:after="0"/>
              <w:rPr>
                <w:sz w:val="23"/>
                <w:szCs w:val="23"/>
                <w:color w:val="auto"/>
              </w:rPr>
            </w:pPr>
          </w:p>
        </w:tc>
        <w:tc>
          <w:tcPr>
            <w:tcW w:w="4660" w:type="dxa"/>
            <w:vAlign w:val="bottom"/>
          </w:tcPr>
          <w:p>
            <w:pPr>
              <w:ind w:left="860"/>
              <w:spacing w:after="0"/>
              <w:rPr>
                <w:sz w:val="20"/>
                <w:szCs w:val="20"/>
                <w:color w:val="auto"/>
              </w:rPr>
            </w:pPr>
            <w:r>
              <w:rPr>
                <w:rFonts w:ascii="Arial" w:cs="Arial" w:eastAsia="Arial" w:hAnsi="Arial"/>
                <w:sz w:val="17"/>
                <w:szCs w:val="17"/>
                <w:color w:val="auto"/>
              </w:rPr>
              <w:t>Counsel - Real Property</w:t>
            </w:r>
          </w:p>
        </w:tc>
        <w:tc>
          <w:tcPr>
            <w:tcW w:w="0" w:type="dxa"/>
            <w:vAlign w:val="bottom"/>
          </w:tcPr>
          <w:p>
            <w:pPr>
              <w:spacing w:after="0"/>
              <w:rPr>
                <w:sz w:val="1"/>
                <w:szCs w:val="1"/>
                <w:color w:val="auto"/>
              </w:rPr>
            </w:pPr>
          </w:p>
        </w:tc>
      </w:tr>
      <w:tr>
        <w:trPr>
          <w:trHeight w:val="289"/>
        </w:trPr>
        <w:tc>
          <w:tcPr>
            <w:tcW w:w="4140" w:type="dxa"/>
            <w:vAlign w:val="bottom"/>
          </w:tcPr>
          <w:p>
            <w:pPr>
              <w:spacing w:after="0"/>
              <w:rPr>
                <w:sz w:val="20"/>
                <w:szCs w:val="20"/>
                <w:color w:val="auto"/>
              </w:rPr>
            </w:pPr>
            <w:r>
              <w:rPr>
                <w:rFonts w:ascii="Arial" w:cs="Arial" w:eastAsia="Arial" w:hAnsi="Arial"/>
                <w:sz w:val="18"/>
                <w:szCs w:val="18"/>
                <w:b w:val="1"/>
                <w:bCs w:val="1"/>
                <w:color w:val="auto"/>
              </w:rPr>
              <w:t>Matthew J. DiLiberto</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140" w:type="dxa"/>
            <w:vAlign w:val="bottom"/>
          </w:tcPr>
          <w:p>
            <w:pPr>
              <w:ind w:left="480"/>
              <w:spacing w:after="0"/>
              <w:rPr>
                <w:sz w:val="20"/>
                <w:szCs w:val="20"/>
                <w:color w:val="auto"/>
              </w:rPr>
            </w:pPr>
            <w:r>
              <w:rPr>
                <w:rFonts w:ascii="Arial" w:cs="Arial" w:eastAsia="Arial" w:hAnsi="Arial"/>
                <w:sz w:val="17"/>
                <w:szCs w:val="17"/>
                <w:color w:val="auto"/>
              </w:rPr>
              <w:t>Chief Financial Officer</w:t>
            </w:r>
          </w:p>
        </w:tc>
        <w:tc>
          <w:tcPr>
            <w:tcW w:w="4660" w:type="dxa"/>
            <w:vAlign w:val="bottom"/>
          </w:tcPr>
          <w:p>
            <w:pPr>
              <w:ind w:left="380"/>
              <w:spacing w:after="0"/>
              <w:rPr>
                <w:sz w:val="20"/>
                <w:szCs w:val="20"/>
                <w:color w:val="auto"/>
              </w:rPr>
            </w:pPr>
            <w:r>
              <w:rPr>
                <w:rFonts w:ascii="Arial" w:cs="Arial" w:eastAsia="Arial" w:hAnsi="Arial"/>
                <w:sz w:val="18"/>
                <w:szCs w:val="18"/>
                <w:b w:val="1"/>
                <w:bCs w:val="1"/>
                <w:color w:val="auto"/>
              </w:rPr>
              <w:t>Maggie Hui</w:t>
            </w:r>
          </w:p>
        </w:tc>
        <w:tc>
          <w:tcPr>
            <w:tcW w:w="0" w:type="dxa"/>
            <w:vAlign w:val="bottom"/>
          </w:tcPr>
          <w:p>
            <w:pPr>
              <w:spacing w:after="0"/>
              <w:rPr>
                <w:sz w:val="1"/>
                <w:szCs w:val="1"/>
                <w:color w:val="auto"/>
              </w:rPr>
            </w:pPr>
          </w:p>
        </w:tc>
      </w:tr>
      <w:tr>
        <w:trPr>
          <w:trHeight w:val="242"/>
        </w:trPr>
        <w:tc>
          <w:tcPr>
            <w:tcW w:w="4140" w:type="dxa"/>
            <w:vAlign w:val="bottom"/>
          </w:tcPr>
          <w:p>
            <w:pPr>
              <w:spacing w:after="0"/>
              <w:rPr>
                <w:sz w:val="21"/>
                <w:szCs w:val="21"/>
                <w:color w:val="auto"/>
              </w:rPr>
            </w:pPr>
          </w:p>
        </w:tc>
        <w:tc>
          <w:tcPr>
            <w:tcW w:w="4660" w:type="dxa"/>
            <w:vAlign w:val="bottom"/>
          </w:tcPr>
          <w:p>
            <w:pPr>
              <w:ind w:left="860"/>
              <w:spacing w:after="0"/>
              <w:rPr>
                <w:sz w:val="20"/>
                <w:szCs w:val="20"/>
                <w:color w:val="auto"/>
              </w:rPr>
            </w:pPr>
            <w:r>
              <w:rPr>
                <w:rFonts w:ascii="Arial" w:cs="Arial" w:eastAsia="Arial" w:hAnsi="Arial"/>
                <w:sz w:val="17"/>
                <w:szCs w:val="17"/>
                <w:color w:val="auto"/>
              </w:rPr>
              <w:t>Chief Accounting Officer</w:t>
            </w:r>
          </w:p>
        </w:tc>
        <w:tc>
          <w:tcPr>
            <w:tcW w:w="0" w:type="dxa"/>
            <w:vAlign w:val="bottom"/>
          </w:tcPr>
          <w:p>
            <w:pPr>
              <w:spacing w:after="0"/>
              <w:rPr>
                <w:sz w:val="1"/>
                <w:szCs w:val="1"/>
                <w:color w:val="auto"/>
              </w:rPr>
            </w:pPr>
          </w:p>
        </w:tc>
      </w:tr>
      <w:tr>
        <w:trPr>
          <w:trHeight w:val="289"/>
        </w:trPr>
        <w:tc>
          <w:tcPr>
            <w:tcW w:w="4140" w:type="dxa"/>
            <w:vAlign w:val="bottom"/>
          </w:tcPr>
          <w:p>
            <w:pPr>
              <w:spacing w:after="0"/>
              <w:rPr>
                <w:sz w:val="20"/>
                <w:szCs w:val="20"/>
                <w:color w:val="auto"/>
              </w:rPr>
            </w:pPr>
            <w:r>
              <w:rPr>
                <w:rFonts w:ascii="Arial" w:cs="Arial" w:eastAsia="Arial" w:hAnsi="Arial"/>
                <w:sz w:val="18"/>
                <w:szCs w:val="18"/>
                <w:b w:val="1"/>
                <w:bCs w:val="1"/>
                <w:color w:val="auto"/>
              </w:rPr>
              <w:t>Andrew S. Levine</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140" w:type="dxa"/>
            <w:vAlign w:val="bottom"/>
          </w:tcPr>
          <w:p>
            <w:pPr>
              <w:ind w:left="480"/>
              <w:spacing w:after="0"/>
              <w:rPr>
                <w:sz w:val="20"/>
                <w:szCs w:val="20"/>
                <w:color w:val="auto"/>
              </w:rPr>
            </w:pPr>
            <w:r>
              <w:rPr>
                <w:rFonts w:ascii="Arial" w:cs="Arial" w:eastAsia="Arial" w:hAnsi="Arial"/>
                <w:sz w:val="17"/>
                <w:szCs w:val="17"/>
                <w:color w:val="auto"/>
              </w:rPr>
              <w:t>Chief Legal Officer - General Counsel, EVP</w:t>
            </w:r>
          </w:p>
        </w:tc>
        <w:tc>
          <w:tcPr>
            <w:tcW w:w="4660" w:type="dxa"/>
            <w:vAlign w:val="bottom"/>
          </w:tcPr>
          <w:p>
            <w:pPr>
              <w:ind w:left="380"/>
              <w:spacing w:after="0"/>
              <w:rPr>
                <w:sz w:val="20"/>
                <w:szCs w:val="20"/>
                <w:color w:val="auto"/>
              </w:rPr>
            </w:pPr>
            <w:r>
              <w:rPr>
                <w:rFonts w:ascii="Arial" w:cs="Arial" w:eastAsia="Arial" w:hAnsi="Arial"/>
                <w:sz w:val="18"/>
                <w:szCs w:val="18"/>
                <w:b w:val="1"/>
                <w:bCs w:val="1"/>
                <w:color w:val="auto"/>
              </w:rPr>
              <w:t>Robert Schiffer</w:t>
            </w:r>
          </w:p>
        </w:tc>
        <w:tc>
          <w:tcPr>
            <w:tcW w:w="0" w:type="dxa"/>
            <w:vAlign w:val="bottom"/>
          </w:tcPr>
          <w:p>
            <w:pPr>
              <w:spacing w:after="0"/>
              <w:rPr>
                <w:sz w:val="1"/>
                <w:szCs w:val="1"/>
                <w:color w:val="auto"/>
              </w:rPr>
            </w:pPr>
          </w:p>
        </w:tc>
      </w:tr>
      <w:tr>
        <w:trPr>
          <w:trHeight w:val="242"/>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Steven M. Durels</w:t>
            </w:r>
          </w:p>
        </w:tc>
        <w:tc>
          <w:tcPr>
            <w:tcW w:w="4660" w:type="dxa"/>
            <w:vAlign w:val="bottom"/>
          </w:tcPr>
          <w:p>
            <w:pPr>
              <w:ind w:left="860"/>
              <w:spacing w:after="0"/>
              <w:rPr>
                <w:sz w:val="20"/>
                <w:szCs w:val="20"/>
                <w:color w:val="auto"/>
              </w:rPr>
            </w:pPr>
            <w:r>
              <w:rPr>
                <w:rFonts w:ascii="Arial" w:cs="Arial" w:eastAsia="Arial" w:hAnsi="Arial"/>
                <w:sz w:val="17"/>
                <w:szCs w:val="17"/>
                <w:color w:val="auto"/>
              </w:rPr>
              <w:t>Executive Vice President, Development</w:t>
            </w:r>
          </w:p>
        </w:tc>
        <w:tc>
          <w:tcPr>
            <w:tcW w:w="0" w:type="dxa"/>
            <w:vAlign w:val="bottom"/>
          </w:tcPr>
          <w:p>
            <w:pPr>
              <w:spacing w:after="0"/>
              <w:rPr>
                <w:sz w:val="1"/>
                <w:szCs w:val="1"/>
                <w:color w:val="auto"/>
              </w:rPr>
            </w:pPr>
          </w:p>
        </w:tc>
      </w:tr>
      <w:tr>
        <w:trPr>
          <w:trHeight w:val="230"/>
        </w:trPr>
        <w:tc>
          <w:tcPr>
            <w:tcW w:w="4140" w:type="dxa"/>
            <w:vAlign w:val="bottom"/>
            <w:vMerge w:val="continue"/>
          </w:tcPr>
          <w:p>
            <w:pPr>
              <w:spacing w:after="0"/>
              <w:rPr>
                <w:sz w:val="20"/>
                <w:szCs w:val="20"/>
                <w:color w:val="auto"/>
              </w:rPr>
            </w:pPr>
          </w:p>
        </w:tc>
        <w:tc>
          <w:tcPr>
            <w:tcW w:w="4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140" w:type="dxa"/>
            <w:vAlign w:val="bottom"/>
          </w:tcPr>
          <w:p>
            <w:pPr>
              <w:ind w:left="480"/>
              <w:spacing w:after="0"/>
              <w:rPr>
                <w:sz w:val="20"/>
                <w:szCs w:val="20"/>
                <w:color w:val="auto"/>
              </w:rPr>
            </w:pPr>
            <w:r>
              <w:rPr>
                <w:rFonts w:ascii="Arial" w:cs="Arial" w:eastAsia="Arial" w:hAnsi="Arial"/>
                <w:sz w:val="17"/>
                <w:szCs w:val="17"/>
                <w:color w:val="auto"/>
              </w:rPr>
              <w:t>Executive Vice President, Director of</w:t>
            </w:r>
          </w:p>
        </w:tc>
        <w:tc>
          <w:tcPr>
            <w:tcW w:w="4660" w:type="dxa"/>
            <w:vAlign w:val="bottom"/>
          </w:tcPr>
          <w:p>
            <w:pPr>
              <w:ind w:left="380"/>
              <w:spacing w:after="0"/>
              <w:rPr>
                <w:sz w:val="20"/>
                <w:szCs w:val="20"/>
                <w:color w:val="auto"/>
              </w:rPr>
            </w:pPr>
            <w:r>
              <w:rPr>
                <w:rFonts w:ascii="Arial" w:cs="Arial" w:eastAsia="Arial" w:hAnsi="Arial"/>
                <w:sz w:val="18"/>
                <w:szCs w:val="18"/>
                <w:b w:val="1"/>
                <w:bCs w:val="1"/>
                <w:color w:val="auto"/>
              </w:rPr>
              <w:t>Brett Herschenfeld</w:t>
            </w:r>
          </w:p>
        </w:tc>
        <w:tc>
          <w:tcPr>
            <w:tcW w:w="0" w:type="dxa"/>
            <w:vAlign w:val="bottom"/>
          </w:tcPr>
          <w:p>
            <w:pPr>
              <w:spacing w:after="0"/>
              <w:rPr>
                <w:sz w:val="1"/>
                <w:szCs w:val="1"/>
                <w:color w:val="auto"/>
              </w:rPr>
            </w:pPr>
          </w:p>
        </w:tc>
      </w:tr>
      <w:tr>
        <w:trPr>
          <w:trHeight w:val="242"/>
        </w:trPr>
        <w:tc>
          <w:tcPr>
            <w:tcW w:w="4140" w:type="dxa"/>
            <w:vAlign w:val="bottom"/>
          </w:tcPr>
          <w:p>
            <w:pPr>
              <w:ind w:left="480"/>
              <w:spacing w:after="0"/>
              <w:rPr>
                <w:sz w:val="20"/>
                <w:szCs w:val="20"/>
                <w:color w:val="auto"/>
              </w:rPr>
            </w:pPr>
            <w:r>
              <w:rPr>
                <w:rFonts w:ascii="Arial" w:cs="Arial" w:eastAsia="Arial" w:hAnsi="Arial"/>
                <w:sz w:val="17"/>
                <w:szCs w:val="17"/>
                <w:color w:val="auto"/>
              </w:rPr>
              <w:t>Leasing and Real Property</w:t>
            </w:r>
          </w:p>
        </w:tc>
        <w:tc>
          <w:tcPr>
            <w:tcW w:w="4660" w:type="dxa"/>
            <w:vAlign w:val="bottom"/>
          </w:tcPr>
          <w:p>
            <w:pPr>
              <w:ind w:left="860"/>
              <w:spacing w:after="0"/>
              <w:rPr>
                <w:sz w:val="20"/>
                <w:szCs w:val="20"/>
                <w:color w:val="auto"/>
              </w:rPr>
            </w:pPr>
            <w:r>
              <w:rPr>
                <w:rFonts w:ascii="Arial" w:cs="Arial" w:eastAsia="Arial" w:hAnsi="Arial"/>
                <w:sz w:val="17"/>
                <w:szCs w:val="17"/>
                <w:color w:val="auto"/>
                <w:w w:val="99"/>
              </w:rPr>
              <w:t>Executive Vice President, Retail and Opportunistic</w:t>
            </w:r>
          </w:p>
        </w:tc>
        <w:tc>
          <w:tcPr>
            <w:tcW w:w="0" w:type="dxa"/>
            <w:vAlign w:val="bottom"/>
          </w:tcPr>
          <w:p>
            <w:pPr>
              <w:spacing w:after="0"/>
              <w:rPr>
                <w:sz w:val="1"/>
                <w:szCs w:val="1"/>
                <w:color w:val="auto"/>
              </w:rPr>
            </w:pPr>
          </w:p>
        </w:tc>
      </w:tr>
      <w:tr>
        <w:trPr>
          <w:trHeight w:val="266"/>
        </w:trPr>
        <w:tc>
          <w:tcPr>
            <w:tcW w:w="4140" w:type="dxa"/>
            <w:vAlign w:val="bottom"/>
          </w:tcPr>
          <w:p>
            <w:pPr>
              <w:spacing w:after="0"/>
              <w:rPr>
                <w:sz w:val="23"/>
                <w:szCs w:val="23"/>
                <w:color w:val="auto"/>
              </w:rPr>
            </w:pPr>
          </w:p>
        </w:tc>
        <w:tc>
          <w:tcPr>
            <w:tcW w:w="4660" w:type="dxa"/>
            <w:vAlign w:val="bottom"/>
          </w:tcPr>
          <w:p>
            <w:pPr>
              <w:ind w:left="860"/>
              <w:spacing w:after="0"/>
              <w:rPr>
                <w:sz w:val="20"/>
                <w:szCs w:val="20"/>
                <w:color w:val="auto"/>
              </w:rPr>
            </w:pPr>
            <w:r>
              <w:rPr>
                <w:rFonts w:ascii="Arial" w:cs="Arial" w:eastAsia="Arial" w:hAnsi="Arial"/>
                <w:sz w:val="17"/>
                <w:szCs w:val="17"/>
                <w:color w:val="auto"/>
              </w:rPr>
              <w:t>Investment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4460" w:val="left"/>
          <w:tab w:leader="none" w:pos="8300" w:val="left"/>
        </w:tabs>
        <w:rPr>
          <w:sz w:val="20"/>
          <w:szCs w:val="20"/>
          <w:color w:val="auto"/>
        </w:rPr>
      </w:pPr>
      <w:r>
        <w:rPr>
          <w:rFonts w:ascii="Arial" w:cs="Arial" w:eastAsia="Arial" w:hAnsi="Arial"/>
          <w:sz w:val="9"/>
          <w:szCs w:val="9"/>
          <w:color w:val="auto"/>
        </w:rPr>
        <w:t>Supplemental Information</w:t>
      </w:r>
      <w:r>
        <w:rPr>
          <w:sz w:val="20"/>
          <w:szCs w:val="20"/>
          <w:color w:val="auto"/>
        </w:rPr>
        <w:tab/>
      </w:r>
      <w:r>
        <w:rPr>
          <w:rFonts w:ascii="Arial" w:cs="Arial" w:eastAsia="Arial" w:hAnsi="Arial"/>
          <w:sz w:val="9"/>
          <w:szCs w:val="9"/>
          <w:color w:val="auto"/>
        </w:rPr>
        <w:t>51</w:t>
      </w:r>
      <w:r>
        <w:rPr>
          <w:sz w:val="20"/>
          <w:szCs w:val="20"/>
          <w:color w:val="auto"/>
        </w:rPr>
        <w:tab/>
      </w:r>
      <w:r>
        <w:rPr>
          <w:rFonts w:ascii="Arial" w:cs="Arial" w:eastAsia="Arial" w:hAnsi="Arial"/>
          <w:sz w:val="9"/>
          <w:szCs w:val="9"/>
          <w:color w:val="auto"/>
        </w:rPr>
        <w:t>First Quarter 2026</w:t>
      </w:r>
    </w:p>
    <w:sectPr>
      <w:pgSz w:w="11900" w:h="16838" w:orient="portrait"/>
      <w:cols w:equalWidth="0" w:num="1">
        <w:col w:w="9080"/>
      </w:cols>
      <w:pgMar w:left="1400" w:top="3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2026-04-16T12:46:14Z</dcterms:created>
  <dcterms:modified xsi:type="dcterms:W3CDTF">2026-04-16T12:46:14Z</dcterms:modified>
</cp:coreProperties>
</file>