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ind w:left="760" w:hanging="420"/>
        <w:spacing w:after="0"/>
        <w:tabs>
          <w:tab w:leader="none" w:pos="7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 w:lineRule="exact"/>
        <w:rPr>
          <w:sz w:val="24"/>
          <w:szCs w:val="24"/>
          <w:color w:val="auto"/>
        </w:rPr>
      </w:pPr>
    </w:p>
    <w:p>
      <w:pPr>
        <w:jc w:val="center"/>
        <w:ind w:left="5240" w:right="320" w:hanging="4908"/>
        <w:spacing w:after="0" w:line="267" w:lineRule="auto"/>
        <w:tabs>
          <w:tab w:leader="none" w:pos="766"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6" w:lineRule="exact"/>
        <w:rPr>
          <w:sz w:val="24"/>
          <w:szCs w:val="24"/>
          <w:color w:val="auto"/>
        </w:rPr>
      </w:pPr>
    </w:p>
    <w:p>
      <w:pPr>
        <w:ind w:left="36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1-13199 (SL Green Realty Corp.)</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33-167793-02 (SL Green Operating Partnership, L.P.)</w:t>
      </w:r>
    </w:p>
    <w:p>
      <w:pPr>
        <w:spacing w:after="0" w:line="15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SL GREEN REALTY CORP.</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SL GREEN OPERATING PARTNERSHIP, L.P.</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134"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SL Green Realty Corp.</w:t>
            </w:r>
          </w:p>
        </w:tc>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1820" w:type="dxa"/>
            <w:vAlign w:val="bottom"/>
          </w:tcPr>
          <w:p>
            <w:pPr>
              <w:jc w:val="center"/>
              <w:ind w:left="784"/>
              <w:spacing w:after="0"/>
              <w:rPr>
                <w:sz w:val="20"/>
                <w:szCs w:val="20"/>
                <w:color w:val="auto"/>
              </w:rPr>
            </w:pPr>
            <w:r>
              <w:rPr>
                <w:rFonts w:ascii="Times New Roman" w:cs="Times New Roman" w:eastAsia="Times New Roman" w:hAnsi="Times New Roman"/>
                <w:sz w:val="18"/>
                <w:szCs w:val="18"/>
                <w:b w:val="1"/>
                <w:bCs w:val="1"/>
                <w:color w:val="auto"/>
              </w:rPr>
              <w:t>13-3956775</w:t>
            </w:r>
          </w:p>
        </w:tc>
      </w:tr>
      <w:tr>
        <w:trPr>
          <w:trHeight w:val="247"/>
        </w:trPr>
        <w:tc>
          <w:tcPr>
            <w:tcW w:w="33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SL Green Operating Partnership, L.P.</w:t>
            </w:r>
          </w:p>
        </w:tc>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20" w:type="dxa"/>
            <w:vAlign w:val="bottom"/>
          </w:tcPr>
          <w:p>
            <w:pPr>
              <w:jc w:val="center"/>
              <w:ind w:left="784"/>
              <w:spacing w:after="0"/>
              <w:rPr>
                <w:sz w:val="20"/>
                <w:szCs w:val="20"/>
                <w:color w:val="auto"/>
              </w:rPr>
            </w:pPr>
            <w:r>
              <w:rPr>
                <w:rFonts w:ascii="Times New Roman" w:cs="Times New Roman" w:eastAsia="Times New Roman" w:hAnsi="Times New Roman"/>
                <w:sz w:val="18"/>
                <w:szCs w:val="18"/>
                <w:b w:val="1"/>
                <w:bCs w:val="1"/>
                <w:color w:val="auto"/>
              </w:rPr>
              <w:t>13-3960938</w:t>
            </w:r>
          </w:p>
        </w:tc>
      </w:tr>
      <w:tr>
        <w:trPr>
          <w:trHeight w:val="158"/>
        </w:trPr>
        <w:tc>
          <w:tcPr>
            <w:tcW w:w="3320" w:type="dxa"/>
            <w:vAlign w:val="bottom"/>
          </w:tcPr>
          <w:p>
            <w:pPr>
              <w:spacing w:after="0"/>
              <w:rPr>
                <w:sz w:val="13"/>
                <w:szCs w:val="13"/>
                <w:color w:val="auto"/>
              </w:rPr>
            </w:pPr>
          </w:p>
        </w:tc>
        <w:tc>
          <w:tcPr>
            <w:tcW w:w="2980" w:type="dxa"/>
            <w:vAlign w:val="bottom"/>
          </w:tcPr>
          <w:p>
            <w:pPr>
              <w:jc w:val="center"/>
              <w:ind w:right="439"/>
              <w:spacing w:after="0" w:line="158"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820" w:type="dxa"/>
            <w:vAlign w:val="bottom"/>
          </w:tcPr>
          <w:p>
            <w:pPr>
              <w:jc w:val="center"/>
              <w:ind w:left="804"/>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88"/>
        </w:trPr>
        <w:tc>
          <w:tcPr>
            <w:tcW w:w="3320" w:type="dxa"/>
            <w:vAlign w:val="bottom"/>
          </w:tcPr>
          <w:p>
            <w:pPr>
              <w:spacing w:after="0"/>
              <w:rPr>
                <w:sz w:val="16"/>
                <w:szCs w:val="16"/>
                <w:color w:val="auto"/>
              </w:rPr>
            </w:pPr>
          </w:p>
        </w:tc>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820" w:type="dxa"/>
            <w:vAlign w:val="bottom"/>
          </w:tcPr>
          <w:p>
            <w:pPr>
              <w:jc w:val="center"/>
              <w:ind w:left="804"/>
              <w:spacing w:after="0"/>
              <w:rPr>
                <w:sz w:val="20"/>
                <w:szCs w:val="20"/>
                <w:color w:val="auto"/>
              </w:rPr>
            </w:pPr>
            <w:r>
              <w:rPr>
                <w:rFonts w:ascii="Times New Roman" w:cs="Times New Roman" w:eastAsia="Times New Roman" w:hAnsi="Times New Roman"/>
                <w:sz w:val="13"/>
                <w:szCs w:val="13"/>
                <w:color w:val="auto"/>
                <w:w w:val="97"/>
              </w:rPr>
              <w:t>Identification No.)</w:t>
            </w:r>
          </w:p>
        </w:tc>
      </w:tr>
    </w:tbl>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Vanderbilt Avenue, New York, NY 10017</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(Address of principal executive offices—Zip Code)</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594-2700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200" w:lineRule="exact"/>
        <w:rPr>
          <w:sz w:val="24"/>
          <w:szCs w:val="24"/>
          <w:color w:val="auto"/>
        </w:rPr>
      </w:pPr>
    </w:p>
    <w:p>
      <w:pPr>
        <w:spacing w:after="0" w:line="265"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spacing w:after="0"/>
        <w:tabs>
          <w:tab w:leader="none" w:pos="1820" w:val="left"/>
          <w:tab w:leader="none" w:pos="2500" w:val="left"/>
          <w:tab w:leader="none" w:pos="3520" w:val="left"/>
          <w:tab w:leader="none" w:pos="6380" w:val="left"/>
          <w:tab w:leader="none" w:pos="7060" w:val="left"/>
        </w:tabs>
        <w:rPr>
          <w:sz w:val="20"/>
          <w:szCs w:val="20"/>
          <w:color w:val="auto"/>
        </w:rPr>
      </w:pPr>
      <w:r>
        <w:rPr>
          <w:rFonts w:ascii="Times New Roman" w:cs="Times New Roman" w:eastAsia="Times New Roman" w:hAnsi="Times New Roman"/>
          <w:sz w:val="18"/>
          <w:szCs w:val="18"/>
          <w:color w:val="auto"/>
        </w:rPr>
        <w:t>SL Green Realty Corp.</w:t>
        <w:tab/>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SL Green Operating Partnership, L.P.</w:t>
        <w:tab/>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spacing w:after="0"/>
        <w:tabs>
          <w:tab w:leader="none" w:pos="1860" w:val="left"/>
          <w:tab w:leader="none" w:pos="2540" w:val="left"/>
          <w:tab w:leader="none" w:pos="3560" w:val="left"/>
          <w:tab w:leader="none" w:pos="6440" w:val="left"/>
          <w:tab w:leader="none" w:pos="7120" w:val="left"/>
        </w:tabs>
        <w:rPr>
          <w:sz w:val="20"/>
          <w:szCs w:val="20"/>
          <w:color w:val="auto"/>
        </w:rPr>
      </w:pPr>
      <w:r>
        <w:rPr>
          <w:rFonts w:ascii="Times New Roman" w:cs="Times New Roman" w:eastAsia="Times New Roman" w:hAnsi="Times New Roman"/>
          <w:sz w:val="18"/>
          <w:szCs w:val="18"/>
          <w:color w:val="auto"/>
        </w:rPr>
        <w:t>SL Green Realty Corp.</w:t>
        <w:tab/>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SL Green Operating Partnership, L.P.</w:t>
        <w:tab/>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o</w:t>
      </w:r>
    </w:p>
    <w:p>
      <w:pPr>
        <w:spacing w:after="0" w:line="200" w:lineRule="exact"/>
        <w:rPr>
          <w:sz w:val="24"/>
          <w:szCs w:val="24"/>
          <w:color w:val="auto"/>
        </w:rPr>
      </w:pPr>
    </w:p>
    <w:p>
      <w:pPr>
        <w:spacing w:after="0" w:line="2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SL Green Realty Corp.</w:t>
            </w:r>
          </w:p>
        </w:tc>
        <w:tc>
          <w:tcPr>
            <w:tcW w:w="23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560"/>
              <w:spacing w:after="0"/>
              <w:rPr>
                <w:sz w:val="20"/>
                <w:szCs w:val="20"/>
                <w:color w:val="auto"/>
              </w:rPr>
            </w:pPr>
            <w:r>
              <w:rPr>
                <w:rFonts w:ascii="Wingdings" w:cs="Wingdings" w:eastAsia="Wingdings" w:hAnsi="Wingdings"/>
                <w:sz w:val="18"/>
                <w:szCs w:val="18"/>
                <w:b w:val="1"/>
                <w:bCs w:val="1"/>
                <w:color w:val="auto"/>
              </w:rPr>
              <w:t>x</w:t>
            </w:r>
          </w:p>
        </w:tc>
        <w:tc>
          <w:tcPr>
            <w:tcW w:w="53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spacing w:after="0"/>
              <w:rPr>
                <w:sz w:val="19"/>
                <w:szCs w:val="19"/>
                <w:color w:val="auto"/>
              </w:rPr>
            </w:pPr>
          </w:p>
        </w:tc>
        <w:tc>
          <w:tcPr>
            <w:tcW w:w="24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0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3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0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4"/>
        </w:trPr>
        <w:tc>
          <w:tcPr>
            <w:tcW w:w="10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SL Green Operating Partnership, L.P.</w:t>
            </w:r>
          </w:p>
        </w:tc>
        <w:tc>
          <w:tcPr>
            <w:tcW w:w="23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9"/>
        </w:trPr>
        <w:tc>
          <w:tcPr>
            <w:tcW w:w="32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540"/>
              <w:spacing w:after="0" w:line="189" w:lineRule="exact"/>
              <w:rPr>
                <w:sz w:val="20"/>
                <w:szCs w:val="20"/>
                <w:color w:val="auto"/>
              </w:rPr>
            </w:pPr>
            <w:r>
              <w:rPr>
                <w:rFonts w:ascii="Wingdings" w:cs="Wingdings" w:eastAsia="Wingdings" w:hAnsi="Wingdings"/>
                <w:sz w:val="18"/>
                <w:szCs w:val="18"/>
                <w:b w:val="1"/>
                <w:bCs w:val="1"/>
                <w:color w:val="auto"/>
              </w:rPr>
              <w:t>x</w:t>
            </w:r>
          </w:p>
        </w:tc>
        <w:tc>
          <w:tcPr>
            <w:tcW w:w="5300" w:type="dxa"/>
            <w:vAlign w:val="bottom"/>
          </w:tcPr>
          <w:p>
            <w:pPr>
              <w:spacing w:after="0"/>
              <w:rPr>
                <w:sz w:val="16"/>
                <w:szCs w:val="16"/>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3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4"/>
        </w:trPr>
        <w:tc>
          <w:tcPr>
            <w:tcW w:w="10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2"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0"/>
          <w:szCs w:val="20"/>
          <w:color w:val="auto"/>
        </w:rPr>
      </w:pPr>
    </w:p>
    <w:p>
      <w:pPr>
        <w:spacing w:after="0" w:line="207" w:lineRule="exact"/>
        <w:tabs>
          <w:tab w:leader="none" w:pos="1820" w:val="left"/>
          <w:tab w:leader="none" w:pos="2460" w:val="left"/>
          <w:tab w:leader="none" w:pos="3520" w:val="left"/>
          <w:tab w:leader="none" w:pos="6400" w:val="left"/>
          <w:tab w:leader="none" w:pos="7040" w:val="left"/>
        </w:tabs>
        <w:rPr>
          <w:sz w:val="20"/>
          <w:szCs w:val="20"/>
          <w:color w:val="auto"/>
        </w:rPr>
      </w:pPr>
      <w:r>
        <w:rPr>
          <w:rFonts w:ascii="Times New Roman" w:cs="Times New Roman" w:eastAsia="Times New Roman" w:hAnsi="Times New Roman"/>
          <w:sz w:val="18"/>
          <w:szCs w:val="18"/>
          <w:color w:val="auto"/>
        </w:rPr>
        <w:t>SL Green Realty Corp.</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SL Green Operating Partnership, L.P.</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5"/>
        </w:trPr>
        <w:tc>
          <w:tcPr>
            <w:tcW w:w="278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SL Green Realty Corp.</w:t>
            </w:r>
          </w:p>
        </w:tc>
        <w:tc>
          <w:tcPr>
            <w:tcW w:w="12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SLG</w:t>
            </w:r>
          </w:p>
        </w:tc>
        <w:tc>
          <w:tcPr>
            <w:tcW w:w="10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189"/>
        </w:trPr>
        <w:tc>
          <w:tcPr>
            <w:tcW w:w="27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SL Green Realty Corp.</w:t>
            </w:r>
          </w:p>
        </w:tc>
        <w:tc>
          <w:tcPr>
            <w:tcW w:w="1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SLG.PRI</w:t>
            </w:r>
          </w:p>
        </w:tc>
        <w:tc>
          <w:tcPr>
            <w:tcW w:w="402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rPr>
              <w:t>6.500% Series I Cumulative Redeemable Preferred</w:t>
            </w:r>
          </w:p>
        </w:tc>
        <w:tc>
          <w:tcPr>
            <w:tcW w:w="2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Stock, $0.01 par value</w:t>
            </w: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2, 2024, 64,805,769 shares of SL Green Realty Corp.'s common stock, par value $0.01 per share, were outstanding. As of May 2, 2024, 306,110 common units of limited partnership interest of SL Green Operating Partnership, L.P. were held by non-affiliates. There is no established trading market for such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1130935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period ended March 31, 2024 of SL Green Realty Corp. and SL Green Operating Partnership, L.P. Unless stated otherwise or the context otherwise requires, references to "SL Green Realty Corp.," the "Company" or "SL Green" mean SL Green Realty Corp. and its consolidated subsidiaries, including SL Green Operating Partnership, L.P.; and references to "SL Green Operating Partnership, L.P.," the "Operating Partnership" or "SLGOP" mean SL Green Operating Partnership, L.P. and its consolidated subsidiaries. The terms "we," "our" and "us" mean the Company and all the entities owned or controlled by the Company, including the Operating Partnership.</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a Maryland corporation which operates as a self-administered and self-managed real estate investment trust, or REIT, and is the sole managing general partner of the Operating Partnership. As a general partner of the Operating Partnership, the Company has full, exclusive and complete responsibility and discretion in the day-to-day management and control of the Operating Partnership.</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2024, the Company owns 93.62% of the outstanding general and limited partnership interest in the Operating Partnership and owns 9,200,000 Series I Preferred Units of the Operating Partnership. As of March 31, 2024, noncontrolling investors held, in aggregate, a 6.38% limited partnership interest in the Operating Partnership. We refer to these interests as the noncontrolling interests in the Operating Partnership.</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and the Operating Partnership are managed and operated as one entity. The financial results of the Operating Partnership are consolidated into the financial statements of the Company. The Company has no significant assets other than its investment in the Operating Partnership. Substantially all of our assets are held by, and our operations are conducted through, the Operating Partnership. Therefore, the assets and liabilities of the Company and the Operating Partnership are substantially the same.</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Noncontrolling interests in the Operating Partnership, stockholders' equity of the Company and partners' capital of the Operating Partnership are the main areas of difference between the consolidated financial statements of the Company and those of the Operating Partnership. The common limited partnership interests in the Operating Partnership not owned by the Company are accounted as noncontrolling interests, within mezzanine equity, in the Company's and the Operating Partnership's consolidated financial statements.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believe combining the quarterly reports on Form 10-Q of the Company and the Operating Partnership into this single report results in the following benefits:</w:t>
      </w:r>
    </w:p>
    <w:p>
      <w:pPr>
        <w:spacing w:after="0" w:line="54" w:lineRule="exact"/>
        <w:rPr>
          <w:sz w:val="20"/>
          <w:szCs w:val="20"/>
          <w:color w:val="auto"/>
        </w:rPr>
      </w:pPr>
    </w:p>
    <w:p>
      <w:pPr>
        <w:ind w:left="980" w:hanging="324"/>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reports enhance investors' understanding of the Company and the Operating Partnership by enabling investors to view the business as a whole in the same manner as management views and operates the business;</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reports eliminate duplicative disclosure and provides a more streamlined and readable presentation since a substantial portion of the Company's disclosure applies to both the Company and the Operating Partnership; and</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reports create time and cost efficiencies through the preparation of one combined report instead of two separate reports.</w:t>
      </w:r>
    </w:p>
    <w:p>
      <w:pPr>
        <w:spacing w:after="0" w:line="9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To help investors understand the significant differences between the Company and the Operating Partnership, this report presents the following separate sections for each of the Company and the Operating Partnership:</w:t>
      </w:r>
    </w:p>
    <w:p>
      <w:pPr>
        <w:spacing w:after="0" w:line="54"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notes to the consolidated financial statements:</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11, Noncontrolling Interests on the Company’s Consolidated Financial Statements;</w:t>
      </w:r>
    </w:p>
    <w:p>
      <w:pPr>
        <w:spacing w:after="0" w:line="2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Stockholders' Equity of the Company; and</w:t>
      </w:r>
    </w:p>
    <w:p>
      <w:pPr>
        <w:spacing w:after="0" w:line="9"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Partners' Capital of the Operating Partnership.</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This report also includes separate Part I, Item 4. Controls and Procedures sections and separate Exhibit 31 and 32 certifications for each of the Company and the Operating Partnership, respectively, in order to establish that the Chief Executive Officer and the Chief Financial Officer of the Company, in both their capacity as the principal executive officer and principal financial officer of the Company and the principal executive officer and principal financial officer of the general partner of the Operating Partnership, have made the requisite certifications and that the Company and the Operating Partnership are compliant with Rule 13a-15 and Rule 15d-15 of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1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900" w:type="dxa"/>
            <w:vAlign w:val="bottom"/>
          </w:tcPr>
          <w:p>
            <w:pPr>
              <w:spacing w:after="0"/>
              <w:rPr>
                <w:sz w:val="24"/>
                <w:szCs w:val="24"/>
                <w:color w:val="auto"/>
              </w:rPr>
            </w:pPr>
          </w:p>
        </w:tc>
        <w:tc>
          <w:tcPr>
            <w:tcW w:w="1014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9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r>
      <w:tr>
        <w:trPr>
          <w:trHeight w:val="515"/>
        </w:trPr>
        <w:tc>
          <w:tcPr>
            <w:tcW w:w="900" w:type="dxa"/>
            <w:vAlign w:val="bottom"/>
          </w:tcPr>
          <w:p>
            <w:pPr>
              <w:spacing w:after="0"/>
              <w:rPr>
                <w:sz w:val="24"/>
                <w:szCs w:val="24"/>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OF SL GREEN REALTY CORP.</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900" w:type="dxa"/>
            <w:vAlign w:val="bottom"/>
          </w:tcPr>
          <w:p>
            <w:pPr>
              <w:spacing w:after="0"/>
              <w:rPr>
                <w:sz w:val="16"/>
                <w:szCs w:val="16"/>
                <w:color w:val="auto"/>
              </w:rPr>
            </w:pPr>
          </w:p>
        </w:tc>
        <w:tc>
          <w:tcPr>
            <w:tcW w:w="101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March 31, 2024 (unaudited) and December 31, 2023</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three months ended March 31,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Equity for the three months ended March 31, 2024 and 2023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2024 and 2023 (unaudited)</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8"/>
                <w:szCs w:val="18"/>
                <w:color w:val="auto"/>
              </w:rPr>
            </w:pPr>
          </w:p>
        </w:tc>
      </w:tr>
      <w:tr>
        <w:trPr>
          <w:trHeight w:val="515"/>
        </w:trPr>
        <w:tc>
          <w:tcPr>
            <w:tcW w:w="900" w:type="dxa"/>
            <w:vAlign w:val="bottom"/>
          </w:tcPr>
          <w:p>
            <w:pPr>
              <w:spacing w:after="0"/>
              <w:rPr>
                <w:sz w:val="24"/>
                <w:szCs w:val="24"/>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OF SL GREEN OPERATING PARTNERSHIP,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900" w:type="dxa"/>
            <w:vAlign w:val="bottom"/>
          </w:tcPr>
          <w:p>
            <w:pPr>
              <w:spacing w:after="0"/>
              <w:rPr>
                <w:sz w:val="16"/>
                <w:szCs w:val="16"/>
                <w:color w:val="auto"/>
              </w:rPr>
            </w:pPr>
          </w:p>
        </w:tc>
        <w:tc>
          <w:tcPr>
            <w:tcW w:w="101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March 31, 2024 (unaudited) and December 31, 2023</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6"/>
                <w:szCs w:val="16"/>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2024 and 2023 (unaudited)</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three months ended March 31, 2024 and 2023 (unaudited)</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Capital for the three months ended March 31, 2024 and 2023 (unaudited)</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2024 and 2023 (unaudited)</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18"/>
                <w:szCs w:val="18"/>
                <w:color w:val="auto"/>
              </w:rPr>
            </w:pP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 (SL Green Realty Corp. and SL Green Operating Partnership, L.P.)</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8"/>
                <w:szCs w:val="18"/>
                <w:color w:val="auto"/>
              </w:rPr>
            </w:pPr>
          </w:p>
        </w:tc>
      </w:tr>
      <w:tr>
        <w:trPr>
          <w:trHeight w:val="24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9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6"/>
                <w:szCs w:val="16"/>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8"/>
                <w:szCs w:val="18"/>
                <w:color w:val="auto"/>
              </w:rPr>
            </w:pP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8"/>
                <w:szCs w:val="18"/>
                <w:color w:val="auto"/>
              </w:rPr>
            </w:pPr>
          </w:p>
        </w:tc>
      </w:tr>
      <w:tr>
        <w:trPr>
          <w:trHeight w:val="1040"/>
        </w:trPr>
        <w:tc>
          <w:tcPr>
            <w:tcW w:w="900" w:type="dxa"/>
            <w:vAlign w:val="bottom"/>
            <w:tcBorders>
              <w:bottom w:val="single" w:sz="8" w:color="9A9A9A"/>
            </w:tcBorders>
          </w:tcPr>
          <w:p>
            <w:pPr>
              <w:spacing w:after="0"/>
              <w:rPr>
                <w:sz w:val="24"/>
                <w:szCs w:val="24"/>
                <w:color w:val="auto"/>
              </w:rPr>
            </w:pPr>
          </w:p>
        </w:tc>
        <w:tc>
          <w:tcPr>
            <w:tcW w:w="10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698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Commercial real estate properties, at cost:</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and land interests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1,150,681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1,092,671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Building and improvements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3,729,884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3,655,624</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 leasehold and improvements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1,358,851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1,354,569</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953,236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953,236</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7,192,652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7,056,100</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(2,078,203)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(2,035,311)</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5,114,449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5,020,789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196,035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122,461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38,659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33,270</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rents receivable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267,969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264,653</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420" w:type="dxa"/>
            <w:vAlign w:val="bottom"/>
            <w:gridSpan w:val="3"/>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Debt and preferred equity investments, net of discounts and deferred origination fees of $1,623 and $1,630 and</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352,347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allowances of $13,520 and $13,520 in 2024 and 2023,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2,984,786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2,983,313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costs,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109,296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111,463</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533,802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413,670</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3"/>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9,764,292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74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1,695,163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1,491,319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645,138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554,752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Unsecured term loans,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1,245,382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Unsecured notes,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99,795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437,302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471,401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101,495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157,756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134,053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 financing leases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823,594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827,692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and distributions payable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56,398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related to assets held for sale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Junior subordinated deferrable interest debentures held by trusts that issued trust preferred securities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5,521,908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5,270,704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272,235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238,051</w:t>
            </w: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units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166,501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166,501</w:t>
            </w:r>
          </w:p>
        </w:tc>
        <w:tc>
          <w:tcPr>
            <w:tcW w:w="0" w:type="dxa"/>
            <w:vAlign w:val="bottom"/>
          </w:tcPr>
          <w:p>
            <w:pPr>
              <w:spacing w:after="0"/>
              <w:rPr>
                <w:sz w:val="1"/>
                <w:szCs w:val="1"/>
                <w:color w:val="auto"/>
              </w:rPr>
            </w:pPr>
          </w:p>
        </w:tc>
      </w:tr>
      <w:tr>
        <w:trPr>
          <w:trHeight w:val="258"/>
        </w:trPr>
        <w:tc>
          <w:tcPr>
            <w:tcW w:w="7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SL Green 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I Preferred Stock, $0.01 par value, $25.00 liquidation preference, 9,200 issued and outstanding at both</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221,932</w:t>
            </w:r>
          </w:p>
        </w:tc>
        <w:tc>
          <w:tcPr>
            <w:tcW w:w="0" w:type="dxa"/>
            <w:vAlign w:val="bottom"/>
          </w:tcPr>
          <w:p>
            <w:pPr>
              <w:spacing w:after="0"/>
              <w:rPr>
                <w:sz w:val="1"/>
                <w:szCs w:val="1"/>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2024 and December 31, 2023</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4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160,000 shares authorized and 65,866 and 65,786 issued and outstanding at</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March 31, 2024 and December 31, 2023, respectively (including 1,060 and 1,060 shares held in treasury at March</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2024 and December 31, 2023,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3,831,130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3,826,452</w:t>
            </w: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(128,655)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(128,655)</w:t>
            </w:r>
          </w:p>
        </w:tc>
        <w:tc>
          <w:tcPr>
            <w:tcW w:w="0" w:type="dxa"/>
            <w:vAlign w:val="bottom"/>
          </w:tcPr>
          <w:p>
            <w:pPr>
              <w:spacing w:after="0"/>
              <w:rPr>
                <w:sz w:val="1"/>
                <w:szCs w:val="1"/>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40,151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deficit</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(229,607)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(151,551)</w:t>
            </w:r>
          </w:p>
        </w:tc>
        <w:tc>
          <w:tcPr>
            <w:tcW w:w="0" w:type="dxa"/>
            <w:vAlign w:val="bottom"/>
          </w:tcPr>
          <w:p>
            <w:pPr>
              <w:spacing w:after="0"/>
              <w:rPr>
                <w:sz w:val="1"/>
                <w:szCs w:val="1"/>
                <w:color w:val="auto"/>
              </w:rPr>
            </w:pPr>
          </w:p>
        </w:tc>
      </w:tr>
      <w:tr>
        <w:trPr>
          <w:trHeight w:val="208"/>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SL Green stockholders' equity</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3,735,611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3,786,315</w:t>
            </w: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68,037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69,610</w:t>
            </w:r>
          </w:p>
        </w:tc>
        <w:tc>
          <w:tcPr>
            <w:tcW w:w="0" w:type="dxa"/>
            <w:vAlign w:val="bottom"/>
          </w:tcPr>
          <w:p>
            <w:pPr>
              <w:spacing w:after="0"/>
              <w:rPr>
                <w:sz w:val="1"/>
                <w:szCs w:val="1"/>
                <w:color w:val="auto"/>
              </w:rPr>
            </w:pPr>
          </w:p>
        </w:tc>
      </w:tr>
      <w:tr>
        <w:trPr>
          <w:trHeight w:val="208"/>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3,803,648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3,855,925</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9,764,292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20" w:right="20" w:firstLine="6"/>
        <w:spacing w:after="0" w:line="213" w:lineRule="auto"/>
        <w:tabs>
          <w:tab w:leader="none" w:pos="169"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consolidated balance sheets include assets and liabilities of consolidated variable interest entities ("VIEs"). See Note 2. The consolidated balance sheets include the following amounts related to our consolidated VIEs, excluding the Operating Partnership: $120.4 million and $41.2 million of land, $81.3 million and $40.5 million of building and improvements, $— million and $— million of building and leasehold improvements, $— million and $— million of right of use assets, $5.7 million and $5.4 million of accumulated depreciation, $785.1 million and $676.9 million of other assets included in other line items, $254.3 million and $50.0 million of real estate debt, net, $2.7 million and $0.9 million of accrued interest payable, $— million and $— million of lease liabilities, and $332.5 million and $306.5 million of other liabilities included in other line items as of March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revenue,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141,504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195,042</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revenue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19,771</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9,057</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13,371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21,894</w:t>
            </w:r>
          </w:p>
        </w:tc>
      </w:tr>
      <w:tr>
        <w:trPr>
          <w:trHeight w:val="208"/>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187,882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245,764</w:t>
            </w:r>
          </w:p>
        </w:tc>
      </w:tr>
      <w:tr>
        <w:trPr>
          <w:trHeight w:val="19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 including related party expenses of $0 in 2024, and $1 in 2023</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52,064</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41,383</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6,301</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20,688</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41,653</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SUMMIT Operator tax (benefit) expense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78,782</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23,285</w:t>
            </w:r>
          </w:p>
        </w:tc>
      </w:tr>
      <w:tr>
        <w:trPr>
          <w:trHeight w:val="21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204,807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275,218</w:t>
            </w:r>
          </w:p>
        </w:tc>
      </w:tr>
      <w:tr>
        <w:trPr>
          <w:trHeight w:val="252"/>
        </w:trPr>
        <w:tc>
          <w:tcPr>
            <w:tcW w:w="8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income (loss) from unconsolidated joint ventures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111,160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(7,412)</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(52,118)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18,389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(38,357)</w:t>
            </w: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(38,357)</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units distributions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r>
      <w:tr>
        <w:trPr>
          <w:trHeight w:val="208"/>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 Green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(35,993)</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Perpetual preferred stock dividends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r>
      <w:tr>
        <w:trPr>
          <w:trHeight w:val="211"/>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 Green common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13,141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(39,731)</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r>
      <w:tr>
        <w:trPr>
          <w:trHeight w:val="257"/>
        </w:trPr>
        <w:tc>
          <w:tcPr>
            <w:tcW w:w="8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64,328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64,079</w:t>
            </w:r>
          </w:p>
        </w:tc>
      </w:tr>
      <w:tr>
        <w:trPr>
          <w:trHeight w:val="212"/>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and common share equivalents outstanding</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70,095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68,182</w:t>
            </w:r>
          </w:p>
        </w:tc>
      </w:tr>
    </w:tbl>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8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(38,357)</w:t>
            </w:r>
          </w:p>
        </w:tc>
        <w:tc>
          <w:tcPr>
            <w:tcW w:w="0" w:type="dxa"/>
            <w:vAlign w:val="bottom"/>
          </w:tcPr>
          <w:p>
            <w:pPr>
              <w:spacing w:after="0"/>
              <w:rPr>
                <w:sz w:val="1"/>
                <w:szCs w:val="1"/>
                <w:color w:val="auto"/>
              </w:rPr>
            </w:pP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5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Increase (decrease) in unrealized value of derivative instruments, including SL Green's share of joint venture derivative</w:t>
            </w: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(31,059)</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 (decrease) in unrealized value of marketable securities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0" w:type="dxa"/>
            <w:vAlign w:val="bottom"/>
          </w:tcPr>
          <w:p>
            <w:pPr>
              <w:spacing w:after="0"/>
              <w:rPr>
                <w:sz w:val="1"/>
                <w:szCs w:val="1"/>
                <w:color w:val="auto"/>
              </w:rPr>
            </w:pPr>
          </w:p>
        </w:tc>
      </w:tr>
      <w:tr>
        <w:trPr>
          <w:trHeight w:val="211"/>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24,296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(32,027)</w:t>
            </w:r>
          </w:p>
        </w:tc>
        <w:tc>
          <w:tcPr>
            <w:tcW w:w="0" w:type="dxa"/>
            <w:vAlign w:val="bottom"/>
          </w:tcPr>
          <w:p>
            <w:pPr>
              <w:spacing w:after="0"/>
              <w:rPr>
                <w:sz w:val="1"/>
                <w:szCs w:val="1"/>
                <w:color w:val="auto"/>
              </w:rPr>
            </w:pPr>
          </w:p>
        </w:tc>
      </w:tr>
      <w:tr>
        <w:trPr>
          <w:trHeight w:val="208"/>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42,685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(70,384)</w:t>
            </w:r>
          </w:p>
        </w:tc>
        <w:tc>
          <w:tcPr>
            <w:tcW w:w="0" w:type="dxa"/>
            <w:vAlign w:val="bottom"/>
          </w:tcPr>
          <w:p>
            <w:pPr>
              <w:spacing w:after="0"/>
              <w:rPr>
                <w:sz w:val="1"/>
                <w:szCs w:val="1"/>
                <w:color w:val="auto"/>
              </w:rPr>
            </w:pPr>
          </w:p>
        </w:tc>
      </w:tr>
      <w:tr>
        <w:trPr>
          <w:trHeight w:val="21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and preferred units distributions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0" w:type="dxa"/>
            <w:vAlign w:val="bottom"/>
          </w:tcPr>
          <w:p>
            <w:pPr>
              <w:spacing w:after="0"/>
              <w:rPr>
                <w:sz w:val="1"/>
                <w:szCs w:val="1"/>
                <w:color w:val="auto"/>
              </w:rPr>
            </w:pPr>
          </w:p>
        </w:tc>
      </w:tr>
      <w:tr>
        <w:trPr>
          <w:trHeight w:val="21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0" w:type="dxa"/>
            <w:vAlign w:val="bottom"/>
          </w:tcPr>
          <w:p>
            <w:pPr>
              <w:spacing w:after="0"/>
              <w:rPr>
                <w:sz w:val="1"/>
                <w:szCs w:val="1"/>
                <w:color w:val="auto"/>
              </w:rPr>
            </w:pPr>
          </w:p>
        </w:tc>
      </w:tr>
      <w:tr>
        <w:trPr>
          <w:trHeight w:val="236"/>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SL Green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(66,169)</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Acquisition of subsidiary interest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Perpetual preferred stock dividends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DRSPP proceeds</w:t>
      </w:r>
    </w:p>
    <w:p>
      <w:pPr>
        <w:spacing w:after="0" w:line="26" w:lineRule="exact"/>
        <w:rPr>
          <w:sz w:val="20"/>
          <w:szCs w:val="20"/>
          <w:color w:val="auto"/>
        </w:rPr>
      </w:pPr>
    </w:p>
    <w:p>
      <w:pPr>
        <w:ind w:left="20" w:right="20"/>
        <w:spacing w:after="0" w:line="229" w:lineRule="auto"/>
        <w:rPr>
          <w:sz w:val="20"/>
          <w:szCs w:val="20"/>
          <w:color w:val="auto"/>
        </w:rPr>
      </w:pPr>
      <w:r>
        <w:rPr>
          <w:rFonts w:ascii="Times New Roman" w:cs="Times New Roman" w:eastAsia="Times New Roman" w:hAnsi="Times New Roman"/>
          <w:sz w:val="13"/>
          <w:szCs w:val="13"/>
          <w:color w:val="auto"/>
        </w:rPr>
        <w:t>Reallocation of noncontrolling interest in the Operating Partnership</w:t>
      </w:r>
    </w:p>
    <w:p>
      <w:pPr>
        <w:spacing w:after="0" w:line="25" w:lineRule="exact"/>
        <w:rPr>
          <w:sz w:val="20"/>
          <w:szCs w:val="20"/>
          <w:color w:val="auto"/>
        </w:rPr>
      </w:pPr>
    </w:p>
    <w:p>
      <w:pPr>
        <w:ind w:left="20" w:right="140"/>
        <w:spacing w:after="0" w:line="229" w:lineRule="auto"/>
        <w:rPr>
          <w:sz w:val="20"/>
          <w:szCs w:val="20"/>
          <w:color w:val="auto"/>
        </w:rPr>
      </w:pPr>
      <w:r>
        <w:rPr>
          <w:rFonts w:ascii="Times New Roman" w:cs="Times New Roman" w:eastAsia="Times New Roman" w:hAnsi="Times New Roman"/>
          <w:sz w:val="13"/>
          <w:szCs w:val="13"/>
          <w:color w:val="auto"/>
        </w:rPr>
        <w:t>Deferred compensation plan and stock awards, net of forfeitures and tax withholdings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Consolidation of joint venture interest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Cash distributions to noncontrolling interests</w:t>
      </w:r>
    </w:p>
    <w:p>
      <w:pPr>
        <w:spacing w:after="0" w:line="26" w:lineRule="exact"/>
        <w:rPr>
          <w:sz w:val="20"/>
          <w:szCs w:val="20"/>
          <w:color w:val="auto"/>
        </w:rPr>
      </w:pPr>
    </w:p>
    <w:p>
      <w:pPr>
        <w:ind w:left="20"/>
        <w:spacing w:after="0" w:line="235" w:lineRule="auto"/>
        <w:rPr>
          <w:sz w:val="20"/>
          <w:szCs w:val="20"/>
          <w:color w:val="auto"/>
        </w:rPr>
      </w:pPr>
      <w:r>
        <w:rPr>
          <w:rFonts w:ascii="Times New Roman" w:cs="Times New Roman" w:eastAsia="Times New Roman" w:hAnsi="Times New Roman"/>
          <w:sz w:val="12"/>
          <w:szCs w:val="12"/>
          <w:color w:val="auto"/>
        </w:rPr>
        <w:t>Cash distributions declared ($0.750 per common share, none of which represented a return of capital for federal</w:t>
      </w:r>
    </w:p>
    <w:p>
      <w:pPr>
        <w:ind w:left="20"/>
        <w:spacing w:after="0"/>
        <w:rPr>
          <w:sz w:val="20"/>
          <w:szCs w:val="20"/>
          <w:color w:val="auto"/>
        </w:rPr>
      </w:pPr>
      <w:r>
        <w:rPr>
          <w:rFonts w:ascii="Times New Roman" w:cs="Times New Roman" w:eastAsia="Times New Roman" w:hAnsi="Times New Roman"/>
          <w:sz w:val="13"/>
          <w:szCs w:val="13"/>
          <w:color w:val="auto"/>
        </w:rPr>
        <w:t>income tax purposes)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loss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comprehensive loss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Perpetual preferred stock dividends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DRSPP proceeds</w:t>
      </w:r>
    </w:p>
    <w:p>
      <w:pPr>
        <w:spacing w:after="0" w:line="26" w:lineRule="exact"/>
        <w:rPr>
          <w:sz w:val="20"/>
          <w:szCs w:val="20"/>
          <w:color w:val="auto"/>
        </w:rPr>
      </w:pPr>
    </w:p>
    <w:p>
      <w:pPr>
        <w:ind w:left="20" w:right="20"/>
        <w:spacing w:after="0" w:line="229" w:lineRule="auto"/>
        <w:rPr>
          <w:sz w:val="20"/>
          <w:szCs w:val="20"/>
          <w:color w:val="auto"/>
        </w:rPr>
      </w:pPr>
      <w:r>
        <w:rPr>
          <w:rFonts w:ascii="Times New Roman" w:cs="Times New Roman" w:eastAsia="Times New Roman" w:hAnsi="Times New Roman"/>
          <w:sz w:val="13"/>
          <w:szCs w:val="13"/>
          <w:color w:val="auto"/>
        </w:rPr>
        <w:t>Reallocation of noncontrolling interest in the Operating Partnership</w:t>
      </w:r>
    </w:p>
    <w:p>
      <w:pPr>
        <w:spacing w:after="0" w:line="25" w:lineRule="exact"/>
        <w:rPr>
          <w:sz w:val="20"/>
          <w:szCs w:val="20"/>
          <w:color w:val="auto"/>
        </w:rPr>
      </w:pPr>
    </w:p>
    <w:p>
      <w:pPr>
        <w:ind w:left="20" w:right="140"/>
        <w:spacing w:after="0" w:line="229" w:lineRule="auto"/>
        <w:rPr>
          <w:sz w:val="20"/>
          <w:szCs w:val="20"/>
          <w:color w:val="auto"/>
        </w:rPr>
      </w:pPr>
      <w:r>
        <w:rPr>
          <w:rFonts w:ascii="Times New Roman" w:cs="Times New Roman" w:eastAsia="Times New Roman" w:hAnsi="Times New Roman"/>
          <w:sz w:val="13"/>
          <w:szCs w:val="13"/>
          <w:color w:val="auto"/>
        </w:rPr>
        <w:t>Deferred compensation plan and stock awards, net of forfeitures and tax withholdings</w:t>
      </w:r>
    </w:p>
    <w:p>
      <w:pPr>
        <w:spacing w:after="0" w:line="25" w:lineRule="exact"/>
        <w:rPr>
          <w:sz w:val="20"/>
          <w:szCs w:val="20"/>
          <w:color w:val="auto"/>
        </w:rPr>
      </w:pPr>
    </w:p>
    <w:p>
      <w:pPr>
        <w:ind w:left="20" w:right="200"/>
        <w:spacing w:after="0" w:line="305" w:lineRule="auto"/>
        <w:rPr>
          <w:sz w:val="20"/>
          <w:szCs w:val="20"/>
          <w:color w:val="auto"/>
        </w:rPr>
      </w:pPr>
      <w:r>
        <w:rPr>
          <w:rFonts w:ascii="Times New Roman" w:cs="Times New Roman" w:eastAsia="Times New Roman" w:hAnsi="Times New Roman"/>
          <w:sz w:val="12"/>
          <w:szCs w:val="12"/>
          <w:color w:val="auto"/>
        </w:rPr>
        <w:t>Contributions to consolidated joint venture interests Cash distributions to noncontrolling interests</w:t>
      </w:r>
    </w:p>
    <w:p>
      <w:pPr>
        <w:ind w:left="20"/>
        <w:spacing w:after="0" w:line="235" w:lineRule="auto"/>
        <w:rPr>
          <w:sz w:val="20"/>
          <w:szCs w:val="20"/>
          <w:color w:val="auto"/>
        </w:rPr>
      </w:pPr>
      <w:r>
        <w:rPr>
          <w:rFonts w:ascii="Times New Roman" w:cs="Times New Roman" w:eastAsia="Times New Roman" w:hAnsi="Times New Roman"/>
          <w:sz w:val="12"/>
          <w:szCs w:val="12"/>
          <w:color w:val="auto"/>
        </w:rPr>
        <w:t>Cash distributions declared ($0.812 per common share, none of which represented a return of capital for federal</w:t>
      </w:r>
    </w:p>
    <w:p>
      <w:pPr>
        <w:ind w:left="20"/>
        <w:spacing w:after="0"/>
        <w:rPr>
          <w:sz w:val="20"/>
          <w:szCs w:val="20"/>
          <w:color w:val="auto"/>
        </w:rPr>
      </w:pPr>
      <w:r>
        <w:rPr>
          <w:rFonts w:ascii="Times New Roman" w:cs="Times New Roman" w:eastAsia="Times New Roman" w:hAnsi="Times New Roman"/>
          <w:sz w:val="13"/>
          <w:szCs w:val="13"/>
          <w:color w:val="auto"/>
        </w:rPr>
        <w:t>income tax purposes)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00" w:lineRule="exact"/>
        <w:rPr>
          <w:sz w:val="20"/>
          <w:szCs w:val="20"/>
          <w:color w:val="auto"/>
        </w:rPr>
      </w:pPr>
    </w:p>
    <w:p>
      <w:pPr>
        <w:spacing w:after="0" w:line="20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SL Green Realty Corp. Stockholders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Series I</w:t>
            </w: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Par</w:t>
            </w: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40" w:type="dxa"/>
            <w:vAlign w:val="bottom"/>
          </w:tcPr>
          <w:p>
            <w:pPr>
              <w:spacing w:after="0"/>
              <w:rPr>
                <w:sz w:val="9"/>
                <w:szCs w:val="9"/>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9"/>
                <w:szCs w:val="9"/>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80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Paid-</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In-Capital</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2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64,726</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3,826,452</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(128,655)</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center"/>
              <w:ind w:left="383"/>
              <w:spacing w:after="0"/>
              <w:rPr>
                <w:sz w:val="20"/>
                <w:szCs w:val="20"/>
                <w:color w:val="auto"/>
              </w:rPr>
            </w:pPr>
            <w:r>
              <w:rPr>
                <w:rFonts w:ascii="Times New Roman" w:cs="Times New Roman" w:eastAsia="Times New Roman" w:hAnsi="Times New Roman"/>
                <w:sz w:val="13"/>
                <w:szCs w:val="13"/>
                <w:color w:val="auto"/>
              </w:rPr>
              <w:t>17,477</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(151,551)</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69,610</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3,855,925</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15,585</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(5,674)</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left="383"/>
              <w:spacing w:after="0"/>
              <w:rPr>
                <w:sz w:val="20"/>
                <w:szCs w:val="20"/>
                <w:color w:val="auto"/>
              </w:rPr>
            </w:pPr>
            <w:r>
              <w:rPr>
                <w:rFonts w:ascii="Times New Roman" w:cs="Times New Roman" w:eastAsia="Times New Roman" w:hAnsi="Times New Roman"/>
                <w:sz w:val="13"/>
                <w:szCs w:val="13"/>
                <w:color w:val="auto"/>
              </w:rPr>
              <w:t>22,674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22,674</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(42,841)</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4,601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4,601</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6,678</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0" w:type="dxa"/>
            <w:vAlign w:val="bottom"/>
          </w:tcPr>
          <w:p>
            <w:pPr>
              <w:spacing w:after="0"/>
              <w:rPr>
                <w:sz w:val="1"/>
                <w:szCs w:val="1"/>
                <w:color w:val="auto"/>
              </w:rPr>
            </w:pPr>
          </w:p>
        </w:tc>
      </w:tr>
      <w:tr>
        <w:trPr>
          <w:trHeight w:val="441"/>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(48,356)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(48,356)</w:t>
            </w:r>
          </w:p>
        </w:tc>
        <w:tc>
          <w:tcPr>
            <w:tcW w:w="0" w:type="dxa"/>
            <w:vAlign w:val="bottom"/>
          </w:tcPr>
          <w:p>
            <w:pPr>
              <w:spacing w:after="0"/>
              <w:rPr>
                <w:sz w:val="1"/>
                <w:szCs w:val="1"/>
                <w:color w:val="auto"/>
              </w:rPr>
            </w:pPr>
          </w:p>
        </w:tc>
      </w:tr>
      <w:tr>
        <w:trPr>
          <w:trHeight w:val="170"/>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64,806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3,831,130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(128,655)</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3"/>
                <w:szCs w:val="13"/>
                <w:color w:val="auto"/>
              </w:rPr>
              <w:t>40,151</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(229,607)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68,037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3,803,648</w:t>
            </w:r>
          </w:p>
        </w:tc>
        <w:tc>
          <w:tcPr>
            <w:tcW w:w="0" w:type="dxa"/>
            <w:vAlign w:val="bottom"/>
          </w:tcPr>
          <w:p>
            <w:pPr>
              <w:spacing w:after="0"/>
              <w:rPr>
                <w:sz w:val="1"/>
                <w:szCs w:val="1"/>
                <w:color w:val="auto"/>
              </w:rPr>
            </w:pPr>
          </w:p>
        </w:tc>
      </w:tr>
      <w:tr>
        <w:trPr>
          <w:trHeight w:val="26"/>
        </w:trPr>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SL Green Realty Corp. Stockholders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Series I</w:t>
            </w: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Par</w:t>
            </w: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40" w:type="dxa"/>
            <w:vAlign w:val="bottom"/>
          </w:tcPr>
          <w:p>
            <w:pPr>
              <w:spacing w:after="0"/>
              <w:rPr>
                <w:sz w:val="9"/>
                <w:szCs w:val="9"/>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9"/>
                <w:szCs w:val="9"/>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80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Paid-</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In-Capital</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2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64,380</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3,790,358</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(128,655)</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center"/>
              <w:ind w:left="383"/>
              <w:spacing w:after="0"/>
              <w:rPr>
                <w:sz w:val="20"/>
                <w:szCs w:val="20"/>
                <w:color w:val="auto"/>
              </w:rPr>
            </w:pPr>
            <w:r>
              <w:rPr>
                <w:rFonts w:ascii="Times New Roman" w:cs="Times New Roman" w:eastAsia="Times New Roman" w:hAnsi="Times New Roman"/>
                <w:sz w:val="13"/>
                <w:szCs w:val="13"/>
                <w:color w:val="auto"/>
              </w:rPr>
              <w:t>49,604</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651,138</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61,889</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4,646,922</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(37,618)</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left="363"/>
              <w:spacing w:after="0"/>
              <w:rPr>
                <w:sz w:val="20"/>
                <w:szCs w:val="20"/>
                <w:color w:val="auto"/>
              </w:rPr>
            </w:pPr>
            <w:r>
              <w:rPr>
                <w:rFonts w:ascii="Times New Roman" w:cs="Times New Roman" w:eastAsia="Times New Roman" w:hAnsi="Times New Roman"/>
                <w:sz w:val="13"/>
                <w:szCs w:val="13"/>
                <w:color w:val="auto"/>
                <w:w w:val="94"/>
              </w:rPr>
              <w:t>(30,176)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(30,176)</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310"/>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(10,147)</w:t>
            </w:r>
          </w:p>
        </w:tc>
        <w:tc>
          <w:tcPr>
            <w:tcW w:w="0" w:type="dxa"/>
            <w:vAlign w:val="bottom"/>
          </w:tcPr>
          <w:p>
            <w:pPr>
              <w:spacing w:after="0"/>
              <w:rPr>
                <w:sz w:val="1"/>
                <w:szCs w:val="1"/>
                <w:color w:val="auto"/>
              </w:rPr>
            </w:pPr>
          </w:p>
        </w:tc>
      </w:tr>
      <w:tr>
        <w:trPr>
          <w:trHeight w:val="310"/>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7,559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7,559</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8,560</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442"/>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(52,236)</w:t>
            </w:r>
          </w:p>
        </w:tc>
        <w:tc>
          <w:tcPr>
            <w:tcW w:w="0" w:type="dxa"/>
            <w:vAlign w:val="bottom"/>
          </w:tcPr>
          <w:p>
            <w:pPr>
              <w:spacing w:after="0"/>
              <w:rPr>
                <w:sz w:val="1"/>
                <w:szCs w:val="1"/>
                <w:color w:val="auto"/>
              </w:rPr>
            </w:pPr>
          </w:p>
        </w:tc>
      </w:tr>
      <w:tr>
        <w:trPr>
          <w:trHeight w:val="170"/>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64,373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3,798,101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(128,655)</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3"/>
                <w:szCs w:val="13"/>
                <w:color w:val="auto"/>
              </w:rPr>
              <w:t>19,428</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549,024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68,688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4,529,174</w:t>
            </w:r>
          </w:p>
        </w:tc>
        <w:tc>
          <w:tcPr>
            <w:tcW w:w="0" w:type="dxa"/>
            <w:vAlign w:val="bottom"/>
          </w:tcPr>
          <w:p>
            <w:pPr>
              <w:spacing w:after="0"/>
              <w:rPr>
                <w:sz w:val="1"/>
                <w:szCs w:val="1"/>
                <w:color w:val="auto"/>
              </w:rPr>
            </w:pPr>
          </w:p>
        </w:tc>
      </w:tr>
      <w:tr>
        <w:trPr>
          <w:trHeight w:val="26"/>
        </w:trPr>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-4002405</wp:posOffset>
            </wp:positionV>
            <wp:extent cx="713232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-3771265</wp:posOffset>
            </wp:positionV>
            <wp:extent cx="7132320"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-3548380</wp:posOffset>
            </wp:positionV>
            <wp:extent cx="7132320"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-3325495</wp:posOffset>
            </wp:positionV>
            <wp:extent cx="713232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-2931160</wp:posOffset>
            </wp:positionV>
            <wp:extent cx="713232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-2708275</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-2296795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-1610995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-1379220</wp:posOffset>
            </wp:positionV>
            <wp:extent cx="713232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-1156970</wp:posOffset>
            </wp:positionV>
            <wp:extent cx="7132320" cy="111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-848360</wp:posOffset>
            </wp:positionV>
            <wp:extent cx="71323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-539115</wp:posOffset>
            </wp:positionV>
            <wp:extent cx="7132320"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-153670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280"/>
            <w:col w:w="8120"/>
          </w:cols>
          <w:pgMar w:left="320" w:top="121"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09"/>
        </w:trPr>
        <w:tc>
          <w:tcPr>
            <w:tcW w:w="7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197"/>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(38,357)</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80,803</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(income) loss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(111,160)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7,412</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of cumulative earnings from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 interest/real estate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(26,764)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50,492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52,118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 loss reserves and other investment reserves, net of recoveries</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5,261</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11,166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lease costs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(12,644)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(11,394)</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other liabilities and security deposits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(4,097)</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r>
      <w:tr>
        <w:trPr>
          <w:trHeight w:val="20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(24,677)</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42,349</w:t>
            </w:r>
          </w:p>
        </w:tc>
      </w:tr>
      <w:tr>
        <w:trPr>
          <w:trHeight w:val="19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land, buildings and improvements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(55,316)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(61,918)</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(12,817)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(23,830)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(22,985)</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in excess of cumulative earnings from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71,545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41,812</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disposition of real estate/joint venture interest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26,420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(17,700)</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Origination of debt and preferred equity investments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(5,578)</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(66,369)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09"/>
        </w:trPr>
        <w:tc>
          <w:tcPr>
            <w:tcW w:w="7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197"/>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mortgages and other loans payable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mortgages and other loans payable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term loans and unsecured notes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130,000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143,000</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term loans and unsecured notes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(40,000)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(18,608)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other partnerships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in other partnerships</w:t>
            </w: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the Operating Partnership</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common and preferred stock</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(54,142)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(57,373)</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loan costs</w:t>
            </w: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11,367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(17,023)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(26,792)</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335,519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384,054</w:t>
            </w:r>
          </w:p>
        </w:tc>
      </w:tr>
      <w:tr>
        <w:trPr>
          <w:trHeight w:val="236"/>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318,496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357,262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to noncontrolling interest in the Operating Partnership</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42,841</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10,147</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a subsidiary</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6,678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mortgage loan payable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205,000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 to consolidated joint venture interest</w:t>
            </w: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8,134</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Removal of fully depreciated commercial real estate properties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w:t>
            </w:r>
          </w:p>
        </w:tc>
      </w:tr>
      <w:tr>
        <w:trPr>
          <w:trHeight w:val="21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repurchase or redemption payable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93" w:lineRule="exact"/>
        <w:rPr>
          <w:sz w:val="20"/>
          <w:szCs w:val="20"/>
          <w:color w:val="auto"/>
        </w:rPr>
      </w:pPr>
    </w:p>
    <w:p>
      <w:pPr>
        <w:jc w:val="both"/>
        <w:ind w:firstLine="21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11"/>
        </w:trPr>
        <w:tc>
          <w:tcPr>
            <w:tcW w:w="77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196,035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158,937</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122,461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198,325</w:t>
            </w:r>
          </w:p>
        </w:tc>
      </w:tr>
      <w:tr>
        <w:trPr>
          <w:trHeight w:val="211"/>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318,496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357,262</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698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Commercial real estate properties, at cost:</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and land interests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1,150,681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1,092,671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Building and improvements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3,729,884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3,655,624</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 leasehold and improvements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1,358,851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1,354,569</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953,236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953,236</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7,192,652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7,056,100</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(2,078,203)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(2,035,311)</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5,114,449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5,020,789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196,035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122,461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38,659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33,270</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rents receivable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267,969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264,653</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420" w:type="dxa"/>
            <w:vAlign w:val="bottom"/>
            <w:gridSpan w:val="3"/>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Debt and preferred equity investments, net of discounts and deferred origination fees of $1,623 and $1,630 and</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352,347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allowances of $13,520 and $13,520 in 2024 and 2023,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2,984,786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2,983,313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costs,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109,296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111,463</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533,802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413,670</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3"/>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9,764,292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4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1,695,163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1,491,319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645,138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554,752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Unsecured term loans, net</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1,245,382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Unsecured notes,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99,795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437,302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471,401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101,495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157,756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134,053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 financing leases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823,594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827,692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and distributions payable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56,398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related to assets held for sale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Junior subordinated deferrable interest debentures held by trusts that issued trust preferred securities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5,521,908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5,270,704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420" w:type="dxa"/>
            <w:vAlign w:val="bottom"/>
            <w:gridSpan w:val="3"/>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Limited partner interests in SLGOP (4,417 and 3,949 limited partner common units outstanding at March 31,</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272,235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and December 31, 2023, respectively)</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Preferred units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166,501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6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SLGOP partners' capital:</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4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Series I Preferred Units, $25.00 liquidation preference, 9,200 issued and outstanding at both March 31, 2024 and</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221,932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SL Green partners' capital (692 and 687 general partner common units and 64,114 and 64,039 limited partner</w:t>
            </w:r>
          </w:p>
        </w:tc>
        <w:tc>
          <w:tcPr>
            <w:tcW w:w="2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3,473,528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3,546,906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units outstanding at March 31, 2024 and December 31, 2023, respectively)</w:t>
            </w:r>
          </w:p>
        </w:tc>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SLGOP partners' capital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3,735,611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3,786,315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68,037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capital</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3,803,648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3,855,925</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capital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9,764,292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20" w:right="20" w:firstLine="6"/>
        <w:spacing w:after="0" w:line="281" w:lineRule="auto"/>
        <w:tabs>
          <w:tab w:leader="none" w:pos="165"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Operating Partnership's consolidated balance sheets include assets and liabilities of consolidated variable interest entities ("VIEs"). See Note 2. The consolidated balance sheets include the following amounts related to our consolidated VIEs, excluding the Operating Partnership: $120.4 million and $41.2 million of land, $81.3 million and $40.5 million of building and improvements, $— million and $— million of building and leasehold improvements, $— million and $— million of right of use assets, $5.7 million and $5.4 million of accumulated depreciation, $785.1 million and $676.9 million of other assets included in other line items, $254.3 million and $50.0 million of real estate debt, net, $2.7 million and $0.9 million of accrued interest payable, $— million and $— million of lease liabilities, and $332.5 million and $306.5 million of other liabilities included in other line items as of March 31, 2024 and December 31, 2023,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unit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141,504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195,042</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revenue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19,771</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9,057</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21,894</w:t>
            </w:r>
          </w:p>
        </w:tc>
      </w:tr>
      <w:tr>
        <w:trPr>
          <w:trHeight w:val="208"/>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187,882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245,764</w:t>
            </w:r>
          </w:p>
        </w:tc>
      </w:tr>
      <w:tr>
        <w:trPr>
          <w:trHeight w:val="19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 including related party expenses of $0 in 2024, and $1 in 2023</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52,064</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41,383</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6,301</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20,688</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41,653</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78,782</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4"/>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23,285</w:t>
            </w:r>
          </w:p>
        </w:tc>
      </w:tr>
      <w:tr>
        <w:trPr>
          <w:trHeight w:val="21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204,807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275,218</w:t>
            </w:r>
          </w:p>
        </w:tc>
      </w:tr>
      <w:tr>
        <w:trPr>
          <w:trHeight w:val="238"/>
        </w:trPr>
        <w:tc>
          <w:tcPr>
            <w:tcW w:w="8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income (loss) from unconsolidated joint ventures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(7,412)</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18,389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(38,357)</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units distributions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r>
      <w:tr>
        <w:trPr>
          <w:trHeight w:val="208"/>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SLGOP</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(38,330)</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Perpetual preferred unit dividends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r>
      <w:tr>
        <w:trPr>
          <w:trHeight w:val="21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SLGOP common unitholders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14,042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(42,068)</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8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(loss) per unit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r>
      <w:tr>
        <w:trPr>
          <w:trHeight w:val="203"/>
        </w:trPr>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68,767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68,182</w:t>
            </w:r>
          </w:p>
        </w:tc>
      </w:tr>
      <w:tr>
        <w:trPr>
          <w:trHeight w:val="212"/>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units and common unit equivalents outstanding</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70,095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68,182</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8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(38,357)</w:t>
            </w:r>
          </w:p>
        </w:tc>
        <w:tc>
          <w:tcPr>
            <w:tcW w:w="0" w:type="dxa"/>
            <w:vAlign w:val="bottom"/>
          </w:tcPr>
          <w:p>
            <w:pPr>
              <w:spacing w:after="0"/>
              <w:rPr>
                <w:sz w:val="1"/>
                <w:szCs w:val="1"/>
                <w:color w:val="auto"/>
              </w:rPr>
            </w:pP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5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Increase (decrease) in unrealized value of derivative instruments, including SL Green's share of joint venture derivative</w:t>
            </w: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(31,059)</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 (decrease) in unrealized value of marketable securities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0" w:type="dxa"/>
            <w:vAlign w:val="bottom"/>
          </w:tcPr>
          <w:p>
            <w:pPr>
              <w:spacing w:after="0"/>
              <w:rPr>
                <w:sz w:val="1"/>
                <w:szCs w:val="1"/>
                <w:color w:val="auto"/>
              </w:rPr>
            </w:pPr>
          </w:p>
        </w:tc>
      </w:tr>
      <w:tr>
        <w:trPr>
          <w:trHeight w:val="211"/>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24,296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(32,027)</w:t>
            </w:r>
          </w:p>
        </w:tc>
        <w:tc>
          <w:tcPr>
            <w:tcW w:w="0" w:type="dxa"/>
            <w:vAlign w:val="bottom"/>
          </w:tcPr>
          <w:p>
            <w:pPr>
              <w:spacing w:after="0"/>
              <w:rPr>
                <w:sz w:val="1"/>
                <w:szCs w:val="1"/>
                <w:color w:val="auto"/>
              </w:rPr>
            </w:pPr>
          </w:p>
        </w:tc>
      </w:tr>
      <w:tr>
        <w:trPr>
          <w:trHeight w:val="208"/>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42,685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(70,384)</w:t>
            </w:r>
          </w:p>
        </w:tc>
        <w:tc>
          <w:tcPr>
            <w:tcW w:w="0" w:type="dxa"/>
            <w:vAlign w:val="bottom"/>
          </w:tcPr>
          <w:p>
            <w:pPr>
              <w:spacing w:after="0"/>
              <w:rPr>
                <w:sz w:val="1"/>
                <w:szCs w:val="1"/>
                <w:color w:val="auto"/>
              </w:rPr>
            </w:pPr>
          </w:p>
        </w:tc>
      </w:tr>
      <w:tr>
        <w:trPr>
          <w:trHeight w:val="21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0" w:type="dxa"/>
            <w:vAlign w:val="bottom"/>
          </w:tcPr>
          <w:p>
            <w:pPr>
              <w:spacing w:after="0"/>
              <w:rPr>
                <w:sz w:val="1"/>
                <w:szCs w:val="1"/>
                <w:color w:val="auto"/>
              </w:rPr>
            </w:pPr>
          </w:p>
        </w:tc>
      </w:tr>
      <w:tr>
        <w:trPr>
          <w:trHeight w:val="21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0" w:type="dxa"/>
            <w:vAlign w:val="bottom"/>
          </w:tcPr>
          <w:p>
            <w:pPr>
              <w:spacing w:after="0"/>
              <w:rPr>
                <w:sz w:val="1"/>
                <w:szCs w:val="1"/>
                <w:color w:val="auto"/>
              </w:rPr>
            </w:pPr>
          </w:p>
        </w:tc>
      </w:tr>
      <w:tr>
        <w:trPr>
          <w:trHeight w:val="236"/>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SLGOP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42,357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(66,908)</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unit data)</w:t>
      </w:r>
    </w:p>
    <w:p>
      <w:pPr>
        <w:spacing w:after="0" w:line="37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SL Green Operating Partnership Unitholders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20" w:type="dxa"/>
            <w:vAlign w:val="bottom"/>
            <w:tcBorders>
              <w:top w:val="single" w:sz="8" w:color="auto"/>
              <w:bottom w:val="single" w:sz="8" w:color="auto"/>
            </w:tcBorders>
            <w:gridSpan w:val="4"/>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Partners' Interest</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Series I</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9"/>
                <w:szCs w:val="9"/>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300" w:type="dxa"/>
            <w:vAlign w:val="bottom"/>
            <w:gridSpan w:val="3"/>
          </w:tcPr>
          <w:p>
            <w:pPr>
              <w:jc w:val="right"/>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40" w:type="dxa"/>
            <w:vAlign w:val="bottom"/>
          </w:tcPr>
          <w:p>
            <w:pPr>
              <w:spacing w:after="0"/>
              <w:rPr>
                <w:sz w:val="9"/>
                <w:szCs w:val="9"/>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Unitholders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20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64,726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3,546,906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69,610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3,855,925</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15,585</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of subsidiary interest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(5,674)</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22,674</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Perpetual preferred unit dividends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DRSPP proceeds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Reallocation of noncontrolling interests in the Operating Partnership</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(42,841)</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compensation plan and stock awards, net of forfeitures and tax withholdings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4,601</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Consolidation of joint venture interest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6,678</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distributions to noncontrolling interests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0" w:type="dxa"/>
            <w:vAlign w:val="bottom"/>
          </w:tcPr>
          <w:p>
            <w:pPr>
              <w:spacing w:after="0"/>
              <w:rPr>
                <w:sz w:val="1"/>
                <w:szCs w:val="1"/>
                <w:color w:val="auto"/>
              </w:rPr>
            </w:pPr>
          </w:p>
        </w:tc>
      </w:tr>
      <w:tr>
        <w:trPr>
          <w:trHeight w:val="127"/>
        </w:trPr>
        <w:tc>
          <w:tcPr>
            <w:tcW w:w="47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distributions declared ($0.750 per common unit, none of which represented a return</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capital for federal income tax purposes)</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(48,356)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(48,356)</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64,806</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3,473,528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40,151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68,037</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3,803,648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5420"/>
        <w:spacing w:after="0"/>
        <w:rPr>
          <w:sz w:val="20"/>
          <w:szCs w:val="20"/>
          <w:color w:val="auto"/>
        </w:rPr>
      </w:pPr>
      <w:r>
        <w:rPr>
          <w:rFonts w:ascii="Times New Roman" w:cs="Times New Roman" w:eastAsia="Times New Roman" w:hAnsi="Times New Roman"/>
          <w:sz w:val="14"/>
          <w:szCs w:val="14"/>
          <w:b w:val="1"/>
          <w:bCs w:val="1"/>
          <w:color w:val="auto"/>
        </w:rPr>
        <w:t>SL Green Operating Partnership Unitholders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Partners' Interest</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Series I</w:t>
            </w:r>
          </w:p>
        </w:tc>
        <w:tc>
          <w:tcPr>
            <w:tcW w:w="9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200" w:type="dxa"/>
            <w:vAlign w:val="bottom"/>
          </w:tcPr>
          <w:p>
            <w:pPr>
              <w:spacing w:after="0"/>
              <w:rPr>
                <w:sz w:val="11"/>
                <w:szCs w:val="11"/>
                <w:color w:val="auto"/>
              </w:rPr>
            </w:pPr>
          </w:p>
        </w:tc>
        <w:tc>
          <w:tcPr>
            <w:tcW w:w="70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Unitholders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64,380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4,313,497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center"/>
              <w:ind w:left="518"/>
              <w:spacing w:after="0"/>
              <w:rPr>
                <w:sz w:val="20"/>
                <w:szCs w:val="20"/>
                <w:color w:val="auto"/>
              </w:rPr>
            </w:pPr>
            <w:r>
              <w:rPr>
                <w:rFonts w:ascii="Times New Roman" w:cs="Times New Roman" w:eastAsia="Times New Roman" w:hAnsi="Times New Roman"/>
                <w:sz w:val="13"/>
                <w:szCs w:val="13"/>
                <w:color w:val="auto"/>
              </w:rPr>
              <w:t>49,604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61,889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4,646,922</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(37,618)</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3"/>
                <w:szCs w:val="13"/>
                <w:color w:val="auto"/>
                <w:w w:val="94"/>
              </w:rPr>
              <w:t>(30,176)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(30,176)</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Perpetual preferred unit dividends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DRSPP proceeds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Reallocation of noncontrolling interests in the operating partnership</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(10,147)</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compensation plan and stock awards, net of forfeitures and tax withholdings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7,559</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 to consolidated joint venture interests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8,560</w:t>
            </w: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distributions to noncontrolling interests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21"/>
        </w:trPr>
        <w:tc>
          <w:tcPr>
            <w:tcW w:w="47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distributions declared ($0.812 per common unit, none of which represented a return</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of capital for federal income tax purposes)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(52,236)</w:t>
            </w:r>
          </w:p>
        </w:tc>
        <w:tc>
          <w:tcPr>
            <w:tcW w:w="0" w:type="dxa"/>
            <w:vAlign w:val="bottom"/>
          </w:tcPr>
          <w:p>
            <w:pPr>
              <w:spacing w:after="0"/>
              <w:rPr>
                <w:sz w:val="1"/>
                <w:szCs w:val="1"/>
                <w:color w:val="auto"/>
              </w:rPr>
            </w:pPr>
          </w:p>
        </w:tc>
      </w:tr>
      <w:tr>
        <w:trPr>
          <w:trHeight w:val="20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221,932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64,373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4,219,126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center"/>
              <w:ind w:left="518"/>
              <w:spacing w:after="0"/>
              <w:rPr>
                <w:sz w:val="20"/>
                <w:szCs w:val="20"/>
                <w:color w:val="auto"/>
              </w:rPr>
            </w:pPr>
            <w:r>
              <w:rPr>
                <w:rFonts w:ascii="Times New Roman" w:cs="Times New Roman" w:eastAsia="Times New Roman" w:hAnsi="Times New Roman"/>
                <w:sz w:val="13"/>
                <w:szCs w:val="13"/>
                <w:color w:val="auto"/>
              </w:rPr>
              <w:t>19,428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68,688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4,529,174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09"/>
        </w:trPr>
        <w:tc>
          <w:tcPr>
            <w:tcW w:w="7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18,389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(38,357)</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50,123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80,803</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(income) loss from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(111,160)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7,412</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of cumulative earnings from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 interest/real estate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(26,764)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50,492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52,118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 loss reserves and other investment reserves, net of recoveries</w:t>
            </w: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5,261</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11,166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lease costs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(12,644)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(11,394)</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other liabilities and security deposits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r>
      <w:tr>
        <w:trPr>
          <w:trHeight w:val="21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0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(4,097)</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r>
      <w:tr>
        <w:trPr>
          <w:trHeight w:val="20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(24,677)</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42,349</w:t>
            </w:r>
          </w:p>
        </w:tc>
      </w:tr>
      <w:tr>
        <w:trPr>
          <w:trHeight w:val="198"/>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land, buildings and improvements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(55,316)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(61,918)</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(12,817)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(23,830)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(22,985)</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in excess of cumulative earnings from unconsolidated joint ventures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71,545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41,812</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disposition of real estate/joint venture interest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26,420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(17,700)</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Origination of debt and preferred equity investments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(6,945)</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(5,578)</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(66,369)</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09"/>
        </w:trPr>
        <w:tc>
          <w:tcPr>
            <w:tcW w:w="77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mortgages and other loans payable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mortgages and other loans payable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term loans and unsecured notes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130,000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143,000</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term loans and unsecured notes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(40,000)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(78,000)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(18,608)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other partnerships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in other partnerships</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on common and preferred units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(57,751)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(61,195)</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loan costs</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11,367</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(17,023)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(26,792)</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335,519</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384,054</w:t>
            </w:r>
          </w:p>
        </w:tc>
      </w:tr>
      <w:tr>
        <w:trPr>
          <w:trHeight w:val="183"/>
        </w:trPr>
        <w:tc>
          <w:tcPr>
            <w:tcW w:w="77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40" w:type="dxa"/>
            <w:vAlign w:val="bottom"/>
            <w:tcBorders>
              <w:bottom w:val="single" w:sz="8" w:color="auto"/>
            </w:tcBorders>
          </w:tcPr>
          <w:p>
            <w:pPr>
              <w:jc w:val="right"/>
              <w:ind w:right="85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318,496</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8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6"/>
              </w:rPr>
              <w:t>357,262</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adjustment to noncontrolling interest in the Operating Partnership</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42,841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10,147</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a subsidiary</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6,678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mortgage loan payable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205,000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5,674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 to consolidated joint venture interest</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Removal of fully depreciated commercial real estate properties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4,247</w:t>
            </w: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repurchase or redemption payable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5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11"/>
        </w:trPr>
        <w:tc>
          <w:tcPr>
            <w:tcW w:w="77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196,035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158,937</w:t>
            </w:r>
          </w:p>
        </w:tc>
      </w:tr>
      <w:tr>
        <w:trPr>
          <w:trHeight w:val="21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122,461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198,325</w:t>
            </w:r>
          </w:p>
        </w:tc>
      </w:tr>
      <w:tr>
        <w:trPr>
          <w:trHeight w:val="236"/>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318,496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357,262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SL Green Realty Corp., which is referred to as the Company or SL Green,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which are referred to as S.L. Green Management Corp, or the Service Corporation. All of the management, leasing and construction services that are provided to the properties that are wholly-owned by us and that are provided to certain joint ventures are conducted through SL Green Management LLC and S.L. Green Management Corp., respectively, which are 100% owned by the Operating Partnership.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 Unless the context requires otherwise, all references to "we," "our" and "us" means the Company and all entities owned or controlled by the Company, including the Operating Partnership.</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Substantially all of our assets are held by, and all of our operations are conducted through, the Operating Partnership. The Company is the sole managing general partner of the Operating Partnership. As of March 31, 2024, noncontrolling investors held, in the aggregate, a 6.38% limited partnership interest in the Operating Partnership. We refer to these interests as the noncontrolling interests in the Operating Partnership. The Operating Partnership is considered a variable interest entity, or VIE, in which we are the primary beneficiary. See Note 11, "Noncontrolling Interests on the Company's Consolidated Financial Statements."</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March 31, 2024, we owned the following interests in properties in the New York metropolitan area, primarily in midtown Manhattan. Our investments located outside of Manhattan are referred to as the Suburban properties: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920" w:type="dxa"/>
            <w:vAlign w:val="bottom"/>
          </w:tcPr>
          <w:p>
            <w:pPr>
              <w:spacing w:after="0"/>
              <w:rPr>
                <w:sz w:val="16"/>
                <w:szCs w:val="16"/>
                <w:color w:val="auto"/>
              </w:rPr>
            </w:pPr>
          </w:p>
        </w:tc>
        <w:tc>
          <w:tcPr>
            <w:tcW w:w="1260" w:type="dxa"/>
            <w:vAlign w:val="bottom"/>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1"/>
        </w:trPr>
        <w:tc>
          <w:tcPr>
            <w:tcW w:w="980" w:type="dxa"/>
            <w:vAlign w:val="bottom"/>
          </w:tcPr>
          <w:p>
            <w:pPr>
              <w:spacing w:after="0"/>
              <w:rPr>
                <w:sz w:val="11"/>
                <w:szCs w:val="11"/>
                <w:color w:val="auto"/>
              </w:rPr>
            </w:pPr>
          </w:p>
        </w:tc>
        <w:tc>
          <w:tcPr>
            <w:tcW w:w="1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9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10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20" w:type="dxa"/>
            <w:vAlign w:val="bottom"/>
          </w:tcPr>
          <w:p>
            <w:pPr>
              <w:spacing w:after="0"/>
              <w:rPr>
                <w:sz w:val="11"/>
                <w:szCs w:val="11"/>
                <w:color w:val="auto"/>
              </w:rPr>
            </w:pPr>
          </w:p>
        </w:tc>
        <w:tc>
          <w:tcPr>
            <w:tcW w:w="9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04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0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Leased Occupancy</w:t>
            </w:r>
          </w:p>
        </w:tc>
        <w:tc>
          <w:tcPr>
            <w:tcW w:w="0" w:type="dxa"/>
            <w:vAlign w:val="bottom"/>
          </w:tcPr>
          <w:p>
            <w:pPr>
              <w:spacing w:after="0"/>
              <w:rPr>
                <w:sz w:val="1"/>
                <w:szCs w:val="1"/>
                <w:color w:val="auto"/>
              </w:rPr>
            </w:pPr>
          </w:p>
        </w:tc>
      </w:tr>
      <w:tr>
        <w:trPr>
          <w:trHeight w:val="198"/>
        </w:trPr>
        <w:tc>
          <w:tcPr>
            <w:tcW w:w="980" w:type="dxa"/>
            <w:vAlign w:val="bottom"/>
            <w:vMerge w:val="continue"/>
          </w:tcPr>
          <w:p>
            <w:pPr>
              <w:spacing w:after="0"/>
              <w:rPr>
                <w:sz w:val="17"/>
                <w:szCs w:val="17"/>
                <w:color w:val="auto"/>
              </w:rPr>
            </w:pPr>
          </w:p>
        </w:tc>
        <w:tc>
          <w:tcPr>
            <w:tcW w:w="19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 (unaudited)</w:t>
            </w:r>
          </w:p>
        </w:tc>
        <w:tc>
          <w:tcPr>
            <w:tcW w:w="0" w:type="dxa"/>
            <w:vAlign w:val="bottom"/>
          </w:tcPr>
          <w:p>
            <w:pPr>
              <w:spacing w:after="0"/>
              <w:rPr>
                <w:sz w:val="1"/>
                <w:szCs w:val="1"/>
                <w:color w:val="auto"/>
              </w:rPr>
            </w:pPr>
          </w:p>
        </w:tc>
      </w:tr>
      <w:tr>
        <w:trPr>
          <w:trHeight w:val="201"/>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8,753,441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13,009,149</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21,762,590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88.6 %</w:t>
            </w: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Development/Redevelopment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93"/>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880,771</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1,959,426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2,840,197</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9,656,860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14,981,521</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24,638,381</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88.6 %</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Suburban</w:t>
            </w: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73.8 %</w:t>
            </w: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 properties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10,519,660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14,981,521</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25,501,181</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88.0 %</w:t>
            </w:r>
          </w:p>
        </w:tc>
        <w:tc>
          <w:tcPr>
            <w:tcW w:w="0" w:type="dxa"/>
            <w:vAlign w:val="bottom"/>
          </w:tcPr>
          <w:p>
            <w:pPr>
              <w:spacing w:after="0"/>
              <w:rPr>
                <w:sz w:val="1"/>
                <w:szCs w:val="1"/>
                <w:color w:val="auto"/>
              </w:rPr>
            </w:pPr>
          </w:p>
        </w:tc>
      </w:tr>
      <w:tr>
        <w:trPr>
          <w:trHeight w:val="176"/>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93"/>
              </w:rPr>
              <w:t>(2)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140,382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99.6 %</w:t>
            </w:r>
          </w:p>
        </w:tc>
        <w:tc>
          <w:tcPr>
            <w:tcW w:w="0" w:type="dxa"/>
            <w:vAlign w:val="bottom"/>
          </w:tcPr>
          <w:p>
            <w:pPr>
              <w:spacing w:after="0"/>
              <w:rPr>
                <w:sz w:val="1"/>
                <w:szCs w:val="1"/>
                <w:color w:val="auto"/>
              </w:rPr>
            </w:pPr>
          </w:p>
        </w:tc>
      </w:tr>
      <w:tr>
        <w:trPr>
          <w:trHeight w:val="196"/>
        </w:trPr>
        <w:tc>
          <w:tcPr>
            <w:tcW w:w="29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core portfolio</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10,660,042</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15,203,405</w:t>
            </w: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25,863,447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88.2 %</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Alternative Strategy Portfolio</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17,888</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3,694,956</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3,712,844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66.1 %</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420" w:hanging="412"/>
        <w:spacing w:after="0" w:line="282" w:lineRule="auto"/>
        <w:tabs>
          <w:tab w:leader="none" w:pos="4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leased occupancy for commercial properties represents the total leased square footage divided by the total square footage at acquisition. The weighted average leased for residential properties represents the total leased units divided by the total available units. Properties under construction are not included in the calculation of weighted average leased occupancy.</w:t>
      </w:r>
    </w:p>
    <w:p>
      <w:pPr>
        <w:spacing w:after="0" w:line="147" w:lineRule="exact"/>
        <w:rPr>
          <w:rFonts w:ascii="Times New Roman" w:cs="Times New Roman" w:eastAsia="Times New Roman" w:hAnsi="Times New Roman"/>
          <w:sz w:val="14"/>
          <w:szCs w:val="14"/>
          <w:color w:val="auto"/>
        </w:rPr>
      </w:pPr>
    </w:p>
    <w:p>
      <w:pPr>
        <w:jc w:val="both"/>
        <w:ind w:left="420" w:hanging="412"/>
        <w:spacing w:after="0" w:line="264" w:lineRule="auto"/>
        <w:tabs>
          <w:tab w:leader="none" w:pos="4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we owned a building at 7 Dey Street / 185 Broadway that was comprised of approximately 140,382 square feet (unaudited) of residential space and approximately 50,206 square feet (unaudited) of office and retail space that is under development.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spacing w:after="0" w:line="25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we also managed one office building and one retail building owned by third parties encompassing approximately 0.4 million square feet (unaudited), and held debt and preferred equity investments with a book value of $352.3 million, excluding debt and preferred equity investments and other financing receivables totaling $4.8 million that are included in balance sheet line items other than the Debt and preferred equity investments line item.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Agreement</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accordance with the partnership agreement of the Operating Partnership, or the Operating Partnership Agreement, we allocate all distributions and profits and losses in proportion to the percentage of ownership interests of the respective partners, subject to the priority distributions with respect to preferred units and special provisions that apply to Long Term Incentive Plan ("LTIP") Units. As the managing general partner of the Operating Partnership, we are required to take such reasonable efforts, as determined by us in our sole discretion, to cause the Operating Partnership to distribute sufficient amounts to enable the payment of sufficient dividends by us to minimize any Federal income or excise tax at the Company level. Under the Operating Partnership Agreement, each limited partner has the right to redeem units of limited partnership interests for cash, or if we so elect, shares of SL Green's common stock on a one-for-one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Quarterly Presentation</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the fair presentation of the financial position of the Company and the Operating Partnership at March 31, 2024 and the results of operations for the periods presented have been included. The operating results for the period presented are not necessarily indicative of the results that may be expected for the year ending December 31, 2024. These financial statements should be read in conjunction with the financial statements and accompanying notes included in the Annual Report on Form 10-K for the year ended December 31, 2023 of the Company and the Operating Partnership.</w:t>
      </w:r>
    </w:p>
    <w:p>
      <w:pPr>
        <w:spacing w:after="0" w:line="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2023 has been derived from the audited financial statements as of that date but does not include all the information and footnotes required by accounting principles generally accepted in the United States for complete financial statements.</w:t>
      </w:r>
    </w:p>
    <w:p>
      <w:pPr>
        <w:spacing w:after="0" w:line="50" w:lineRule="exact"/>
        <w:rPr>
          <w:sz w:val="20"/>
          <w:szCs w:val="20"/>
          <w:color w:val="auto"/>
        </w:rPr>
      </w:pPr>
    </w:p>
    <w:p>
      <w:pPr>
        <w:ind w:right="8680" w:firstLine="8"/>
        <w:spacing w:after="0" w:line="400" w:lineRule="auto"/>
        <w:tabs>
          <w:tab w:leader="none" w:pos="1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Principles of Consolidation</w:t>
      </w: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those of our subsidiaries, which are wholly-owned or controlled by us. Entities which we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spacing w:after="0" w:line="72"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We consolidate a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Commercial Real Estate Properties</w:t>
      </w:r>
    </w:p>
    <w:p>
      <w:pPr>
        <w:spacing w:after="0" w:line="12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3 years to 40 years. We amortize the amount allocated to the above- and below-market leases over the remaining term of the associated lease, which generally range from 1 year to 15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1 year to 15 years. If a tenant vacates its space prior to the contractual termination of the lease and no rental payments are being made on the lease, any unamortized balance of the related intangible will be written off. Origination costs are amortized as an expense over the remaining life of the lease and tenant improvements are amortized over the shorter of the remaining life of the lease or useful life of the improvement (or charged against earnings if the lease is terminated prior to its contractual expiration date). When allocating the purchase price of real estate, we assess fair value of the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 classifies those leases under which the Company is the lessee at lease commencement as finance or operating leases. Leases qualify as finance leases if the lease transfers ownership of the asset at the end of the lease term, the lease grants an option to purchase the asset that we are reasonably certain to exercise, the lease term is for a major part of the remaining economic life of the asset, or the present value of the lease payments exceeds substantially all of the fair value of the asset. Leases that do not qualify as finance leases are deemed to be operating leases. At lease commencement the Company records a lease liability which is measured as the present value of the lease payments and a right of use asset which is measured as the amount of the lease liability and any initial direct costs incurred. The Company applies a discount rate to determine the present value of the lease payments. If the rate implicit in the lease is known, the Company uses that rate. If the rate implicit in the lease is not known, the Company uses a discount rate reflective of the Company’s collateralized borrowing rate given the term of the lease. To determine the discount rate, the Company employs a third party specialist to develop an analysis based primarily on the observable borrowing rates of the Company, other REITs, and other corporate borrowers with long-term borrowings. On the consolidated statements of operations, operating leases are expensed through operating lease rent while financing leases are expensed through amortization and interest expense. When applicable, the Company combines the consideration for lease and non-lease components in the calculation of the value of the lease obligation and right-of-use asset.</w:t>
      </w:r>
    </w:p>
    <w:p>
      <w:pPr>
        <w:spacing w:after="0" w:line="8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On a periodic basis, we assess whether there are any indications that the value of our real estate consolidated properties may be impaired or that their carrying value may not be recoverable. A consolidated property's value is considered impaired if management's estimate of the aggregate future cash flows (undiscounted) and terminal value to be generated by the property is less than the carrying value of the property. To the extent impairment has occurred, the loss will be measured as the excess of the carrying amount of the property over the fair value of the property as calculated in accordance with Accounting Standards Codification, or ASC 820. We also evaluate our real estate consolidated properties for impairment when a property has been classified as held for sale. Real estate assets held for sale are valued at the lower of their carrying value or fair value less costs to sell and depreciation expense is no longer recorded.</w:t>
      </w:r>
    </w:p>
    <w:p>
      <w:pPr>
        <w:spacing w:after="0" w:line="8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April 2024, the Company entered into an agreement to sell the property at 719 Seventh Avenue for $30.5 million. The transaction is subject to customary conditions. As a result of the pending sale, the Company recorded a $46.3 million charge to reduce the carrying value of its investment to the contracted purchase price for the three months ended March 31, 2024, which is included in Depreciable real estate reserves and impairments in the consolidated statements of operations.</w:t>
      </w:r>
    </w:p>
    <w:p>
      <w:pPr>
        <w:spacing w:after="0" w:line="7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recognized a reduction of rental revenue of ($0.1 million) for the amortization of aggregate above-market leases in excess of below-market leases resulting from the allocation of the purchase price of the applicable properties. For the three months ended March 31, 2023, we recognized $8.2 million of rental revenue for the amortization of aggregate below-market leases in excess of above-market leases.</w:t>
      </w:r>
    </w:p>
    <w:p>
      <w:pPr>
        <w:spacing w:after="0" w:line="6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summarizes our identified intangible assets (acquired above-market leases and in-place leases) and intangible liabilities (acquired below-market leases) as of March 31, 2024 and December 31, 2023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Identified intangible assets (included in other assets):</w:t>
            </w:r>
          </w:p>
        </w:tc>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amount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273,010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189,680</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(185,470)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(184,902)</w:t>
            </w:r>
          </w:p>
        </w:tc>
      </w:tr>
      <w:tr>
        <w:trPr>
          <w:trHeight w:val="21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87,540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Identified intangible liabilities (included in deferred revenue):</w:t>
            </w: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1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amount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226,034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205,394</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(202,089)</w:t>
            </w:r>
          </w:p>
        </w:tc>
      </w:tr>
      <w:tr>
        <w:trPr>
          <w:trHeight w:val="21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23,856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3,305</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consider all highly liquid investments with maturity of three months or less when purchased to be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Restricted cash primarily consists of security deposits held on behalf of our tenants, interest reserves, as well as capital improvement and real estate tax escrows required under certain loan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16, "Fair Value Measurements."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Marketable Securities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At acquisition, we designate a debt security as held-to-maturity, available-for-sale, or trading. As of March 31, 2024, we did not have any debt securities designated as held-to-maturity or trading. We account for our available-for-sale securities at fair value pursuant to ASC 820-10, with the net unrealized gains or losses reported as a component of accumulated other comprehensive income or loss. The cost of marketable securities sold and the amount reclassified out of accumulated other comprehensive income into earnings is determined using the specific identification method. Credit losses are recognized in accordance with ASC 326. We account for equity marketable securities at fair value pursuant to ASC 820-10, with the net unrealized gains or losses reported in net income.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and December 31, 2023, we held the following marketable securities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 in marketable securities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9,591</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cost basis of the commercial mortgage-backed securities was $11.5 million as of March 31, 2024 and December 31, 2023. These securities mature at various times through 2030. As of March 31, 2024, one security was in an unrealized gain position of $0.1 million with a fair market value of $5.4 million, and one security was in an unrealized loss position of $0.9 million with a fair market value of $5.3 million and was in a continuous unrealized loss position for more than 12 months. All securities were in an unrealized loss position as of December 31, 2023 with an unrealized loss of $1.9 million, a fair market value of $9.6 million and were in a continuous unrealized loss position for more than 12 months. We do not intend to sell our other securities, and it is more likely than not that we will not be required to sell the investments before recovery of their amortized cost bases.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dispose of any debt marketable securities during the three months ended March 31, 2024 and 2023.</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held no equity marketable securities as of March 31, 2024 and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Aside from charges noted in Note 6, "Investments in Unconsolidated Joint Ventures," we do not believe that the values of any of our equity investments were impaired at March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Lease Costs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Deferred lease costs consist of incremental fees and direct costs that would not have been incurred if the lease had not been obtained and are amortized on a straight-line basis over the related lease 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Classification</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Rental revenue for operating leases is recognized on a straight-line basis over the term of the lease. Rental revenue recognition commences when the leased space is available for its intended use by the lessee.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To determine whether the leased space is available for its intended use by the lessee, management evaluates whether we or the tenant are the owner of tenant improvements for accounting purposes.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excess of rents recognized over amounts contractually due pursuant to the underlying leases are included in deferred rents receivable on the consolidated balance sheets.</w:t>
      </w:r>
    </w:p>
    <w:p>
      <w:pPr>
        <w:spacing w:after="0" w:line="5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addition to base rent, our tenants also generally will pay variable rent, which represents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842.</w:t>
      </w:r>
    </w:p>
    <w:p>
      <w:pPr>
        <w:spacing w:after="0" w:line="6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record a gain or loss on sale of real estate assets when we no longer have a controlling financial interest in the entity owning the real estate, a contract exists with a third party and that third party has control of the assets acquired.</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Investment income on debt and preferred equity investments is accrued based on the contractual terms of the instruments and when it is deemed collectible. Some debt and preferred equity investments provide for accrual of interest at specified rates, 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spacing w:after="0" w:line="7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spacing w:after="0" w:line="8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consider a debt and preferred equity investment to be past due when amounts contractually due have not been paid. 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debt or preferred equity investment becomes contractually current and performance is demonstrated to be resumed.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Asset management fees are recognized on a straight-line basis over the term of the asset management agreement.</w:t>
      </w:r>
    </w:p>
    <w:p>
      <w:pPr>
        <w:spacing w:after="0" w:line="11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Revenues from the sale of SUMMIT tickets are recognized upon admission or ticket expirations. Deferred revenue related to unused and unexpired tickets as of March 31, 2024 and 2023 was $4.2 million and $3.2 million, respectively, and is included in Deferred revenue on the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Preferred Equity Investments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Debt and preferred equity investments are presented at the net amount expected to be collected in accordance with ASC 326.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 Amounts are written off from the allowance when we de-recognize the related investment either as a result of a sale of the investment or acquisition of equity interests in the collateral.</w:t>
      </w:r>
    </w:p>
    <w:p>
      <w:pPr>
        <w:spacing w:after="0" w:line="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evaluates the amount expected to be collected based on current market and economic conditions, historical loss information, and reasonable and supportable forecasts. The Company's assumptions are derived from both internal data and 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 - Loss more likely than not. Loans with risk ratings of 2 or above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spacing w:after="0" w:line="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expected amount to be collected.</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Other financing receivables that are included in balance sheet line items other than the Debt and preferred equity investments line are also measured at the net amount expected to be collected.</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Accrued interest receivable amounts related to these debt and preferred equity investment and other financing receivables are recorded at the net amount expected to be collected within Other assets in the consolidated balance sheets. Accrued interest receivables that are written off are recognized as an expense in loan loss and other investment reserves.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Operating Partnership is a partnership and, as a result, all income and losses of the partnership are allocated to the partners for inclusion in their respective income tax returns. The only provision for income taxes included in the consolidated statements of operations relates to the Operating Partnership’s consolidated taxable REIT subsidiaries. The Operating Partnership may also be subject to certain state, local and franchise taxes.</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have elected, and may elect in the future, to treat certain of our corporate subsidiaries as taxable REIT subsidiaries, or TRSs. In general, TRSs may perform non-customary services for the tenants of the Company, hold assets that we cannot hold directly and generally may engage in any real estate or non-real estate related business. The TRSs generate income, resulting in Federal, state and local corporate tax liability for these entities. During the three months ended March 31, 2024 and 2023, we recorded Federal, state and local tax provisions totaling $0.7 million and $0.8 million, respectively, for these entities.</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SUMMIT is also held in a TRS and pays Federal, state and local taxes. During the quarter ended March 31, 2024, we recorded Federal, state and local tax benefit for SUMMIT of $1.3 million. During the quarter ended March 31, 2023, we recorded Federal, state and local tax expense for SUMMIT of $1.3 million.</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New York City. See Note 5, "Debt and Preferred Equity Investments."</w:t>
      </w:r>
    </w:p>
    <w:p>
      <w:pPr>
        <w:spacing w:after="0" w:line="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perform initial and ongoing evaluations of the credit quality of our tenants and require most tenants to provide security deposits or letters of credit. Though these security deposits and letters of credit are insufficient to meet the total value of a tenant's lease obligation, they are a measure of good faith and a potential source of funds to offset the economic costs associated with lost revenue from that tenant and the costs associated with re-tenanting a space. The properties in our real estate portfolio are located in the New York metropolitan area, principally in Manhattan. Our tenants operate in various industries. Other than one tenant, Paramount Global (formerly ViacomCBS Inc.), which accounted for 5.5% of our share of annualized cash rent as of March 31, 2024, no other tenant in our portfolio accounted for more than 5.0% of our share of annualized cash rent, including our share of joint venture annualized cash rent, for the three months ended March 31, 2024.</w:t>
      </w:r>
    </w:p>
    <w:p>
      <w:pPr>
        <w:spacing w:after="0" w:line="8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following properties contributed more than 5.0% of our annualized cash rent from office properties, including our share of annualized cash rent from joint venture office properties: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6180" w:type="dxa"/>
            <w:vAlign w:val="bottom"/>
            <w:tcBorders>
              <w:bottom w:val="single" w:sz="8" w:color="auto"/>
            </w:tcBorders>
          </w:tcPr>
          <w:p>
            <w:pPr>
              <w:ind w:left="31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r>
      <w:tr>
        <w:trPr>
          <w:trHeight w:val="21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Vanderbilt Avenue</w:t>
            </w:r>
          </w:p>
        </w:tc>
        <w:tc>
          <w:tcPr>
            <w:tcW w:w="6180" w:type="dxa"/>
            <w:vAlign w:val="bottom"/>
            <w:shd w:val="clear" w:color="auto" w:fill="CCEEFF"/>
          </w:tcPr>
          <w:p>
            <w:pPr>
              <w:jc w:val="center"/>
              <w:ind w:left="2479"/>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 Madison Avenue</w:t>
            </w:r>
          </w:p>
        </w:tc>
        <w:tc>
          <w:tcPr>
            <w:tcW w:w="6180" w:type="dxa"/>
            <w:vAlign w:val="bottom"/>
          </w:tcPr>
          <w:p>
            <w:pPr>
              <w:jc w:val="center"/>
              <w:ind w:left="2479"/>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420</w:t>
            </w: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Lexington Ave</w:t>
            </w:r>
          </w:p>
        </w:tc>
        <w:tc>
          <w:tcPr>
            <w:tcW w:w="6180" w:type="dxa"/>
            <w:vAlign w:val="bottom"/>
            <w:shd w:val="clear" w:color="auto" w:fill="CCEEFF"/>
          </w:tcPr>
          <w:p>
            <w:pPr>
              <w:jc w:val="center"/>
              <w:ind w:left="2479"/>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1515 Broadway</w:t>
            </w:r>
          </w:p>
        </w:tc>
        <w:tc>
          <w:tcPr>
            <w:tcW w:w="6180" w:type="dxa"/>
            <w:vAlign w:val="bottom"/>
          </w:tcPr>
          <w:p>
            <w:pPr>
              <w:jc w:val="center"/>
              <w:ind w:left="2479"/>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1185 Avenue of the Americas</w:t>
            </w:r>
          </w:p>
        </w:tc>
        <w:tc>
          <w:tcPr>
            <w:tcW w:w="6180" w:type="dxa"/>
            <w:vAlign w:val="bottom"/>
            <w:shd w:val="clear" w:color="auto" w:fill="CCEEFF"/>
          </w:tcPr>
          <w:p>
            <w:pPr>
              <w:jc w:val="center"/>
              <w:ind w:left="2479"/>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180" w:type="dxa"/>
            <w:vAlign w:val="bottom"/>
          </w:tcPr>
          <w:p>
            <w:pPr>
              <w:jc w:val="center"/>
              <w:ind w:left="2479"/>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280</w:t>
            </w: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180" w:type="dxa"/>
            <w:vAlign w:val="bottom"/>
            <w:shd w:val="clear" w:color="auto" w:fill="CCEEFF"/>
          </w:tcPr>
          <w:p>
            <w:pPr>
              <w:jc w:val="center"/>
              <w:ind w:left="2479"/>
              <w:spacing w:after="0"/>
              <w:rPr>
                <w:sz w:val="20"/>
                <w:szCs w:val="20"/>
                <w:color w:val="auto"/>
              </w:rPr>
            </w:pPr>
            <w:r>
              <w:rPr>
                <w:rFonts w:ascii="Times New Roman" w:cs="Times New Roman" w:eastAsia="Times New Roman" w:hAnsi="Times New Roman"/>
                <w:sz w:val="16"/>
                <w:szCs w:val="16"/>
                <w:color w:val="auto"/>
              </w:rPr>
              <w:t>5.0%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year balances have been reclassified to conform to our current year presentation.</w:t>
      </w:r>
    </w:p>
    <w:p>
      <w:pPr>
        <w:spacing w:after="0" w:line="11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December 31, 2023, SUMMIT met the criteria of a reportable operating segment pursuant to the guidance in ASC 280. Accordingly, we reclassified SUMMIT Operator revenue, SUMMIT Operator expenses, and SUMMIT Operator tax expense to separate financial statement line items in our consolidated statements of operations. These items were previously presented on a net basis in Other income. Additionally, the depreciation and amortization of SUMMIT assets are included in Depreciation and amortization in our consolidated statements of operations. Prior period balances have been reclassified to conform to the current period presentation.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 Improvements to Income Tax Disclosures. The objective of the amendments in ASU 2023-09 related to the rate reconciliation and income taxes paid disclosures are to improve transparency of income tax disclosures by requiring consistent categories and greater disaggregation of information in the rate reconciliation, and income taxes paid disaggregated by jurisdiction. The amendment will require that public entities on an annual basis disclose specific categories in the rate reconciliation and provide additional information for reconciling items that meet a quantitative threshold. Additionally, the amendment will require that all entities disclose on an annual basis the amount of taxes paid (net of refunds received) disaggregated by federal, state and foreign taxes as well as disaggregated by individual jurisdictions that meet a quantitative threshold. ASU 2023-09 is effective prospectively for annual periods beginning after December 15, 2024. Early adoption and retrospective application is permitted. We are currently evaluating the impact of the adoption of ASU 2023-09 on our consolidated financial statements, but do not believe the adoption of this standard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 Improvements to Reportable Segment Disclosures. ASU 2023-07 amends the reportable segment disclosure requirements to enhance disclosures about significant segment expenses. The objective of the amendment is to improve financial reporting by requiring disclosure of incremental segment information on an annual and interim basis for all public entities to enable investors to develop more decision-useful financial analyses. The amendment will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Additionally, the amendment will require an entity to disclose an amount for "other segment items" by reportable segment and a description of its composition as well as require annual disclosures about a reportable segment's profit or loss and assets currently required by Topic 280 in interim periods. Lastly, the amendment will require a public entity to disclose the title and position of the CODM and an explanation of how the CODM uses the reported measures of segment profit or loss in assessing segment performance and deciding to allocate resources. ASU 2023-07 is effective for fiscal years beginning after December 15, 2023, and interim periods within fiscal years beginning after December 15, 2024. Early adoption is permitted and should be applied retrospectively to all prior periods presented in the financial statements. We are currently evaluating the impact of the adoption of ASU 2023-07 on our consolidated financial statements, but do not believe the adoption of this standard will have a material impact on our consolidated financial statements.</w:t>
      </w:r>
    </w:p>
    <w:p>
      <w:pPr>
        <w:spacing w:after="0" w:line="7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August 2023, the FASB issued ASU No. 2023-05 Business Combinations - Joint Venture Formations (Subtopic 805-60) Recognition and Initial Measurement. ASU 2023-05 addresses the accounting for contributions made to a joint venture, upon formation, in a joint venture's separate financial statements. The objectives of the amendments are to provide decision-useful information to investors and other allocators of capital in a joint venture's financial statements and reduce diversity in practice. The amendments require that a joint venture apply the following key adaptations from the business combinations guidance upon formation: (i) a joint venture is the formation of a new entity without an accounting acquirer, (ii) a joint venture measures its identifiable net assets and goodwill, if any, at the formation date, (iii) initial measurement of a joint venture's total net assets is equal to the fair value of 100 percent of the joint venture's equity, and (iv) a joint venture provides relevant disclosures. ASU 2023-05 is effective prospectively for all joint venture formations with a formation date on or after January 1, 2025, with early adoption permitted in any interim or annual period in which financial statements have not yet been issued, either prospectively or retrospectively. We are currently evaluating the impact of the adoption of ASU 2023-05 on our consolidated financial statements, but do not believe the adoption of this standard will have a material impact on our consolidated financial statements.</w:t>
      </w:r>
    </w:p>
    <w:p>
      <w:pPr>
        <w:spacing w:after="0" w:line="8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and then in January 2021, the FASB issued ASU No. 2021-01. The amendments provide practical expedients for reference rate reform related activities that impact debt, leases, derivatives and other contracts. The guidance is optional and is effective between March 12, 2020 and December 31, 2024, which was extended from the original sunset date of December 31, 2022 when the FASB issued ASU No. 2022-06 in December 2022. The guidance may be elected over time as reference rate reform activities occur. During the first quarter of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impact of this guidance did not have a material impact on the Company's consolidated financial statements.</w:t>
      </w:r>
    </w:p>
    <w:p>
      <w:pPr>
        <w:spacing w:after="0" w:line="76" w:lineRule="exact"/>
        <w:rPr>
          <w:sz w:val="20"/>
          <w:szCs w:val="20"/>
          <w:color w:val="auto"/>
        </w:rPr>
      </w:pPr>
    </w:p>
    <w:p>
      <w:pPr>
        <w:ind w:right="7860" w:firstLine="8"/>
        <w:spacing w:after="0" w:line="378"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Acquisitions and Consolidations Property Acquisitions</w:t>
      </w: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March 31, 2024, we did not acquire any properties from a third party.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Consolidations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properties consolidated during the three months ended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Consolidation Date</w:t>
            </w:r>
          </w:p>
        </w:tc>
        <w:tc>
          <w:tcPr>
            <w:tcW w:w="1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Property Type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Approximate Square</w:t>
            </w:r>
          </w:p>
        </w:tc>
        <w:tc>
          <w:tcPr>
            <w:tcW w:w="120" w:type="dxa"/>
            <w:vAlign w:val="bottom"/>
          </w:tcPr>
          <w:p>
            <w:pPr>
              <w:spacing w:after="0"/>
              <w:rPr>
                <w:sz w:val="16"/>
                <w:szCs w:val="16"/>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 Asset Valuation</w:t>
            </w:r>
          </w:p>
        </w:tc>
        <w:tc>
          <w:tcPr>
            <w:tcW w:w="0" w:type="dxa"/>
            <w:vAlign w:val="bottom"/>
          </w:tcPr>
          <w:p>
            <w:pPr>
              <w:spacing w:after="0"/>
              <w:rPr>
                <w:sz w:val="1"/>
                <w:szCs w:val="1"/>
                <w:color w:val="auto"/>
              </w:rPr>
            </w:pPr>
          </w:p>
        </w:tc>
      </w:tr>
      <w:tr>
        <w:trPr>
          <w:trHeight w:val="214"/>
        </w:trPr>
        <w:tc>
          <w:tcPr>
            <w:tcW w:w="3900" w:type="dxa"/>
            <w:vAlign w:val="bottom"/>
            <w:gridSpan w:val="2"/>
            <w:vMerge w:val="continue"/>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Feet</w:t>
            </w:r>
          </w:p>
        </w:tc>
        <w:tc>
          <w:tcPr>
            <w:tcW w:w="12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11"/>
        </w:trPr>
        <w:tc>
          <w:tcPr>
            <w:tcW w:w="380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10 East 53rd Street </w:t>
            </w:r>
            <w:r>
              <w:rPr>
                <w:rFonts w:ascii="Times New Roman" w:cs="Times New Roman" w:eastAsia="Times New Roman" w:hAnsi="Times New Roman"/>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2024</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Fee Interest</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p>
      <w:pPr>
        <w:jc w:val="both"/>
        <w:ind w:left="420" w:hanging="412"/>
        <w:spacing w:after="0" w:line="266" w:lineRule="auto"/>
        <w:tabs>
          <w:tab w:leader="none" w:pos="4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2024, the Company entered into an agreement to acquire its partner's 45.0% interest in the joint venture for cash consideration of $7.2 million, which is net of all outstanding debt obligations at contract signing. As a result of the contract terms, it was concluded that the joint venture is a VIE in which the Company is the primary beneficiary, and the investment was consolidated in our financial statements. Upon consolidating the entity, the assets and liabilities of the entity were recorded at fair value which resulted in the recognition of a fair value adjustment of ($55.7 million), which is included in Purchase price and other fair value adjustments in the consolidated statements of operations. Prior to March 2024, the investment was accounted for under the equity method. See Note 16, "Fair Value Measurements."</w:t>
      </w:r>
    </w:p>
    <w:p>
      <w:pPr>
        <w:spacing w:after="0" w:line="80" w:lineRule="exact"/>
        <w:rPr>
          <w:sz w:val="20"/>
          <w:szCs w:val="20"/>
          <w:color w:val="auto"/>
        </w:rPr>
      </w:pPr>
    </w:p>
    <w:p>
      <w:pPr>
        <w:ind w:right="7160" w:firstLine="8"/>
        <w:spacing w:after="0" w:line="378"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Properties Held for Sale and Property Dispositions Properties Held for Sale</w:t>
      </w: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Palisades Premier Conference Center was classified as held for sale as we entered into an agreement to sell the property for $26.3 million. The sale is expected to close in the second quarter of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Dispositions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March 31, 2024, we did not dispose of any properties.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 and Preferred Equity Investments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Below is a summary of the activity in our debt and preferred equity investments for the three months ended March 31, 2024 and the twelve months ended December 31, 2023 (in thousands):</w:t>
      </w: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Balance at beginning of year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-145415</wp:posOffset>
            </wp:positionV>
            <wp:extent cx="711517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
        <w:spacing w:after="0" w:line="214" w:lineRule="auto"/>
        <w:rPr>
          <w:sz w:val="20"/>
          <w:szCs w:val="20"/>
          <w:color w:val="auto"/>
        </w:rPr>
      </w:pPr>
      <w:r>
        <w:rPr>
          <w:rFonts w:ascii="Times New Roman" w:cs="Times New Roman" w:eastAsia="Times New Roman" w:hAnsi="Times New Roman"/>
          <w:sz w:val="16"/>
          <w:szCs w:val="16"/>
          <w:color w:val="auto"/>
        </w:rPr>
        <w:t xml:space="preserve">Debt investment originations/fundings/accretion </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40"/>
        <w:spacing w:after="0" w:line="232" w:lineRule="auto"/>
        <w:rPr>
          <w:sz w:val="20"/>
          <w:szCs w:val="20"/>
          <w:color w:val="auto"/>
        </w:rPr>
      </w:pPr>
      <w:r>
        <w:rPr>
          <w:rFonts w:ascii="Times New Roman" w:cs="Times New Roman" w:eastAsia="Times New Roman" w:hAnsi="Times New Roman"/>
          <w:sz w:val="16"/>
          <w:szCs w:val="16"/>
          <w:color w:val="auto"/>
        </w:rPr>
        <w:t xml:space="preserve">Preferred equity investment originations/accretion </w:t>
      </w:r>
      <w:r>
        <w:rPr>
          <w:rFonts w:ascii="Times New Roman" w:cs="Times New Roman" w:eastAsia="Times New Roman" w:hAnsi="Times New Roman"/>
          <w:sz w:val="21"/>
          <w:szCs w:val="21"/>
          <w:color w:val="auto"/>
          <w:vertAlign w:val="superscript"/>
        </w:rPr>
        <w:t>(2)</w:t>
      </w:r>
    </w:p>
    <w:p>
      <w:pPr>
        <w:ind w:left="40"/>
        <w:spacing w:after="0"/>
        <w:rPr>
          <w:sz w:val="20"/>
          <w:szCs w:val="20"/>
          <w:color w:val="auto"/>
        </w:rPr>
      </w:pPr>
      <w:r>
        <w:rPr>
          <w:rFonts w:ascii="Times New Roman" w:cs="Times New Roman" w:eastAsia="Times New Roman" w:hAnsi="Times New Roman"/>
          <w:sz w:val="16"/>
          <w:szCs w:val="16"/>
          <w:color w:val="auto"/>
        </w:rPr>
        <w:t>Redemptions/sales/syndications/equity ownership/amortization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change in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Balance at end of period </w:t>
      </w:r>
      <w:r>
        <w:rPr>
          <w:rFonts w:ascii="Times New Roman" w:cs="Times New Roman" w:eastAsia="Times New Roman" w:hAnsi="Times New Roman"/>
          <w:sz w:val="21"/>
          <w:szCs w:val="21"/>
          <w:color w:val="auto"/>
          <w:vertAlign w:val="superscript"/>
        </w:rPr>
        <w:t>(1) (3)</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6"/>
          <w:szCs w:val="16"/>
          <w:b w:val="1"/>
          <w:bCs w:val="1"/>
          <w:color w:val="auto"/>
        </w:rPr>
        <w:t>March 31, 2024</w:t>
      </w:r>
    </w:p>
    <w:p>
      <w:pPr>
        <w:spacing w:after="0" w:line="46" w:lineRule="exact"/>
        <w:rPr>
          <w:sz w:val="20"/>
          <w:szCs w:val="20"/>
          <w:color w:val="auto"/>
        </w:rPr>
      </w:pPr>
    </w:p>
    <w:p>
      <w:pPr>
        <w:ind w:left="1250" w:hanging="1250"/>
        <w:spacing w:after="0"/>
        <w:tabs>
          <w:tab w:leader="none" w:pos="125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346,745</w:t>
      </w:r>
    </w:p>
    <w:p>
      <w:pPr>
        <w:spacing w:after="0" w:line="32" w:lineRule="exact"/>
        <w:rPr>
          <w:rFonts w:ascii="Times New Roman" w:cs="Times New Roman" w:eastAsia="Times New Roman" w:hAnsi="Times New Roman"/>
          <w:sz w:val="16"/>
          <w:szCs w:val="16"/>
          <w:b w:val="1"/>
          <w:bCs w:val="1"/>
          <w:color w:val="auto"/>
        </w:rPr>
      </w:pPr>
    </w:p>
    <w:p>
      <w:pPr>
        <w:ind w:left="141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3,487</w:t>
      </w:r>
    </w:p>
    <w:p>
      <w:pPr>
        <w:spacing w:after="0" w:line="32" w:lineRule="exact"/>
        <w:rPr>
          <w:rFonts w:ascii="Times New Roman" w:cs="Times New Roman" w:eastAsia="Times New Roman" w:hAnsi="Times New Roman"/>
          <w:sz w:val="16"/>
          <w:szCs w:val="16"/>
          <w:b w:val="1"/>
          <w:bCs w:val="1"/>
          <w:color w:val="auto"/>
        </w:rPr>
      </w:pPr>
    </w:p>
    <w:p>
      <w:pPr>
        <w:ind w:left="143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b w:val="1"/>
          <w:bCs w:val="1"/>
          <w:color w:val="auto"/>
        </w:rPr>
        <w:t>2,115</w:t>
      </w:r>
    </w:p>
    <w:p>
      <w:pPr>
        <w:spacing w:after="0" w:line="43" w:lineRule="exact"/>
        <w:rPr>
          <w:rFonts w:ascii="Times New Roman" w:cs="Times New Roman" w:eastAsia="Times New Roman" w:hAnsi="Times New Roman"/>
          <w:sz w:val="16"/>
          <w:szCs w:val="16"/>
          <w:b w:val="1"/>
          <w:bCs w:val="1"/>
          <w:color w:val="auto"/>
        </w:rPr>
      </w:pPr>
    </w:p>
    <w:p>
      <w:pPr>
        <w:ind w:left="161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t>
      </w:r>
    </w:p>
    <w:p>
      <w:pPr>
        <w:spacing w:after="0" w:line="32" w:lineRule="exact"/>
        <w:rPr>
          <w:rFonts w:ascii="Times New Roman" w:cs="Times New Roman" w:eastAsia="Times New Roman" w:hAnsi="Times New Roman"/>
          <w:sz w:val="16"/>
          <w:szCs w:val="16"/>
          <w:b w:val="1"/>
          <w:bCs w:val="1"/>
          <w:color w:val="auto"/>
        </w:rPr>
      </w:pPr>
    </w:p>
    <w:p>
      <w:pPr>
        <w:ind w:left="161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830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6" w:lineRule="exact"/>
        <w:rPr>
          <w:sz w:val="20"/>
          <w:szCs w:val="20"/>
          <w:color w:val="auto"/>
        </w:rPr>
      </w:pPr>
    </w:p>
    <w:p>
      <w:pPr>
        <w:ind w:left="1250" w:hanging="1250"/>
        <w:spacing w:after="0"/>
        <w:tabs>
          <w:tab w:leader="none" w:pos="125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352,347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830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11830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48" w:lineRule="exact"/>
        <w:rPr>
          <w:sz w:val="20"/>
          <w:szCs w:val="20"/>
          <w:color w:val="auto"/>
        </w:rPr>
      </w:pPr>
    </w:p>
    <w:p>
      <w:pPr>
        <w:ind w:left="1260" w:hanging="1259"/>
        <w:spacing w:after="0"/>
        <w:tabs>
          <w:tab w:leader="none" w:pos="12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623,280</w:t>
      </w:r>
    </w:p>
    <w:p>
      <w:pPr>
        <w:spacing w:after="0" w:line="32" w:lineRule="exact"/>
        <w:rPr>
          <w:rFonts w:ascii="Times New Roman" w:cs="Times New Roman" w:eastAsia="Times New Roman" w:hAnsi="Times New Roman"/>
          <w:sz w:val="16"/>
          <w:szCs w:val="16"/>
          <w:color w:val="auto"/>
        </w:rPr>
      </w:pPr>
    </w:p>
    <w:p>
      <w:pPr>
        <w:ind w:left="1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72,160</w:t>
      </w:r>
    </w:p>
    <w:p>
      <w:pPr>
        <w:spacing w:after="0" w:line="32" w:lineRule="exact"/>
        <w:rPr>
          <w:rFonts w:ascii="Times New Roman" w:cs="Times New Roman" w:eastAsia="Times New Roman" w:hAnsi="Times New Roman"/>
          <w:sz w:val="16"/>
          <w:szCs w:val="16"/>
          <w:color w:val="auto"/>
        </w:rPr>
      </w:pPr>
    </w:p>
    <w:p>
      <w:pPr>
        <w:ind w:left="1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8,142</w:t>
      </w:r>
    </w:p>
    <w:p>
      <w:pPr>
        <w:spacing w:after="0" w:line="3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(349,947)</w:t>
      </w:r>
    </w:p>
    <w:p>
      <w:pPr>
        <w:spacing w:after="0" w:line="3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(6,890)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wp:posOffset>
            </wp:positionV>
            <wp:extent cx="11830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6" w:lineRule="exact"/>
        <w:rPr>
          <w:sz w:val="20"/>
          <w:szCs w:val="20"/>
          <w:color w:val="auto"/>
        </w:rPr>
      </w:pPr>
    </w:p>
    <w:p>
      <w:pPr>
        <w:ind w:left="1260" w:hanging="1259"/>
        <w:spacing w:after="0"/>
        <w:tabs>
          <w:tab w:leader="none" w:pos="12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346,745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wp:posOffset>
            </wp:positionV>
            <wp:extent cx="11830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46355</wp:posOffset>
            </wp:positionV>
            <wp:extent cx="11830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3">
            <w:col w:w="6690" w:space="720"/>
            <w:col w:w="1770" w:space="200"/>
            <w:col w:w="1860"/>
          </w:cols>
          <w:pgMar w:left="320" w:top="121" w:right="339" w:bottom="1440" w:gutter="0" w:footer="0" w:header="0"/>
          <w:type w:val="continuous"/>
        </w:sectPr>
      </w:pPr>
    </w:p>
    <w:p>
      <w:pPr>
        <w:ind w:left="400" w:hanging="392"/>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fees, discounts, and premiums.</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Accretion includes amortization of fees and discounts and paid-in-kind investment income.</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$49.8 million that are included in the Company's alternative strategy portfolio.</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summary of our debt and preferred equity investments as of March 31, 2024 (dollars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Floating Rate</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21"/>
                <w:szCs w:val="21"/>
                <w:color w:val="auto"/>
              </w:rPr>
            </w:pPr>
          </w:p>
        </w:tc>
        <w:tc>
          <w:tcPr>
            <w:tcW w:w="78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21"/>
                <w:szCs w:val="21"/>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21"/>
                <w:szCs w:val="21"/>
                <w:color w:val="auto"/>
              </w:rPr>
            </w:pPr>
          </w:p>
        </w:tc>
        <w:tc>
          <w:tcPr>
            <w:tcW w:w="900" w:type="dxa"/>
            <w:vAlign w:val="bottom"/>
            <w:vMerge w:val="restart"/>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Senior</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Type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vMerge w:val="restart"/>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 xml:space="preserve">Maturity </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960" w:type="dxa"/>
            <w:vAlign w:val="bottom"/>
            <w:gridSpan w:val="2"/>
            <w:vMerge w:val="continue"/>
          </w:tcPr>
          <w:p>
            <w:pPr>
              <w:spacing w:after="0"/>
              <w:rPr>
                <w:sz w:val="18"/>
                <w:szCs w:val="18"/>
                <w:color w:val="auto"/>
              </w:rPr>
            </w:pPr>
          </w:p>
        </w:tc>
        <w:tc>
          <w:tcPr>
            <w:tcW w:w="96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6"/>
                <w:szCs w:val="16"/>
                <w:b w:val="1"/>
                <w:bCs w:val="1"/>
                <w:color w:val="auto"/>
                <w:w w:val="91"/>
              </w:rPr>
              <w:t xml:space="preserve">Rate </w:t>
            </w:r>
            <w:r>
              <w:rPr>
                <w:rFonts w:ascii="Times New Roman" w:cs="Times New Roman" w:eastAsia="Times New Roman" w:hAnsi="Times New Roman"/>
                <w:sz w:val="21"/>
                <w:szCs w:val="21"/>
                <w:b w:val="1"/>
                <w:bCs w:val="1"/>
                <w:color w:val="auto"/>
                <w:w w:val="91"/>
                <w:vertAlign w:val="superscript"/>
              </w:rPr>
              <w:t>(1)</w:t>
            </w:r>
          </w:p>
        </w:tc>
        <w:tc>
          <w:tcPr>
            <w:tcW w:w="100" w:type="dxa"/>
            <w:vAlign w:val="bottom"/>
          </w:tcPr>
          <w:p>
            <w:pPr>
              <w:spacing w:after="0"/>
              <w:rPr>
                <w:sz w:val="18"/>
                <w:szCs w:val="18"/>
                <w:color w:val="auto"/>
              </w:rPr>
            </w:pPr>
          </w:p>
        </w:tc>
        <w:tc>
          <w:tcPr>
            <w:tcW w:w="78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940" w:type="dxa"/>
            <w:vAlign w:val="bottom"/>
            <w:gridSpan w:val="2"/>
            <w:vMerge w:val="continue"/>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0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2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Mezzanine Debt</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172,232</w:t>
            </w:r>
          </w:p>
        </w:tc>
        <w:tc>
          <w:tcPr>
            <w:tcW w:w="280" w:type="dxa"/>
            <w:vAlign w:val="bottom"/>
            <w:tcBorders>
              <w:top w:val="single" w:sz="8" w:color="auto"/>
            </w:tcBorders>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172,391</w:t>
            </w:r>
          </w:p>
        </w:tc>
        <w:tc>
          <w:tcPr>
            <w:tcW w:w="86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S + 4.95% -</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50,000</w:t>
            </w:r>
          </w:p>
        </w:tc>
        <w:tc>
          <w:tcPr>
            <w:tcW w:w="260" w:type="dxa"/>
            <w:vAlign w:val="bottom"/>
            <w:tcBorders>
              <w:top w:val="single" w:sz="8" w:color="auto"/>
            </w:tcBorders>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50,000</w:t>
            </w:r>
          </w:p>
        </w:tc>
        <w:tc>
          <w:tcPr>
            <w:tcW w:w="8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8.00% -</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xml:space="preserve">222,232 </w:t>
            </w:r>
            <w:r>
              <w:rPr>
                <w:rFonts w:ascii="Times New Roman" w:cs="Times New Roman" w:eastAsia="Times New Roman" w:hAnsi="Times New Roman"/>
                <w:sz w:val="28"/>
                <w:szCs w:val="28"/>
                <w:color w:val="auto"/>
                <w:vertAlign w:val="superscript"/>
              </w:rPr>
              <w:t>(3)</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1,084,257</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2024 - 2029</w:t>
            </w:r>
          </w:p>
        </w:tc>
        <w:tc>
          <w:tcPr>
            <w:tcW w:w="0" w:type="dxa"/>
            <w:vAlign w:val="bottom"/>
          </w:tcPr>
          <w:p>
            <w:pPr>
              <w:spacing w:after="0"/>
              <w:rPr>
                <w:sz w:val="1"/>
                <w:szCs w:val="1"/>
                <w:color w:val="auto"/>
              </w:rPr>
            </w:pPr>
          </w:p>
        </w:tc>
      </w:tr>
      <w:tr>
        <w:trPr>
          <w:trHeight w:val="203"/>
        </w:trPr>
        <w:tc>
          <w:tcPr>
            <w:tcW w:w="228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Preferred Equity</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130,115</w:t>
            </w:r>
          </w:p>
        </w:tc>
        <w:tc>
          <w:tcPr>
            <w:tcW w:w="26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130,115</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130,115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27"/>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172,232</w:t>
            </w:r>
          </w:p>
        </w:tc>
        <w:tc>
          <w:tcPr>
            <w:tcW w:w="2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172,391</w:t>
            </w:r>
          </w:p>
        </w:tc>
        <w:tc>
          <w:tcPr>
            <w:tcW w:w="8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180,115</w:t>
            </w: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180,115</w:t>
            </w:r>
          </w:p>
        </w:tc>
        <w:tc>
          <w:tcPr>
            <w:tcW w:w="8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352,347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1,334,257</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Floating interest rates are presented with the stated spread over Term SOFR ("S").</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available extension options to the extent they have not been exercised as of the date of this filing.</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$49.8 million that are included in the Company's alternative strategy portfolio.</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is a roll forward of our total allowance for loan losses for the three months ended March 31, 2024 and the twelve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r>
      <w:tr>
        <w:trPr>
          <w:trHeight w:val="214"/>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 for loan loss</w:t>
            </w:r>
          </w:p>
        </w:tc>
        <w:tc>
          <w:tcPr>
            <w:tcW w:w="2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r>
      <w:tr>
        <w:trPr>
          <w:trHeight w:val="236"/>
        </w:trPr>
        <w:tc>
          <w:tcPr>
            <w:tcW w:w="7420" w:type="dxa"/>
            <w:vAlign w:val="bottom"/>
            <w:tcBorders>
              <w:top w:val="single" w:sz="8" w:color="CCEEFF"/>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Balance at end of period </w:t>
            </w:r>
            <w:r>
              <w:rPr>
                <w:rFonts w:ascii="Times New Roman" w:cs="Times New Roman" w:eastAsia="Times New Roman" w:hAnsi="Times New Roman"/>
                <w:sz w:val="21"/>
                <w:szCs w:val="21"/>
                <w:color w:val="auto"/>
                <w:vertAlign w:val="superscript"/>
              </w:rPr>
              <w:t>(1)</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20" w:right="20" w:hanging="412"/>
        <w:spacing w:after="0" w:line="302" w:lineRule="auto"/>
        <w:tabs>
          <w:tab w:leader="none" w:pos="4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all debt and preferred equity investments on non-accrual had an allowance for loan loss except for one debt investment with a carrying value of $49.8 million, which is included in the Company's alternative strategy portfolio.</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2024, two investments that are in the Company's alternative strategy portfolio and have a total carrying value, net of reserves, of $49.8 million were not performing in accordance with their respective terms. As of December 31, 2023, the same two investments with a total carrying value, net of reserves, of $49.8 million were not performing in accordance with their respective terms. This is further discussed in the Debt Investments and Preferred Equity Investments tables below.</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other financing receivables were 90 days past due as of March 31, 2024 and December 31, 2023.</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carrying value of our debt and preferred equity investment portfolio by risk rating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21"/>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w:t>
            </w:r>
          </w:p>
        </w:tc>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Low Risk Assets - Low probability of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214,740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210,333</w:t>
            </w:r>
          </w:p>
        </w:tc>
      </w:tr>
      <w:tr>
        <w:trPr>
          <w:trHeight w:val="324"/>
        </w:trPr>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w:t>
            </w:r>
          </w:p>
        </w:tc>
        <w:tc>
          <w:tcPr>
            <w:tcW w:w="6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 Watch List Assets - Higher potential for loss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137,607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136,412</w:t>
            </w:r>
          </w:p>
        </w:tc>
      </w:tr>
      <w:tr>
        <w:trPr>
          <w:trHeight w:val="214"/>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w:t>
            </w:r>
          </w:p>
        </w:tc>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High Risk Assets - Loss more likely than not</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352,347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346,745</w:t>
            </w:r>
          </w:p>
        </w:tc>
      </w:tr>
      <w:tr>
        <w:trPr>
          <w:trHeight w:val="22"/>
        </w:trPr>
        <w:tc>
          <w:tcPr>
            <w:tcW w:w="1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$49.8 million that are included in the Company's alternative strategy portfolio.</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carrying value of our debt and preferred equity investment portfolio by year of origination and risk rating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5"/>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6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4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Prior </w:t>
            </w:r>
            <w:r>
              <w:rPr>
                <w:rFonts w:ascii="Times New Roman" w:cs="Times New Roman" w:eastAsia="Times New Roman" w:hAnsi="Times New Roman"/>
                <w:sz w:val="21"/>
                <w:szCs w:val="21"/>
                <w:b w:val="1"/>
                <w:bCs w:val="1"/>
                <w:color w:val="auto"/>
                <w:w w:val="98"/>
                <w:vertAlign w:val="superscript"/>
              </w:rPr>
              <w:t>(1)</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18"/>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Low Risk Assets - Low probability of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214,740</w:t>
            </w:r>
          </w:p>
        </w:tc>
        <w:tc>
          <w:tcPr>
            <w:tcW w:w="6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214,740</w:t>
            </w:r>
          </w:p>
        </w:tc>
      </w:tr>
      <w:tr>
        <w:trPr>
          <w:trHeight w:val="321"/>
        </w:trPr>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Watch List Assets - Higher potential for loss</w:t>
            </w:r>
          </w:p>
        </w:tc>
        <w:tc>
          <w:tcPr>
            <w:tcW w:w="260" w:type="dxa"/>
            <w:vAlign w:val="bottom"/>
          </w:tcPr>
          <w:p>
            <w:pPr>
              <w:spacing w:after="0"/>
              <w:rPr>
                <w:sz w:val="24"/>
                <w:szCs w:val="24"/>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137,607</w:t>
            </w: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4"/>
                <w:szCs w:val="14"/>
                <w:color w:val="auto"/>
                <w:w w:val="97"/>
              </w:rPr>
              <w:t>(2)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137,607</w:t>
            </w:r>
          </w:p>
        </w:tc>
      </w:tr>
      <w:tr>
        <w:trPr>
          <w:trHeight w:val="219"/>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High Risk Assets - Loss more likely than not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8"/>
        </w:trPr>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352,347</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352,347</w:t>
            </w:r>
          </w:p>
        </w:tc>
      </w:tr>
      <w:tr>
        <w:trPr>
          <w:trHeight w:val="22"/>
        </w:trPr>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 in which the investment was originated or acquired by us or in which a material modification occurred.</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$49.8 million that are included in the Company's alternative strategy portfolio.</w:t>
      </w:r>
    </w:p>
    <w:p>
      <w:pPr>
        <w:spacing w:after="0" w:line="11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have determined that we have one portfolio segment of financing receivables as of March 31, 2024 and December 31, 2023 comprised of commercial real estate which is primarily recorded in debt and preferred equity investments.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Included in Other assets is an additional amount of financing receivables representing loans to joint venture partners totaling $5.8 million and $8.8 million as of March 31, 2024 and December 31, 2023, respectively. The Company recorded no provisions for loan losses related to these financing receivables for the three months ended March 31, 2024 and 2023. All of these loans have a risk rating of 2 and were performing in accordance with their respective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Investments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March 31, 2024 and December 31, 2023, we held the following debt investments with an aggregate weighted average current yield of 8.72%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(dollars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7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 2024 Senior</w:t>
            </w:r>
          </w:p>
        </w:tc>
        <w:tc>
          <w:tcPr>
            <w:tcW w:w="160" w:type="dxa"/>
            <w:vAlign w:val="bottom"/>
          </w:tcPr>
          <w:p>
            <w:pPr>
              <w:spacing w:after="0"/>
              <w:rPr>
                <w:sz w:val="16"/>
                <w:szCs w:val="16"/>
                <w:color w:val="auto"/>
              </w:rPr>
            </w:pPr>
          </w:p>
        </w:tc>
        <w:tc>
          <w:tcPr>
            <w:tcW w:w="16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6"/>
                <w:szCs w:val="16"/>
                <w:color w:val="auto"/>
              </w:rPr>
            </w:pPr>
          </w:p>
        </w:tc>
        <w:tc>
          <w:tcPr>
            <w:tcW w:w="15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6"/>
                <w:szCs w:val="16"/>
                <w:color w:val="auto"/>
              </w:rPr>
            </w:pPr>
          </w:p>
        </w:tc>
        <w:tc>
          <w:tcPr>
            <w:tcW w:w="14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0" w:type="dxa"/>
            <w:vAlign w:val="bottom"/>
          </w:tcPr>
          <w:p>
            <w:pPr>
              <w:spacing w:after="0"/>
              <w:rPr>
                <w:sz w:val="1"/>
                <w:szCs w:val="1"/>
                <w:color w:val="auto"/>
              </w:rPr>
            </w:pPr>
          </w:p>
        </w:tc>
      </w:tr>
      <w:tr>
        <w:trPr>
          <w:trHeight w:val="162"/>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 Type</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17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3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Carrying Value </w:t>
            </w:r>
            <w:r>
              <w:rPr>
                <w:rFonts w:ascii="Times New Roman" w:cs="Times New Roman" w:eastAsia="Times New Roman" w:hAnsi="Times New Roman"/>
                <w:sz w:val="21"/>
                <w:szCs w:val="21"/>
                <w:b w:val="1"/>
                <w:bCs w:val="1"/>
                <w:color w:val="auto"/>
                <w:w w:val="97"/>
                <w:vertAlign w:val="superscript"/>
              </w:rPr>
              <w:t>(1)</w:t>
            </w:r>
          </w:p>
        </w:tc>
        <w:tc>
          <w:tcPr>
            <w:tcW w:w="140" w:type="dxa"/>
            <w:vAlign w:val="bottom"/>
          </w:tcPr>
          <w:p>
            <w:pPr>
              <w:spacing w:after="0"/>
              <w:rPr>
                <w:sz w:val="18"/>
                <w:szCs w:val="18"/>
                <w:color w:val="auto"/>
              </w:rPr>
            </w:pPr>
          </w:p>
        </w:tc>
        <w:tc>
          <w:tcPr>
            <w:tcW w:w="1540" w:type="dxa"/>
            <w:vAlign w:val="bottom"/>
          </w:tcPr>
          <w:p>
            <w:pPr>
              <w:jc w:val="right"/>
              <w:ind w:right="13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1440" w:type="dxa"/>
            <w:vAlign w:val="bottom"/>
          </w:tcPr>
          <w:p>
            <w:pPr>
              <w:jc w:val="right"/>
              <w:ind w:right="39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Date </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09"/>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Fixed Rate Investments: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1"/>
                <w:szCs w:val="21"/>
                <w:color w:val="auto"/>
                <w:vertAlign w:val="superscript"/>
              </w:rPr>
              <w:t>(3) (4) (6)</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2024</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2025</w:t>
            </w:r>
          </w:p>
        </w:tc>
        <w:tc>
          <w:tcPr>
            <w:tcW w:w="0" w:type="dxa"/>
            <w:vAlign w:val="bottom"/>
          </w:tcPr>
          <w:p>
            <w:pPr>
              <w:spacing w:after="0"/>
              <w:rPr>
                <w:sz w:val="1"/>
                <w:szCs w:val="1"/>
                <w:color w:val="auto"/>
              </w:rPr>
            </w:pPr>
          </w:p>
        </w:tc>
      </w:tr>
      <w:tr>
        <w:trPr>
          <w:trHeight w:val="21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2029</w:t>
            </w: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fixed rate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Floating Rate Investments:</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6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1"/>
                <w:szCs w:val="21"/>
                <w:color w:val="auto"/>
                <w:vertAlign w:val="superscript"/>
              </w:rPr>
              <w:t>(5) (6)</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2023</w:t>
            </w:r>
          </w:p>
        </w:tc>
        <w:tc>
          <w:tcPr>
            <w:tcW w:w="0" w:type="dxa"/>
            <w:vAlign w:val="bottom"/>
          </w:tcPr>
          <w:p>
            <w:pPr>
              <w:spacing w:after="0"/>
              <w:rPr>
                <w:sz w:val="1"/>
                <w:szCs w:val="1"/>
                <w:color w:val="auto"/>
              </w:rPr>
            </w:pPr>
          </w:p>
        </w:tc>
      </w:tr>
      <w:tr>
        <w:trPr>
          <w:trHeight w:val="21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2024</w:t>
            </w:r>
          </w:p>
        </w:tc>
        <w:tc>
          <w:tcPr>
            <w:tcW w:w="0" w:type="dxa"/>
            <w:vAlign w:val="bottom"/>
          </w:tcPr>
          <w:p>
            <w:pPr>
              <w:spacing w:after="0"/>
              <w:rPr>
                <w:sz w:val="1"/>
                <w:szCs w:val="1"/>
                <w:color w:val="auto"/>
              </w:rPr>
            </w:pPr>
          </w:p>
        </w:tc>
      </w:tr>
      <w:tr>
        <w:trPr>
          <w:trHeight w:val="218"/>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284,173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64,624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2024</w:t>
            </w:r>
          </w:p>
        </w:tc>
        <w:tc>
          <w:tcPr>
            <w:tcW w:w="0" w:type="dxa"/>
            <w:vAlign w:val="bottom"/>
          </w:tcPr>
          <w:p>
            <w:pPr>
              <w:spacing w:after="0"/>
              <w:rPr>
                <w:sz w:val="1"/>
                <w:szCs w:val="1"/>
                <w:color w:val="auto"/>
              </w:rPr>
            </w:pPr>
          </w:p>
        </w:tc>
      </w:tr>
      <w:tr>
        <w:trPr>
          <w:trHeight w:val="214"/>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186,084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49,519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January 2026</w:t>
            </w:r>
          </w:p>
        </w:tc>
        <w:tc>
          <w:tcPr>
            <w:tcW w:w="0" w:type="dxa"/>
            <w:vAlign w:val="bottom"/>
          </w:tcPr>
          <w:p>
            <w:pPr>
              <w:spacing w:after="0"/>
              <w:rPr>
                <w:sz w:val="1"/>
                <w:szCs w:val="1"/>
                <w:color w:val="auto"/>
              </w:rPr>
            </w:pPr>
          </w:p>
        </w:tc>
      </w:tr>
      <w:tr>
        <w:trPr>
          <w:trHeight w:val="21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floating rate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799,257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172,386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168,899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Allowance for loan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1,084,257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222,232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218,745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discounts, premiums, original issue discounts and deferred origination fees.</w:t>
      </w:r>
    </w:p>
    <w:p>
      <w:pPr>
        <w:spacing w:after="0" w:line="1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contractual maturity, excluding any extension options to the extent they have not been exercised as of the date of this filing.</w:t>
      </w:r>
    </w:p>
    <w:p>
      <w:pPr>
        <w:spacing w:after="0" w:line="11" w:lineRule="exact"/>
        <w:rPr>
          <w:rFonts w:ascii="Times New Roman" w:cs="Times New Roman" w:eastAsia="Times New Roman" w:hAnsi="Times New Roman"/>
          <w:sz w:val="14"/>
          <w:szCs w:val="14"/>
          <w:color w:val="auto"/>
        </w:rPr>
      </w:pPr>
    </w:p>
    <w:p>
      <w:pPr>
        <w:ind w:left="420" w:hanging="412"/>
        <w:spacing w:after="0" w:line="261" w:lineRule="auto"/>
        <w:tabs>
          <w:tab w:leader="none" w:pos="4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a $12.0 million participation that was sold and did not meet the conditions for sale accounting. That participation is included in Other assets and Other liabilities on the consolidated balance sheets as a result.</w:t>
      </w:r>
    </w:p>
    <w:p>
      <w:pPr>
        <w:jc w:val="both"/>
        <w:ind w:left="420" w:hanging="412"/>
        <w:spacing w:after="0" w:line="254" w:lineRule="auto"/>
        <w:tabs>
          <w:tab w:leader="none" w:pos="4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went into default and was put on non-accrual in June 2020 and remains on non-accrual as of March 31, 2024. No investment income has been recognized subsequent to it being put on non-accrual. In the first quarter of 2023, the Company fully reserved the balance of the investment. Additionally, we determined the borrower entity to be a VIE, in which we are not the primary beneficiary.</w:t>
      </w:r>
    </w:p>
    <w:p>
      <w:pPr>
        <w:spacing w:after="0" w:line="1" w:lineRule="exact"/>
        <w:rPr>
          <w:rFonts w:ascii="Times New Roman" w:cs="Times New Roman" w:eastAsia="Times New Roman" w:hAnsi="Times New Roman"/>
          <w:sz w:val="14"/>
          <w:szCs w:val="14"/>
          <w:color w:val="auto"/>
        </w:rPr>
      </w:pPr>
    </w:p>
    <w:p>
      <w:pPr>
        <w:ind w:left="420" w:hanging="412"/>
        <w:spacing w:after="0" w:line="261" w:lineRule="auto"/>
        <w:tabs>
          <w:tab w:leader="none" w:pos="4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went into default and was put on non-accrual in January 2023 and remains on non-accrual as of March 31, 2024. No investment income has been recognized subsequent to it being put on non-accrual. The Company is in discussions with the borrower with respect to the loan.</w:t>
      </w:r>
    </w:p>
    <w:p>
      <w:pPr>
        <w:ind w:left="400" w:hanging="392"/>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Equity Investments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we held the following preferred equity investment with an aggregate weighted average current yield of 6.55% as of March 31, 2024 (dollars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 2024 Senior</w:t>
            </w:r>
          </w:p>
        </w:tc>
        <w:tc>
          <w:tcPr>
            <w:tcW w:w="160" w:type="dxa"/>
            <w:vAlign w:val="bottom"/>
          </w:tcPr>
          <w:p>
            <w:pPr>
              <w:spacing w:after="0"/>
              <w:rPr>
                <w:sz w:val="16"/>
                <w:szCs w:val="16"/>
                <w:color w:val="auto"/>
              </w:rPr>
            </w:pPr>
          </w:p>
        </w:tc>
        <w:tc>
          <w:tcPr>
            <w:tcW w:w="1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6"/>
                <w:szCs w:val="16"/>
                <w:color w:val="auto"/>
              </w:rPr>
            </w:pPr>
          </w:p>
        </w:tc>
        <w:tc>
          <w:tcPr>
            <w:tcW w:w="1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Mandatory</w:t>
            </w:r>
          </w:p>
        </w:tc>
        <w:tc>
          <w:tcPr>
            <w:tcW w:w="0" w:type="dxa"/>
            <w:vAlign w:val="bottom"/>
          </w:tcPr>
          <w:p>
            <w:pPr>
              <w:spacing w:after="0"/>
              <w:rPr>
                <w:sz w:val="1"/>
                <w:szCs w:val="1"/>
                <w:color w:val="auto"/>
              </w:rPr>
            </w:pPr>
          </w:p>
        </w:tc>
      </w:tr>
      <w:tr>
        <w:trPr>
          <w:trHeight w:val="162"/>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50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20" w:type="dxa"/>
            <w:vAlign w:val="bottom"/>
            <w:gridSpan w:val="2"/>
            <w:vMerge w:val="continue"/>
          </w:tcPr>
          <w:p>
            <w:pPr>
              <w:spacing w:after="0"/>
              <w:rPr>
                <w:sz w:val="18"/>
                <w:szCs w:val="18"/>
                <w:color w:val="auto"/>
              </w:rPr>
            </w:pPr>
          </w:p>
        </w:tc>
        <w:tc>
          <w:tcPr>
            <w:tcW w:w="150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Carrying Value </w:t>
            </w:r>
            <w:r>
              <w:rPr>
                <w:rFonts w:ascii="Times New Roman" w:cs="Times New Roman" w:eastAsia="Times New Roman" w:hAnsi="Times New Roman"/>
                <w:sz w:val="21"/>
                <w:szCs w:val="21"/>
                <w:b w:val="1"/>
                <w:bCs w:val="1"/>
                <w:color w:val="auto"/>
                <w:w w:val="97"/>
                <w:vertAlign w:val="superscript"/>
              </w:rPr>
              <w:t>(1)</w:t>
            </w:r>
          </w:p>
        </w:tc>
        <w:tc>
          <w:tcPr>
            <w:tcW w:w="140" w:type="dxa"/>
            <w:vAlign w:val="bottom"/>
          </w:tcPr>
          <w:p>
            <w:pPr>
              <w:spacing w:after="0"/>
              <w:rPr>
                <w:sz w:val="18"/>
                <w:szCs w:val="18"/>
                <w:color w:val="auto"/>
              </w:rPr>
            </w:pPr>
          </w:p>
        </w:tc>
        <w:tc>
          <w:tcPr>
            <w:tcW w:w="1560" w:type="dxa"/>
            <w:vAlign w:val="bottom"/>
          </w:tcPr>
          <w:p>
            <w:pPr>
              <w:jc w:val="right"/>
              <w:ind w:right="15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14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Redemption </w:t>
            </w:r>
            <w:r>
              <w:rPr>
                <w:rFonts w:ascii="Times New Roman" w:cs="Times New Roman" w:eastAsia="Times New Roman" w:hAnsi="Times New Roman"/>
                <w:sz w:val="21"/>
                <w:szCs w:val="21"/>
                <w:b w:val="1"/>
                <w:bCs w:val="1"/>
                <w:color w:val="auto"/>
                <w:w w:val="98"/>
                <w:vertAlign w:val="superscript"/>
              </w:rPr>
              <w:t>(2)</w:t>
            </w:r>
          </w:p>
        </w:tc>
        <w:tc>
          <w:tcPr>
            <w:tcW w:w="0" w:type="dxa"/>
            <w:vAlign w:val="bottom"/>
          </w:tcPr>
          <w:p>
            <w:pPr>
              <w:spacing w:after="0"/>
              <w:rPr>
                <w:sz w:val="1"/>
                <w:szCs w:val="1"/>
                <w:color w:val="auto"/>
              </w:rPr>
            </w:pPr>
          </w:p>
        </w:tc>
      </w:tr>
      <w:tr>
        <w:trPr>
          <w:trHeight w:val="209"/>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Equity</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130,115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February 2027</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Allowance for loan loss</w:t>
            </w:r>
          </w:p>
        </w:tc>
        <w:tc>
          <w:tcPr>
            <w:tcW w:w="1500" w:type="dxa"/>
            <w:vAlign w:val="bottom"/>
            <w:tcBorders>
              <w:bottom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130,115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deferred origination fees.</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contractual redemption, excluding any unexercised extension options.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Joint Ventures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have investments in several real estate joint ventures with various partners. As of March 31, 2024, the book value of these investments was $3.0 billion, net of investments with negative book values totaling $144.6 million for which we have an implicit commitment to fund future capital needs.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800 Third Avenue and 625 Madison Avenue are VIEs in which we are not the primary beneficiary. Our net equity investment in these VIEs was $407.5 million and $437.9 million as of March 31, 2024 and December 31, 2023, respectively. Our maximum loss is limited to the amount of our equity investment in these VIEs. See the "Principles of Consolidation" section of Note 2, "Significant Accounting Policies." All other investments below are voting interest entities. As we do not control the joint ventures listed below, we account for them under the equity method of accounting.</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general information on each of our joint ventures as of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162"/>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5540" w:type="dxa"/>
            <w:vAlign w:val="bottom"/>
            <w:vMerge w:val="restart"/>
          </w:tcPr>
          <w:p>
            <w:pPr>
              <w:ind w:left="2660"/>
              <w:spacing w:after="0"/>
              <w:rPr>
                <w:sz w:val="20"/>
                <w:szCs w:val="20"/>
                <w:color w:val="auto"/>
              </w:rPr>
            </w:pPr>
            <w:r>
              <w:rPr>
                <w:rFonts w:ascii="Times New Roman" w:cs="Times New Roman" w:eastAsia="Times New Roman" w:hAnsi="Times New Roman"/>
                <w:sz w:val="16"/>
                <w:szCs w:val="16"/>
                <w:b w:val="1"/>
                <w:bCs w:val="1"/>
                <w:color w:val="auto"/>
              </w:rPr>
              <w:t>Partner</w:t>
            </w:r>
          </w:p>
        </w:tc>
        <w:tc>
          <w:tcPr>
            <w:tcW w:w="11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216"/>
        </w:trPr>
        <w:tc>
          <w:tcPr>
            <w:tcW w:w="2000" w:type="dxa"/>
            <w:vAlign w:val="bottom"/>
            <w:tcBorders>
              <w:bottom w:val="single" w:sz="8" w:color="auto"/>
            </w:tcBorders>
            <w:gridSpan w:val="2"/>
            <w:vMerge w:val="continue"/>
          </w:tcPr>
          <w:p>
            <w:pPr>
              <w:spacing w:after="0"/>
              <w:rPr>
                <w:sz w:val="18"/>
                <w:szCs w:val="18"/>
                <w:color w:val="auto"/>
              </w:rPr>
            </w:pPr>
          </w:p>
        </w:tc>
        <w:tc>
          <w:tcPr>
            <w:tcW w:w="55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Interest </w:t>
            </w:r>
            <w:r>
              <w:rPr>
                <w:rFonts w:ascii="Times New Roman" w:cs="Times New Roman" w:eastAsia="Times New Roman" w:hAnsi="Times New Roman"/>
                <w:sz w:val="21"/>
                <w:szCs w:val="21"/>
                <w:b w:val="1"/>
                <w:bCs w:val="1"/>
                <w:color w:val="auto"/>
                <w:w w:val="94"/>
                <w:vertAlign w:val="superscript"/>
              </w:rPr>
              <w:t>(1)</w:t>
            </w:r>
          </w:p>
        </w:tc>
        <w:tc>
          <w:tcPr>
            <w:tcW w:w="11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Interest </w:t>
            </w:r>
            <w:r>
              <w:rPr>
                <w:rFonts w:ascii="Times New Roman" w:cs="Times New Roman" w:eastAsia="Times New Roman" w:hAnsi="Times New Roman"/>
                <w:sz w:val="21"/>
                <w:szCs w:val="21"/>
                <w:b w:val="1"/>
                <w:bCs w:val="1"/>
                <w:color w:val="auto"/>
                <w:w w:val="94"/>
                <w:vertAlign w:val="superscript"/>
              </w:rPr>
              <w:t>(1)</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0" w:type="dxa"/>
            <w:vAlign w:val="bottom"/>
          </w:tcPr>
          <w:p>
            <w:pPr>
              <w:spacing w:after="0"/>
              <w:rPr>
                <w:sz w:val="1"/>
                <w:szCs w:val="1"/>
                <w:color w:val="auto"/>
              </w:rPr>
            </w:pPr>
          </w:p>
        </w:tc>
      </w:tr>
      <w:tr>
        <w:trPr>
          <w:trHeight w:val="210"/>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100</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Prudential Real Estate Investors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49.90%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49.90%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834,000</w:t>
            </w:r>
          </w:p>
        </w:tc>
        <w:tc>
          <w:tcPr>
            <w:tcW w:w="0" w:type="dxa"/>
            <w:vAlign w:val="bottom"/>
          </w:tcPr>
          <w:p>
            <w:pPr>
              <w:spacing w:after="0"/>
              <w:rPr>
                <w:sz w:val="1"/>
                <w:szCs w:val="1"/>
                <w:color w:val="auto"/>
              </w:rPr>
            </w:pPr>
          </w:p>
        </w:tc>
      </w:tr>
      <w:tr>
        <w:trPr>
          <w:trHeight w:val="213"/>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800</w:t>
            </w:r>
          </w:p>
        </w:tc>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Third Avenue</w:t>
            </w:r>
          </w:p>
        </w:tc>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Private Investors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60.52%</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60.52%</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526,000</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919</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Avenue</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New York State Teacher's Retirement System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51.00%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1,454,000</w:t>
            </w:r>
          </w:p>
        </w:tc>
        <w:tc>
          <w:tcPr>
            <w:tcW w:w="0" w:type="dxa"/>
            <w:vAlign w:val="bottom"/>
          </w:tcPr>
          <w:p>
            <w:pPr>
              <w:spacing w:after="0"/>
              <w:rPr>
                <w:sz w:val="1"/>
                <w:szCs w:val="1"/>
                <w:color w:val="auto"/>
              </w:rPr>
            </w:pPr>
          </w:p>
        </w:tc>
      </w:tr>
      <w:tr>
        <w:trPr>
          <w:trHeight w:val="216"/>
        </w:trPr>
        <w:tc>
          <w:tcPr>
            <w:tcW w:w="2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11 West 34th Street </w:t>
            </w:r>
            <w:r>
              <w:rPr>
                <w:rFonts w:ascii="Times New Roman" w:cs="Times New Roman" w:eastAsia="Times New Roman" w:hAnsi="Times New Roman"/>
                <w:sz w:val="21"/>
                <w:szCs w:val="21"/>
                <w:color w:val="auto"/>
                <w:vertAlign w:val="superscript"/>
              </w:rPr>
              <w:t>(2)</w:t>
            </w:r>
          </w:p>
        </w:tc>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Private Investor / Wharton Properties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280</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Vornado Realty Trust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1,219,158</w:t>
            </w:r>
          </w:p>
        </w:tc>
        <w:tc>
          <w:tcPr>
            <w:tcW w:w="0" w:type="dxa"/>
            <w:vAlign w:val="bottom"/>
          </w:tcPr>
          <w:p>
            <w:pPr>
              <w:spacing w:after="0"/>
              <w:rPr>
                <w:sz w:val="1"/>
                <w:szCs w:val="1"/>
                <w:color w:val="auto"/>
              </w:rPr>
            </w:pPr>
          </w:p>
        </w:tc>
      </w:tr>
      <w:tr>
        <w:trPr>
          <w:trHeight w:val="216"/>
        </w:trPr>
        <w:tc>
          <w:tcPr>
            <w:tcW w:w="2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1552-1560 Broadway </w:t>
            </w:r>
            <w:r>
              <w:rPr>
                <w:rFonts w:ascii="Times New Roman" w:cs="Times New Roman" w:eastAsia="Times New Roman" w:hAnsi="Times New Roman"/>
                <w:sz w:val="21"/>
                <w:szCs w:val="21"/>
                <w:color w:val="auto"/>
                <w:vertAlign w:val="superscript"/>
              </w:rPr>
              <w:t>(2) (3)</w:t>
            </w:r>
          </w:p>
        </w:tc>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Wharton Properties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57,718</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650</w:t>
            </w:r>
          </w:p>
        </w:tc>
        <w:tc>
          <w:tcPr>
            <w:tcW w:w="17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Fifth Avenue </w:t>
            </w:r>
            <w:r>
              <w:rPr>
                <w:rFonts w:ascii="Times New Roman" w:cs="Times New Roman" w:eastAsia="Times New Roman" w:hAnsi="Times New Roman"/>
                <w:sz w:val="21"/>
                <w:szCs w:val="21"/>
                <w:color w:val="auto"/>
                <w:vertAlign w:val="superscript"/>
              </w:rPr>
              <w:t>(2) (4)</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Wharton Properties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69,214</w:t>
            </w:r>
          </w:p>
        </w:tc>
        <w:tc>
          <w:tcPr>
            <w:tcW w:w="0" w:type="dxa"/>
            <w:vAlign w:val="bottom"/>
          </w:tcPr>
          <w:p>
            <w:pPr>
              <w:spacing w:after="0"/>
              <w:rPr>
                <w:sz w:val="1"/>
                <w:szCs w:val="1"/>
                <w:color w:val="auto"/>
              </w:rPr>
            </w:pPr>
          </w:p>
        </w:tc>
      </w:tr>
      <w:tr>
        <w:trPr>
          <w:trHeight w:val="21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 Madison Avenue</w:t>
            </w:r>
          </w:p>
        </w:tc>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PGIM Real Estate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2,314,000</w:t>
            </w:r>
          </w:p>
        </w:tc>
        <w:tc>
          <w:tcPr>
            <w:tcW w:w="0" w:type="dxa"/>
            <w:vAlign w:val="bottom"/>
          </w:tcPr>
          <w:p>
            <w:pPr>
              <w:spacing w:after="0"/>
              <w:rPr>
                <w:sz w:val="1"/>
                <w:szCs w:val="1"/>
                <w:color w:val="auto"/>
              </w:rPr>
            </w:pPr>
          </w:p>
        </w:tc>
      </w:tr>
      <w:tr>
        <w:trPr>
          <w:trHeight w:val="21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Vanderbilt Avenue</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National Pension Service of Korea / Hines Interest LP</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71.01%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71.01%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1,657,198</w:t>
            </w:r>
          </w:p>
        </w:tc>
        <w:tc>
          <w:tcPr>
            <w:tcW w:w="0" w:type="dxa"/>
            <w:vAlign w:val="bottom"/>
          </w:tcPr>
          <w:p>
            <w:pPr>
              <w:spacing w:after="0"/>
              <w:rPr>
                <w:sz w:val="1"/>
                <w:szCs w:val="1"/>
                <w:color w:val="auto"/>
              </w:rPr>
            </w:pPr>
          </w:p>
        </w:tc>
      </w:tr>
      <w:tr>
        <w:trPr>
          <w:trHeight w:val="216"/>
        </w:trPr>
        <w:tc>
          <w:tcPr>
            <w:tcW w:w="2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Worldwide Plaza </w:t>
            </w:r>
            <w:r>
              <w:rPr>
                <w:rFonts w:ascii="Times New Roman" w:cs="Times New Roman" w:eastAsia="Times New Roman" w:hAnsi="Times New Roman"/>
                <w:sz w:val="21"/>
                <w:szCs w:val="21"/>
                <w:color w:val="auto"/>
                <w:vertAlign w:val="superscript"/>
              </w:rPr>
              <w:t>(2)</w:t>
            </w:r>
          </w:p>
        </w:tc>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RXR Realty / New York REIT</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24.95%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24.95%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2,048,725</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1515 Broadway</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Allianz Real Estate of America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56.87%</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56.87%</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1,750,000</w:t>
            </w:r>
          </w:p>
        </w:tc>
        <w:tc>
          <w:tcPr>
            <w:tcW w:w="0" w:type="dxa"/>
            <w:vAlign w:val="bottom"/>
          </w:tcPr>
          <w:p>
            <w:pPr>
              <w:spacing w:after="0"/>
              <w:rPr>
                <w:sz w:val="1"/>
                <w:szCs w:val="1"/>
                <w:color w:val="auto"/>
              </w:rPr>
            </w:pPr>
          </w:p>
        </w:tc>
      </w:tr>
      <w:tr>
        <w:trPr>
          <w:trHeight w:val="216"/>
        </w:trPr>
        <w:tc>
          <w:tcPr>
            <w:tcW w:w="2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2 Herald Square </w:t>
            </w:r>
            <w:r>
              <w:rPr>
                <w:rFonts w:ascii="Times New Roman" w:cs="Times New Roman" w:eastAsia="Times New Roman" w:hAnsi="Times New Roman"/>
                <w:sz w:val="21"/>
                <w:szCs w:val="21"/>
                <w:color w:val="auto"/>
                <w:vertAlign w:val="superscript"/>
              </w:rPr>
              <w:t>(2) (5)</w:t>
            </w:r>
          </w:p>
        </w:tc>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Israeli Institutional Investor</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95.00%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95.00%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369,000</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115 Spring Street </w:t>
            </w:r>
            <w:r>
              <w:rPr>
                <w:rFonts w:ascii="Times New Roman" w:cs="Times New Roman" w:eastAsia="Times New Roman" w:hAnsi="Times New Roman"/>
                <w:sz w:val="21"/>
                <w:szCs w:val="21"/>
                <w:color w:val="auto"/>
                <w:vertAlign w:val="superscript"/>
              </w:rPr>
              <w:t>(2)</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Private Investor</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51.00%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0" w:type="dxa"/>
            <w:vAlign w:val="bottom"/>
          </w:tcPr>
          <w:p>
            <w:pPr>
              <w:spacing w:after="0"/>
              <w:rPr>
                <w:sz w:val="1"/>
                <w:szCs w:val="1"/>
                <w:color w:val="auto"/>
              </w:rPr>
            </w:pPr>
          </w:p>
        </w:tc>
      </w:tr>
      <w:tr>
        <w:trPr>
          <w:trHeight w:val="216"/>
        </w:trPr>
        <w:tc>
          <w:tcPr>
            <w:tcW w:w="2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15 Beekman </w:t>
            </w:r>
            <w:r>
              <w:rPr>
                <w:rFonts w:ascii="Times New Roman" w:cs="Times New Roman" w:eastAsia="Times New Roman" w:hAnsi="Times New Roman"/>
                <w:sz w:val="21"/>
                <w:szCs w:val="21"/>
                <w:color w:val="auto"/>
                <w:vertAlign w:val="superscript"/>
              </w:rPr>
              <w:t>(6)</w:t>
            </w:r>
          </w:p>
        </w:tc>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 fund managed by Meritz Alternative Investment Management</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221,884</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85 Fifth Avenue</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Wells Fargo</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36.27%</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36.27%</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12,946</w:t>
            </w:r>
          </w:p>
        </w:tc>
        <w:tc>
          <w:tcPr>
            <w:tcW w:w="0" w:type="dxa"/>
            <w:vAlign w:val="bottom"/>
          </w:tcPr>
          <w:p>
            <w:pPr>
              <w:spacing w:after="0"/>
              <w:rPr>
                <w:sz w:val="1"/>
                <w:szCs w:val="1"/>
                <w:color w:val="auto"/>
              </w:rPr>
            </w:pPr>
          </w:p>
        </w:tc>
      </w:tr>
      <w:tr>
        <w:trPr>
          <w:trHeight w:val="216"/>
        </w:trPr>
        <w:tc>
          <w:tcPr>
            <w:tcW w:w="2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One Madison Avenue </w:t>
            </w:r>
            <w:r>
              <w:rPr>
                <w:rFonts w:ascii="Times New Roman" w:cs="Times New Roman" w:eastAsia="Times New Roman" w:hAnsi="Times New Roman"/>
                <w:sz w:val="21"/>
                <w:szCs w:val="21"/>
                <w:color w:val="auto"/>
                <w:vertAlign w:val="superscript"/>
              </w:rPr>
              <w:t>(7)</w:t>
            </w:r>
          </w:p>
        </w:tc>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National Pension Service of Korea / Hines Interest LP / International Investor</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25.50%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25.50%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1,048,700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220</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42nd Street</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 fund managed by Meritz Alternative Investment Management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51.00%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1,135,000</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450</w:t>
            </w:r>
          </w:p>
        </w:tc>
        <w:tc>
          <w:tcPr>
            <w:tcW w:w="17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Park Avenue </w:t>
            </w:r>
            <w:r>
              <w:rPr>
                <w:rFonts w:ascii="Times New Roman" w:cs="Times New Roman" w:eastAsia="Times New Roman" w:hAnsi="Times New Roman"/>
                <w:sz w:val="21"/>
                <w:szCs w:val="21"/>
                <w:color w:val="auto"/>
                <w:vertAlign w:val="superscript"/>
              </w:rPr>
              <w:t>(8)</w:t>
            </w:r>
          </w:p>
        </w:tc>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Korean Institutional Investor / Israeli Institutional Investor</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50.10%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25.10%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337,000</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5 Times Square </w:t>
            </w:r>
            <w:r>
              <w:rPr>
                <w:rFonts w:ascii="Times New Roman" w:cs="Times New Roman" w:eastAsia="Times New Roman" w:hAnsi="Times New Roman"/>
                <w:sz w:val="21"/>
                <w:szCs w:val="21"/>
                <w:color w:val="auto"/>
                <w:vertAlign w:val="superscript"/>
              </w:rPr>
              <w:t>(2)</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RXR Realty led investment group</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31.55%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31.55%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1,131,735</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17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Park Avenue </w:t>
            </w:r>
            <w:r>
              <w:rPr>
                <w:rFonts w:ascii="Times New Roman" w:cs="Times New Roman" w:eastAsia="Times New Roman" w:hAnsi="Times New Roman"/>
                <w:sz w:val="21"/>
                <w:szCs w:val="21"/>
                <w:color w:val="auto"/>
                <w:vertAlign w:val="superscript"/>
              </w:rPr>
              <w:t>(9)</w:t>
            </w:r>
          </w:p>
        </w:tc>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Affiliate of Mori Trust Co., Ltd</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50.10%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50.10%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1,782,793</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625</w:t>
            </w:r>
          </w:p>
        </w:tc>
        <w:tc>
          <w:tcPr>
            <w:tcW w:w="17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Madison Avenue </w:t>
            </w:r>
            <w:r>
              <w:rPr>
                <w:rFonts w:ascii="Times New Roman" w:cs="Times New Roman" w:eastAsia="Times New Roman" w:hAnsi="Times New Roman"/>
                <w:sz w:val="21"/>
                <w:szCs w:val="21"/>
                <w:color w:val="auto"/>
                <w:vertAlign w:val="superscript"/>
              </w:rPr>
              <w:t>(10)</w:t>
            </w:r>
          </w:p>
        </w:tc>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Private Investor</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90.43%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90.43%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20" w:hanging="412"/>
        <w:spacing w:after="0" w:line="261" w:lineRule="auto"/>
        <w:tabs>
          <w:tab w:leader="none" w:pos="4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interest and economic interest represent the Company's interests in the joint venture as of March 31, 2024. Changes in ownership or economic interests within the current year are disclosed in the notes below.</w:t>
      </w:r>
    </w:p>
    <w:p>
      <w:pPr>
        <w:ind w:left="400" w:hanging="392"/>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joint venture owns a long-term leasehold interest in the retail space and certain other spaces at 1560 Broadway, which is adjacent to 1552 Broadway.</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joint venture owns a long-term leasehold interest in the retail space at 650 Fifth Avenue.</w:t>
      </w:r>
    </w:p>
    <w:p>
      <w:pPr>
        <w:spacing w:after="0" w:line="14" w:lineRule="exact"/>
        <w:rPr>
          <w:rFonts w:ascii="Times New Roman" w:cs="Times New Roman" w:eastAsia="Times New Roman" w:hAnsi="Times New Roman"/>
          <w:sz w:val="14"/>
          <w:szCs w:val="14"/>
          <w:color w:val="auto"/>
        </w:rPr>
      </w:pPr>
    </w:p>
    <w:p>
      <w:pPr>
        <w:ind w:left="420" w:hanging="412"/>
        <w:spacing w:after="0" w:line="251" w:lineRule="auto"/>
        <w:tabs>
          <w:tab w:leader="none" w:pos="4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the Company closed on the acquisition of interests in the joint venture that owns the leasehold interest for no consideration, which increases the Company's interest in the joint venture to 95.0%.</w:t>
      </w:r>
    </w:p>
    <w:p>
      <w:pPr>
        <w:ind w:left="400" w:hanging="392"/>
        <w:spacing w:after="0"/>
        <w:tabs>
          <w:tab w:leader="none" w:pos="4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2020, the Company formed a joint venture, which then entered into a long-term sublease with the Company.</w:t>
      </w:r>
    </w:p>
    <w:p>
      <w:pPr>
        <w:spacing w:after="0" w:line="14" w:lineRule="exact"/>
        <w:rPr>
          <w:rFonts w:ascii="Times New Roman" w:cs="Times New Roman" w:eastAsia="Times New Roman" w:hAnsi="Times New Roman"/>
          <w:sz w:val="14"/>
          <w:szCs w:val="14"/>
          <w:color w:val="auto"/>
        </w:rPr>
      </w:pPr>
    </w:p>
    <w:p>
      <w:pPr>
        <w:jc w:val="both"/>
        <w:ind w:left="420" w:hanging="412"/>
        <w:spacing w:after="0" w:line="256" w:lineRule="auto"/>
        <w:tabs>
          <w:tab w:leader="none" w:pos="4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the Company admitted an additional partner to the development project with the partner's indirect ownership in the joint venture totaling 25.0%. The transaction did not meet sale accounting under ASC 860 and, as a result, was treated as a secured borrowing for accounting purposes and is included in Other liabilities in our consolidated balance sheets at March 31, 2024 and December 31, 2023.</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60" w:lineRule="auto"/>
        <w:tabs>
          <w:tab w:leader="none" w:pos="4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50.1% ownership interest reflected in this table is comprised of our 25.1% economic interest and a 25.0% economic interest held by a third-party. The third-party's economic interest is held within a joint venture that we consolidate and recognize in Noncontrolling interests in other partnerships on our consolidated balance sheet. An additional third-party owns the remaining 49.9% economic interest in the property.</w:t>
      </w:r>
    </w:p>
    <w:p>
      <w:pPr>
        <w:jc w:val="both"/>
        <w:ind w:left="420" w:hanging="412"/>
        <w:spacing w:after="0" w:line="262" w:lineRule="auto"/>
        <w:tabs>
          <w:tab w:leader="none" w:pos="4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the Company sold a 49.9% interest, which resulted in the Company no longer retaining a controlling interest in the entity, as defined in ASC 810, and deconsolidation of the 50.1% interest we retained. We recorded our investment at fair value which resulted in the recognition of a fair value adjustment of ($17.0 million) during the year ended December 31, 2023. The fair value of our investment was determined by the terms of the joint venture agreement.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4" w:lineRule="exact"/>
        <w:rPr>
          <w:sz w:val="20"/>
          <w:szCs w:val="20"/>
          <w:color w:val="auto"/>
        </w:rPr>
      </w:pPr>
    </w:p>
    <w:p>
      <w:pPr>
        <w:jc w:val="both"/>
        <w:ind w:left="420" w:hanging="412"/>
        <w:spacing w:after="0" w:line="266" w:lineRule="auto"/>
        <w:tabs>
          <w:tab w:leader="none" w:pos="41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2023, following a UCC foreclosure, the Company converted its previous mezzanine debt investments in the fee interest to a 90.43% ownership interest. In December 2023, together with its joint venture partner, the Company entered into a contract to sell the fee ownership in the property. In connection with this contract, the Company recorded a charge of $23.1 million for the year ended December 31, 2023. As of March 31, 2024, the transaction has not closed and the Company recorded an additional charge of $5.9 million for capital contributions required during the quarter, which is included in Depreciable real estate reserves and impairments in the consolidated statements of operations. This transaction is expected to close in the second quarter of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Joint Venture Interests or Properties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investments in unconsolidated joint ventures sold during the three months ended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Ownership Interest Sold</w:t>
            </w: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Disposition Date</w:t>
            </w:r>
          </w:p>
        </w:tc>
        <w:tc>
          <w:tcPr>
            <w:tcW w:w="100" w:type="dxa"/>
            <w:vAlign w:val="bottom"/>
          </w:tcPr>
          <w:p>
            <w:pPr>
              <w:spacing w:after="0"/>
              <w:rPr>
                <w:sz w:val="16"/>
                <w:szCs w:val="16"/>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Asset Valuation (in</w:t>
            </w:r>
          </w:p>
        </w:tc>
        <w:tc>
          <w:tcPr>
            <w:tcW w:w="2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Gain on Sale (in millions)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16"/>
        </w:trPr>
        <w:tc>
          <w:tcPr>
            <w:tcW w:w="312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717 Fifth Avenue</w:t>
            </w:r>
          </w:p>
        </w:tc>
        <w:tc>
          <w:tcPr>
            <w:tcW w:w="2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10.92%</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2024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share of the gain.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 Mortgages and Other Loans Payable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generally finance our joint ventures with non-recourse debt. In certain cases, we may provide guarantees or master leases, which terminate upon the satisfaction of specified circumstances or repayment of the underlying loans. The mortgage notes and other loans payable collateralized by the respective joint venture properties and assignment of leases as of March 31, 2024 and December 31, 2023, respectively,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220" w:type="dxa"/>
            <w:vAlign w:val="bottom"/>
          </w:tcPr>
          <w:p>
            <w:pPr>
              <w:spacing w:after="0"/>
              <w:rPr>
                <w:sz w:val="16"/>
                <w:szCs w:val="16"/>
                <w:color w:val="auto"/>
              </w:rPr>
            </w:pP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Current Maturity</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7"/>
                <w:szCs w:val="17"/>
                <w:color w:val="auto"/>
              </w:rPr>
            </w:pPr>
          </w:p>
        </w:tc>
        <w:tc>
          <w:tcPr>
            <w:tcW w:w="20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7"/>
                <w:szCs w:val="17"/>
                <w:color w:val="auto"/>
              </w:rPr>
            </w:pPr>
          </w:p>
        </w:tc>
        <w:tc>
          <w:tcPr>
            <w:tcW w:w="194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8"/>
                <w:szCs w:val="18"/>
                <w:b w:val="1"/>
                <w:bCs w:val="1"/>
                <w:color w:val="auto"/>
                <w:vertAlign w:val="superscript"/>
              </w:rPr>
              <w:t>(1)</w:t>
            </w:r>
          </w:p>
        </w:tc>
        <w:tc>
          <w:tcPr>
            <w:tcW w:w="1480" w:type="dxa"/>
            <w:vAlign w:val="bottom"/>
            <w:vMerge w:val="restart"/>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 xml:space="preserve">Date </w:t>
            </w:r>
            <w:r>
              <w:rPr>
                <w:rFonts w:ascii="Times New Roman" w:cs="Times New Roman" w:eastAsia="Times New Roman" w:hAnsi="Times New Roman"/>
                <w:sz w:val="18"/>
                <w:szCs w:val="18"/>
                <w:b w:val="1"/>
                <w:bCs w:val="1"/>
                <w:color w:val="auto"/>
                <w:w w:val="92"/>
                <w:vertAlign w:val="superscript"/>
              </w:rPr>
              <w:t>(2)</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 xml:space="preserve">Rate </w:t>
            </w:r>
            <w:r>
              <w:rPr>
                <w:rFonts w:ascii="Times New Roman" w:cs="Times New Roman" w:eastAsia="Times New Roman" w:hAnsi="Times New Roman"/>
                <w:sz w:val="18"/>
                <w:szCs w:val="18"/>
                <w:b w:val="1"/>
                <w:bCs w:val="1"/>
                <w:color w:val="auto"/>
                <w:w w:val="96"/>
                <w:vertAlign w:val="superscript"/>
              </w:rPr>
              <w:t>(3)</w:t>
            </w: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2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SLG Share</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SLG Share</w:t>
            </w:r>
          </w:p>
        </w:tc>
        <w:tc>
          <w:tcPr>
            <w:tcW w:w="0" w:type="dxa"/>
            <w:vAlign w:val="bottom"/>
          </w:tcPr>
          <w:p>
            <w:pPr>
              <w:spacing w:after="0"/>
              <w:rPr>
                <w:sz w:val="1"/>
                <w:szCs w:val="1"/>
                <w:color w:val="auto"/>
              </w:rPr>
            </w:pPr>
          </w:p>
        </w:tc>
      </w:tr>
      <w:tr>
        <w:trPr>
          <w:trHeight w:val="196"/>
        </w:trPr>
        <w:tc>
          <w:tcPr>
            <w:tcW w:w="1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Fixed Rate Debt:</w:t>
            </w:r>
          </w:p>
        </w:tc>
        <w:tc>
          <w:tcPr>
            <w:tcW w:w="10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220</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42nd Street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51.00 %</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June 2024</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June 2025</w:t>
            </w:r>
          </w:p>
        </w:tc>
        <w:tc>
          <w:tcPr>
            <w:tcW w:w="36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505,412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257,760</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505,412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257,760</w:t>
            </w:r>
          </w:p>
        </w:tc>
        <w:tc>
          <w:tcPr>
            <w:tcW w:w="0" w:type="dxa"/>
            <w:vAlign w:val="bottom"/>
          </w:tcPr>
          <w:p>
            <w:pPr>
              <w:spacing w:after="0"/>
              <w:rPr>
                <w:sz w:val="1"/>
                <w:szCs w:val="1"/>
                <w:color w:val="auto"/>
              </w:rPr>
            </w:pPr>
          </w:p>
        </w:tc>
      </w:tr>
      <w:tr>
        <w:trPr>
          <w:trHeight w:val="209"/>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650</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Fifth Avenue </w:t>
            </w:r>
            <w:r>
              <w:rPr>
                <w:rFonts w:ascii="Times New Roman" w:cs="Times New Roman" w:eastAsia="Times New Roman" w:hAnsi="Times New Roman"/>
                <w:sz w:val="18"/>
                <w:szCs w:val="18"/>
                <w:color w:val="auto"/>
                <w:vertAlign w:val="superscript"/>
              </w:rPr>
              <w:t>(4)</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50.00 %</w:t>
            </w:r>
          </w:p>
        </w:tc>
        <w:tc>
          <w:tcPr>
            <w:tcW w:w="1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July 2024</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July 2024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203"/>
        </w:trPr>
        <w:tc>
          <w:tcPr>
            <w:tcW w:w="182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5 Times Square </w:t>
            </w:r>
            <w:r>
              <w:rPr>
                <w:rFonts w:ascii="Times New Roman" w:cs="Times New Roman" w:eastAsia="Times New Roman" w:hAnsi="Times New Roman"/>
                <w:sz w:val="18"/>
                <w:szCs w:val="18"/>
                <w:color w:val="auto"/>
                <w:vertAlign w:val="superscript"/>
              </w:rPr>
              <w:t>(4)</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31.55 %</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September 2024</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September 2026</w:t>
            </w:r>
          </w:p>
        </w:tc>
        <w:tc>
          <w:tcPr>
            <w:tcW w:w="36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514,897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162,450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150,740</w:t>
            </w:r>
          </w:p>
        </w:tc>
        <w:tc>
          <w:tcPr>
            <w:tcW w:w="0" w:type="dxa"/>
            <w:vAlign w:val="bottom"/>
          </w:tcPr>
          <w:p>
            <w:pPr>
              <w:spacing w:after="0"/>
              <w:rPr>
                <w:sz w:val="1"/>
                <w:szCs w:val="1"/>
                <w:color w:val="auto"/>
              </w:rPr>
            </w:pPr>
          </w:p>
        </w:tc>
      </w:tr>
      <w:tr>
        <w:trPr>
          <w:trHeight w:val="203"/>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1515 Broadway</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56.87 %</w:t>
            </w:r>
          </w:p>
        </w:tc>
        <w:tc>
          <w:tcPr>
            <w:tcW w:w="1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March 2025</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March 2025</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756,777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430,371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762,002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433,344</w:t>
            </w:r>
          </w:p>
        </w:tc>
        <w:tc>
          <w:tcPr>
            <w:tcW w:w="0" w:type="dxa"/>
            <w:vAlign w:val="bottom"/>
          </w:tcPr>
          <w:p>
            <w:pPr>
              <w:spacing w:after="0"/>
              <w:rPr>
                <w:sz w:val="1"/>
                <w:szCs w:val="1"/>
                <w:color w:val="auto"/>
              </w:rPr>
            </w:pPr>
          </w:p>
        </w:tc>
      </w:tr>
      <w:tr>
        <w:trPr>
          <w:trHeight w:val="203"/>
        </w:trPr>
        <w:tc>
          <w:tcPr>
            <w:tcW w:w="182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115 Spring Street </w:t>
            </w:r>
            <w:r>
              <w:rPr>
                <w:rFonts w:ascii="Times New Roman" w:cs="Times New Roman" w:eastAsia="Times New Roman" w:hAnsi="Times New Roman"/>
                <w:sz w:val="18"/>
                <w:szCs w:val="18"/>
                <w:color w:val="auto"/>
                <w:vertAlign w:val="superscript"/>
              </w:rPr>
              <w:t>(4)</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51.00 %</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March 2025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March 2025</w:t>
            </w:r>
          </w:p>
        </w:tc>
        <w:tc>
          <w:tcPr>
            <w:tcW w:w="36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65,550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33,431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33,431</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450</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25.10 %</w:t>
            </w:r>
          </w:p>
        </w:tc>
        <w:tc>
          <w:tcPr>
            <w:tcW w:w="1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June 2025</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June 2027</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273,616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68,678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68,120</w:t>
            </w:r>
          </w:p>
        </w:tc>
        <w:tc>
          <w:tcPr>
            <w:tcW w:w="0" w:type="dxa"/>
            <w:vAlign w:val="bottom"/>
          </w:tcPr>
          <w:p>
            <w:pPr>
              <w:spacing w:after="0"/>
              <w:rPr>
                <w:sz w:val="1"/>
                <w:szCs w:val="1"/>
                <w:color w:val="auto"/>
              </w:rPr>
            </w:pPr>
          </w:p>
        </w:tc>
      </w:tr>
      <w:tr>
        <w:trPr>
          <w:trHeight w:val="196"/>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11 Madison Avenue</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60.00 %</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September 2025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September 2025</w:t>
            </w:r>
          </w:p>
        </w:tc>
        <w:tc>
          <w:tcPr>
            <w:tcW w:w="36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840,000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0" w:type="dxa"/>
            <w:vAlign w:val="bottom"/>
          </w:tcPr>
          <w:p>
            <w:pPr>
              <w:spacing w:after="0"/>
              <w:rPr>
                <w:sz w:val="1"/>
                <w:szCs w:val="1"/>
                <w:color w:val="auto"/>
              </w:rPr>
            </w:pPr>
          </w:p>
        </w:tc>
      </w:tr>
      <w:tr>
        <w:trPr>
          <w:trHeight w:val="209"/>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One Madison Avenue </w:t>
            </w:r>
            <w:r>
              <w:rPr>
                <w:rFonts w:ascii="Times New Roman" w:cs="Times New Roman" w:eastAsia="Times New Roman" w:hAnsi="Times New Roman"/>
                <w:sz w:val="18"/>
                <w:szCs w:val="18"/>
                <w:color w:val="auto"/>
                <w:vertAlign w:val="superscript"/>
              </w:rPr>
              <w:t>(5)</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25.50 %</w:t>
            </w:r>
          </w:p>
        </w:tc>
        <w:tc>
          <w:tcPr>
            <w:tcW w:w="1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November 2025</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November 2026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769,105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196,122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186,941</w:t>
            </w:r>
          </w:p>
        </w:tc>
        <w:tc>
          <w:tcPr>
            <w:tcW w:w="0" w:type="dxa"/>
            <w:vAlign w:val="bottom"/>
          </w:tcPr>
          <w:p>
            <w:pPr>
              <w:spacing w:after="0"/>
              <w:rPr>
                <w:sz w:val="1"/>
                <w:szCs w:val="1"/>
                <w:color w:val="auto"/>
              </w:rPr>
            </w:pPr>
          </w:p>
        </w:tc>
      </w:tr>
      <w:tr>
        <w:trPr>
          <w:trHeight w:val="196"/>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15 Beekman</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20.00 %</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January 2026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January 2028</w:t>
            </w:r>
          </w:p>
        </w:tc>
        <w:tc>
          <w:tcPr>
            <w:tcW w:w="36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800</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60.52 %</w:t>
            </w:r>
          </w:p>
        </w:tc>
        <w:tc>
          <w:tcPr>
            <w:tcW w:w="1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February 2026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February 2026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177,000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107,120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107,120</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919</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51.00 %</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April 2026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April 2028</w:t>
            </w:r>
          </w:p>
        </w:tc>
        <w:tc>
          <w:tcPr>
            <w:tcW w:w="36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255,000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0" w:type="dxa"/>
            <w:vAlign w:val="bottom"/>
          </w:tcPr>
          <w:p>
            <w:pPr>
              <w:spacing w:after="0"/>
              <w:rPr>
                <w:sz w:val="1"/>
                <w:szCs w:val="1"/>
                <w:color w:val="auto"/>
              </w:rPr>
            </w:pPr>
          </w:p>
        </w:tc>
      </w:tr>
      <w:tr>
        <w:trPr>
          <w:trHeight w:val="209"/>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625</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Madison Avenue </w:t>
            </w:r>
            <w:r>
              <w:rPr>
                <w:rFonts w:ascii="Times New Roman" w:cs="Times New Roman" w:eastAsia="Times New Roman" w:hAnsi="Times New Roman"/>
                <w:sz w:val="18"/>
                <w:szCs w:val="18"/>
                <w:color w:val="auto"/>
                <w:vertAlign w:val="superscript"/>
              </w:rPr>
              <w:t>(6)</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90.43 %</w:t>
            </w:r>
          </w:p>
        </w:tc>
        <w:tc>
          <w:tcPr>
            <w:tcW w:w="1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December 2026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December 2026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182,280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180,848</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245</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50.10 %</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June 2027</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June 2027</w:t>
            </w:r>
          </w:p>
        </w:tc>
        <w:tc>
          <w:tcPr>
            <w:tcW w:w="36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1,768,000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885,768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885,768</w:t>
            </w:r>
          </w:p>
        </w:tc>
        <w:tc>
          <w:tcPr>
            <w:tcW w:w="0" w:type="dxa"/>
            <w:vAlign w:val="bottom"/>
          </w:tcPr>
          <w:p>
            <w:pPr>
              <w:spacing w:after="0"/>
              <w:rPr>
                <w:sz w:val="1"/>
                <w:szCs w:val="1"/>
                <w:color w:val="auto"/>
              </w:rPr>
            </w:pPr>
          </w:p>
        </w:tc>
      </w:tr>
      <w:tr>
        <w:trPr>
          <w:trHeight w:val="209"/>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Worldwide Plaza </w:t>
            </w:r>
            <w:r>
              <w:rPr>
                <w:rFonts w:ascii="Times New Roman" w:cs="Times New Roman" w:eastAsia="Times New Roman" w:hAnsi="Times New Roman"/>
                <w:sz w:val="18"/>
                <w:szCs w:val="18"/>
                <w:color w:val="auto"/>
                <w:vertAlign w:val="superscript"/>
              </w:rPr>
              <w:t>(4)</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24.95 %</w:t>
            </w:r>
          </w:p>
        </w:tc>
        <w:tc>
          <w:tcPr>
            <w:tcW w:w="1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November 2027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November 2027</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299,400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299,400</w:t>
            </w:r>
          </w:p>
        </w:tc>
        <w:tc>
          <w:tcPr>
            <w:tcW w:w="0" w:type="dxa"/>
            <w:vAlign w:val="bottom"/>
          </w:tcPr>
          <w:p>
            <w:pPr>
              <w:spacing w:after="0"/>
              <w:rPr>
                <w:sz w:val="1"/>
                <w:szCs w:val="1"/>
                <w:color w:val="auto"/>
              </w:rPr>
            </w:pPr>
          </w:p>
        </w:tc>
      </w:tr>
      <w:tr>
        <w:trPr>
          <w:trHeight w:val="196"/>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Vanderbilt Avenue</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71.01 %</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July 2031</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July 2031</w:t>
            </w:r>
          </w:p>
        </w:tc>
        <w:tc>
          <w:tcPr>
            <w:tcW w:w="36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2,130,300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2,130,300</w:t>
            </w:r>
          </w:p>
        </w:tc>
        <w:tc>
          <w:tcPr>
            <w:tcW w:w="0" w:type="dxa"/>
            <w:vAlign w:val="bottom"/>
          </w:tcPr>
          <w:p>
            <w:pPr>
              <w:spacing w:after="0"/>
              <w:rPr>
                <w:sz w:val="1"/>
                <w:szCs w:val="1"/>
                <w:color w:val="auto"/>
              </w:rPr>
            </w:pPr>
          </w:p>
        </w:tc>
      </w:tr>
      <w:tr>
        <w:trPr>
          <w:trHeight w:val="209"/>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 East 53rd Street</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121,000</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717</w:t>
            </w:r>
          </w:p>
        </w:tc>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Fifth Avenue</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655,328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71,536</w:t>
            </w:r>
          </w:p>
        </w:tc>
        <w:tc>
          <w:tcPr>
            <w:tcW w:w="0" w:type="dxa"/>
            <w:vAlign w:val="bottom"/>
          </w:tcPr>
          <w:p>
            <w:pPr>
              <w:spacing w:after="0"/>
              <w:rPr>
                <w:sz w:val="1"/>
                <w:szCs w:val="1"/>
                <w:color w:val="auto"/>
              </w:rPr>
            </w:pPr>
          </w:p>
        </w:tc>
      </w:tr>
      <w:tr>
        <w:trPr>
          <w:trHeight w:val="202"/>
        </w:trPr>
        <w:tc>
          <w:tcPr>
            <w:tcW w:w="18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fixed rate debt</w:t>
            </w:r>
          </w:p>
        </w:tc>
        <w:tc>
          <w:tcPr>
            <w:tcW w:w="10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11,316,927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5,905,180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12,000,559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6,053,808</w:t>
            </w:r>
          </w:p>
        </w:tc>
        <w:tc>
          <w:tcPr>
            <w:tcW w:w="0" w:type="dxa"/>
            <w:vAlign w:val="bottom"/>
          </w:tcPr>
          <w:p>
            <w:pPr>
              <w:spacing w:after="0"/>
              <w:rPr>
                <w:sz w:val="1"/>
                <w:szCs w:val="1"/>
                <w:color w:val="auto"/>
              </w:rPr>
            </w:pPr>
          </w:p>
        </w:tc>
      </w:tr>
      <w:tr>
        <w:trPr>
          <w:trHeight w:val="196"/>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11 West 34th Street </w:t>
            </w:r>
            <w:r>
              <w:rPr>
                <w:rFonts w:ascii="Times New Roman" w:cs="Times New Roman" w:eastAsia="Times New Roman" w:hAnsi="Times New Roman"/>
                <w:sz w:val="18"/>
                <w:szCs w:val="18"/>
                <w:color w:val="auto"/>
                <w:vertAlign w:val="superscript"/>
              </w:rPr>
              <w:t>(4)</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30.00 %</w:t>
            </w:r>
          </w:p>
        </w:tc>
        <w:tc>
          <w:tcPr>
            <w:tcW w:w="1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xml:space="preserve">February 2023 </w:t>
            </w:r>
            <w:r>
              <w:rPr>
                <w:rFonts w:ascii="Times New Roman" w:cs="Times New Roman" w:eastAsia="Times New Roman" w:hAnsi="Times New Roman"/>
                <w:sz w:val="18"/>
                <w:szCs w:val="18"/>
                <w:color w:val="auto"/>
                <w:vertAlign w:val="superscript"/>
              </w:rPr>
              <w:t>(7)</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February 2023 </w:t>
            </w:r>
            <w:r>
              <w:rPr>
                <w:rFonts w:ascii="Times New Roman" w:cs="Times New Roman" w:eastAsia="Times New Roman" w:hAnsi="Times New Roman"/>
                <w:sz w:val="18"/>
                <w:szCs w:val="18"/>
                <w:color w:val="auto"/>
                <w:vertAlign w:val="superscript"/>
              </w:rPr>
              <w:t>(7)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0" w:type="dxa"/>
            <w:vAlign w:val="bottom"/>
          </w:tcPr>
          <w:p>
            <w:pPr>
              <w:spacing w:after="0"/>
              <w:rPr>
                <w:sz w:val="1"/>
                <w:szCs w:val="1"/>
                <w:color w:val="auto"/>
              </w:rPr>
            </w:pPr>
          </w:p>
        </w:tc>
      </w:tr>
      <w:tr>
        <w:trPr>
          <w:trHeight w:val="203"/>
        </w:trPr>
        <w:tc>
          <w:tcPr>
            <w:tcW w:w="182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1552 Broadway </w:t>
            </w:r>
            <w:r>
              <w:rPr>
                <w:rFonts w:ascii="Times New Roman" w:cs="Times New Roman" w:eastAsia="Times New Roman" w:hAnsi="Times New Roman"/>
                <w:sz w:val="18"/>
                <w:szCs w:val="18"/>
                <w:color w:val="auto"/>
                <w:vertAlign w:val="superscript"/>
              </w:rPr>
              <w:t>(4)</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50.00 %</w:t>
            </w:r>
          </w:p>
        </w:tc>
        <w:tc>
          <w:tcPr>
            <w:tcW w:w="1480" w:type="dxa"/>
            <w:vAlign w:val="bottom"/>
          </w:tcPr>
          <w:p>
            <w:pPr>
              <w:jc w:val="right"/>
              <w:ind w:right="88"/>
              <w:spacing w:after="0" w:line="202" w:lineRule="exact"/>
              <w:rPr>
                <w:sz w:val="20"/>
                <w:szCs w:val="20"/>
                <w:color w:val="auto"/>
              </w:rPr>
            </w:pPr>
            <w:r>
              <w:rPr>
                <w:rFonts w:ascii="Times New Roman" w:cs="Times New Roman" w:eastAsia="Times New Roman" w:hAnsi="Times New Roman"/>
                <w:sz w:val="14"/>
                <w:szCs w:val="14"/>
                <w:color w:val="auto"/>
              </w:rPr>
              <w:t xml:space="preserve">February 2024 </w:t>
            </w:r>
            <w:r>
              <w:rPr>
                <w:rFonts w:ascii="Times New Roman" w:cs="Times New Roman" w:eastAsia="Times New Roman" w:hAnsi="Times New Roman"/>
                <w:sz w:val="18"/>
                <w:szCs w:val="18"/>
                <w:color w:val="auto"/>
                <w:vertAlign w:val="superscript"/>
              </w:rPr>
              <w:t>(8)</w:t>
            </w:r>
          </w:p>
        </w:tc>
        <w:tc>
          <w:tcPr>
            <w:tcW w:w="142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4"/>
                <w:szCs w:val="14"/>
                <w:color w:val="auto"/>
              </w:rPr>
              <w:t xml:space="preserve">February 2024 </w:t>
            </w:r>
            <w:r>
              <w:rPr>
                <w:rFonts w:ascii="Times New Roman" w:cs="Times New Roman" w:eastAsia="Times New Roman" w:hAnsi="Times New Roman"/>
                <w:sz w:val="18"/>
                <w:szCs w:val="18"/>
                <w:color w:val="auto"/>
                <w:vertAlign w:val="superscript"/>
              </w:rPr>
              <w:t>(8)</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193,132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96,566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96,567</w:t>
            </w:r>
          </w:p>
        </w:tc>
        <w:tc>
          <w:tcPr>
            <w:tcW w:w="0" w:type="dxa"/>
            <w:vAlign w:val="bottom"/>
          </w:tcPr>
          <w:p>
            <w:pPr>
              <w:spacing w:after="0"/>
              <w:rPr>
                <w:sz w:val="1"/>
                <w:szCs w:val="1"/>
                <w:color w:val="auto"/>
              </w:rPr>
            </w:pPr>
          </w:p>
        </w:tc>
      </w:tr>
      <w:tr>
        <w:trPr>
          <w:trHeight w:val="203"/>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Park Avenue</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49.90 %</w:t>
            </w:r>
          </w:p>
        </w:tc>
        <w:tc>
          <w:tcPr>
            <w:tcW w:w="1480" w:type="dxa"/>
            <w:vAlign w:val="bottom"/>
            <w:shd w:val="clear" w:color="auto" w:fill="CCEEFF"/>
          </w:tcPr>
          <w:p>
            <w:pPr>
              <w:jc w:val="right"/>
              <w:ind w:right="88"/>
              <w:spacing w:after="0" w:line="202" w:lineRule="exact"/>
              <w:rPr>
                <w:sz w:val="20"/>
                <w:szCs w:val="20"/>
                <w:color w:val="auto"/>
              </w:rPr>
            </w:pPr>
            <w:r>
              <w:rPr>
                <w:rFonts w:ascii="Times New Roman" w:cs="Times New Roman" w:eastAsia="Times New Roman" w:hAnsi="Times New Roman"/>
                <w:sz w:val="14"/>
                <w:szCs w:val="14"/>
                <w:color w:val="auto"/>
              </w:rPr>
              <w:t xml:space="preserve">May 2024 </w:t>
            </w:r>
            <w:r>
              <w:rPr>
                <w:rFonts w:ascii="Times New Roman" w:cs="Times New Roman" w:eastAsia="Times New Roman" w:hAnsi="Times New Roman"/>
                <w:sz w:val="18"/>
                <w:szCs w:val="18"/>
                <w:color w:val="auto"/>
                <w:vertAlign w:val="superscript"/>
              </w:rPr>
              <w:t>(9)</w:t>
            </w:r>
          </w:p>
        </w:tc>
        <w:tc>
          <w:tcPr>
            <w:tcW w:w="1420" w:type="dxa"/>
            <w:vAlign w:val="bottom"/>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4"/>
                <w:szCs w:val="14"/>
                <w:color w:val="auto"/>
              </w:rPr>
              <w:t xml:space="preserve">December 2025 </w:t>
            </w:r>
            <w:r>
              <w:rPr>
                <w:rFonts w:ascii="Times New Roman" w:cs="Times New Roman" w:eastAsia="Times New Roman" w:hAnsi="Times New Roman"/>
                <w:sz w:val="18"/>
                <w:szCs w:val="18"/>
                <w:color w:val="auto"/>
                <w:vertAlign w:val="superscript"/>
              </w:rPr>
              <w:t>(10)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360,000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179,640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179,640</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650</w:t>
            </w: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Times New Roman" w:cs="Times New Roman" w:eastAsia="Times New Roman" w:hAnsi="Times New Roman"/>
                <w:sz w:val="18"/>
                <w:szCs w:val="18"/>
                <w:color w:val="auto"/>
                <w:vertAlign w:val="superscript"/>
              </w:rPr>
              <w:t>(4)</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50.00 %</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July 2024</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July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105,000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0" w:type="dxa"/>
            <w:vAlign w:val="bottom"/>
          </w:tcPr>
          <w:p>
            <w:pPr>
              <w:spacing w:after="0"/>
              <w:rPr>
                <w:sz w:val="1"/>
                <w:szCs w:val="1"/>
                <w:color w:val="auto"/>
              </w:rPr>
            </w:pPr>
          </w:p>
        </w:tc>
      </w:tr>
      <w:tr>
        <w:trPr>
          <w:trHeight w:val="203"/>
        </w:trPr>
        <w:tc>
          <w:tcPr>
            <w:tcW w:w="18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5 Times Square </w:t>
            </w:r>
            <w:r>
              <w:rPr>
                <w:rFonts w:ascii="Times New Roman" w:cs="Times New Roman" w:eastAsia="Times New Roman" w:hAnsi="Times New Roman"/>
                <w:sz w:val="18"/>
                <w:szCs w:val="18"/>
                <w:color w:val="auto"/>
                <w:vertAlign w:val="superscript"/>
              </w:rPr>
              <w:t>(4)</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31.55 %</w:t>
            </w:r>
          </w:p>
        </w:tc>
        <w:tc>
          <w:tcPr>
            <w:tcW w:w="1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September 2024</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September 2026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615,094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194,062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192,458</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280</w:t>
            </w: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Park Avenue </w:t>
            </w:r>
            <w:r>
              <w:rPr>
                <w:rFonts w:ascii="Times New Roman" w:cs="Times New Roman" w:eastAsia="Times New Roman" w:hAnsi="Times New Roman"/>
                <w:sz w:val="18"/>
                <w:szCs w:val="18"/>
                <w:color w:val="auto"/>
                <w:vertAlign w:val="superscript"/>
              </w:rPr>
              <w:t>(11)</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50.00 %</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September 2024</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September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600,000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0" w:type="dxa"/>
            <w:vAlign w:val="bottom"/>
          </w:tcPr>
          <w:p>
            <w:pPr>
              <w:spacing w:after="0"/>
              <w:rPr>
                <w:sz w:val="1"/>
                <w:szCs w:val="1"/>
                <w:color w:val="auto"/>
              </w:rPr>
            </w:pPr>
          </w:p>
        </w:tc>
      </w:tr>
      <w:tr>
        <w:trPr>
          <w:trHeight w:val="203"/>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 Herald Square</w:t>
            </w:r>
          </w:p>
        </w:tc>
        <w:tc>
          <w:tcPr>
            <w:tcW w:w="10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93,075</w:t>
            </w:r>
          </w:p>
        </w:tc>
        <w:tc>
          <w:tcPr>
            <w:tcW w:w="0" w:type="dxa"/>
            <w:vAlign w:val="bottom"/>
          </w:tcPr>
          <w:p>
            <w:pPr>
              <w:spacing w:after="0"/>
              <w:rPr>
                <w:sz w:val="1"/>
                <w:szCs w:val="1"/>
                <w:color w:val="auto"/>
              </w:rPr>
            </w:pPr>
          </w:p>
        </w:tc>
      </w:tr>
      <w:tr>
        <w:trPr>
          <w:trHeight w:val="196"/>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15 Beekman</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24,827</w:t>
            </w:r>
          </w:p>
        </w:tc>
        <w:tc>
          <w:tcPr>
            <w:tcW w:w="0" w:type="dxa"/>
            <w:vAlign w:val="bottom"/>
          </w:tcPr>
          <w:p>
            <w:pPr>
              <w:spacing w:after="0"/>
              <w:rPr>
                <w:sz w:val="1"/>
                <w:szCs w:val="1"/>
                <w:color w:val="auto"/>
              </w:rPr>
            </w:pPr>
          </w:p>
        </w:tc>
      </w:tr>
      <w:tr>
        <w:trPr>
          <w:trHeight w:val="202"/>
        </w:trPr>
        <w:tc>
          <w:tcPr>
            <w:tcW w:w="18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floating rate debt</w:t>
            </w:r>
          </w:p>
        </w:tc>
        <w:tc>
          <w:tcPr>
            <w:tcW w:w="10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2,601,226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1,182,168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2,902,780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1,298,467</w:t>
            </w:r>
          </w:p>
        </w:tc>
        <w:tc>
          <w:tcPr>
            <w:tcW w:w="0" w:type="dxa"/>
            <w:vAlign w:val="bottom"/>
          </w:tcPr>
          <w:p>
            <w:pPr>
              <w:spacing w:after="0"/>
              <w:rPr>
                <w:sz w:val="1"/>
                <w:szCs w:val="1"/>
                <w:color w:val="auto"/>
              </w:rPr>
            </w:pPr>
          </w:p>
        </w:tc>
      </w:tr>
      <w:tr>
        <w:trPr>
          <w:trHeight w:val="196"/>
        </w:trPr>
        <w:tc>
          <w:tcPr>
            <w:tcW w:w="4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 joint venture mortgages and other loans payable</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13,918,153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7,087,348</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14,903,339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7,352,275</w:t>
            </w:r>
          </w:p>
        </w:tc>
        <w:tc>
          <w:tcPr>
            <w:tcW w:w="0" w:type="dxa"/>
            <w:vAlign w:val="bottom"/>
          </w:tcPr>
          <w:p>
            <w:pPr>
              <w:spacing w:after="0"/>
              <w:rPr>
                <w:sz w:val="1"/>
                <w:szCs w:val="1"/>
                <w:color w:val="auto"/>
              </w:rPr>
            </w:pPr>
          </w:p>
        </w:tc>
      </w:tr>
      <w:tr>
        <w:trPr>
          <w:trHeight w:val="209"/>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financing costs, net</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(93,904)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(50,598)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(104,062)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(54,865)</w:t>
            </w:r>
          </w:p>
        </w:tc>
        <w:tc>
          <w:tcPr>
            <w:tcW w:w="0" w:type="dxa"/>
            <w:vAlign w:val="bottom"/>
          </w:tcPr>
          <w:p>
            <w:pPr>
              <w:spacing w:after="0"/>
              <w:rPr>
                <w:sz w:val="1"/>
                <w:szCs w:val="1"/>
                <w:color w:val="auto"/>
              </w:rPr>
            </w:pPr>
          </w:p>
        </w:tc>
      </w:tr>
      <w:tr>
        <w:trPr>
          <w:trHeight w:val="190"/>
        </w:trPr>
        <w:tc>
          <w:tcPr>
            <w:tcW w:w="4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 joint venture mortgages and other loans payable, net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13,824,249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7,036,750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14,799,277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7,297,410</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20" w:hanging="412"/>
        <w:spacing w:after="0" w:line="271" w:lineRule="auto"/>
        <w:tabs>
          <w:tab w:leader="none" w:pos="4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interest represents the Company's interests in the joint venture as of March 31, 2024. Changes in ownership or economic interests, if any, within the current year are disclosed in the notes to the investment in unconsolidated joint ventures table above.</w:t>
      </w:r>
    </w:p>
    <w:p>
      <w:pPr>
        <w:ind w:left="420" w:hanging="412"/>
        <w:spacing w:after="0" w:line="261" w:lineRule="auto"/>
        <w:tabs>
          <w:tab w:leader="none" w:pos="4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options. The ability to exercise extension options may be subject to certain conditions, including meeting tests based on the operating performance of the property.</w:t>
      </w: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as of March 31, 2024, taking into account interest rate hedges in effect during the period. Floating rate debt is presented with the stated spread over Term SOFR ("S").</w:t>
      </w:r>
    </w:p>
    <w:p>
      <w:pPr>
        <w:spacing w:after="0" w:line="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11" w:lineRule="exact"/>
        <w:rPr>
          <w:rFonts w:ascii="Times New Roman" w:cs="Times New Roman" w:eastAsia="Times New Roman" w:hAnsi="Times New Roman"/>
          <w:sz w:val="14"/>
          <w:szCs w:val="14"/>
          <w:color w:val="auto"/>
        </w:rPr>
      </w:pPr>
    </w:p>
    <w:p>
      <w:pPr>
        <w:jc w:val="both"/>
        <w:ind w:left="420" w:hanging="412"/>
        <w:spacing w:after="0" w:line="256" w:lineRule="auto"/>
        <w:tabs>
          <w:tab w:leader="none" w:pos="4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is a $1.25 billion construction facility with an initial term of five years with one, one year extension option. Advances under the loan are subject to costs incurred. In conjunction with the loan, the Company provided partial guarantees for interest and principal payments, the amounts of which are based on certain construction milestones and operating metrics. In July 2023, the facility was modified, which will allow the partnership to utilize the final tranche of the facility for an expanded range of uses, including additional amenities funded by construction cost savings and for hedging activities in contemplation of a permanent financing.</w:t>
      </w:r>
    </w:p>
    <w:p>
      <w:pPr>
        <w:spacing w:after="0" w:line="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$170.5 million of loan principal and $31.1 million of accrued interest.</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joint venture partner is in discussions with the lender on resoluteness, given that the loan is past maturity.</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discussions with the lender on resoluteness, given that the loan is past maturity.</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2024, together with its joint venture partner, the Company exercised an extension option through December 2024.</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4"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As-of-right extension.</w:t>
      </w:r>
    </w:p>
    <w:p>
      <w:pPr>
        <w:spacing w:after="0" w:line="27" w:lineRule="exact"/>
        <w:rPr>
          <w:rFonts w:ascii="Times New Roman" w:cs="Times New Roman" w:eastAsia="Times New Roman" w:hAnsi="Times New Roman"/>
          <w:sz w:val="14"/>
          <w:szCs w:val="14"/>
          <w:color w:val="auto"/>
        </w:rPr>
      </w:pPr>
    </w:p>
    <w:p>
      <w:pPr>
        <w:jc w:val="both"/>
        <w:ind w:left="420" w:hanging="412"/>
        <w:spacing w:after="0" w:line="262" w:lineRule="auto"/>
        <w:tabs>
          <w:tab w:leader="none" w:pos="41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2024, together with our joint venture partner, closed on a modification and extension of the $1.075 billion securitized mortgage loan. The modification extended the maturity date to September 2026, with the partnership's option to extend to a fully extended maturity date of September 2028. The interest rate was maintained at 1.78% over Term SOFR, which the Company fixed at 5.91% for its share of the debt through the fully extended maturity date. The partnership separately modified and extended the $125.0 million mezzanine loan and subsequently repaid the loan for $62.5 million.</w:t>
      </w:r>
    </w:p>
    <w:p>
      <w:pPr>
        <w:spacing w:after="0" w:line="22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entitled to receive fees for providing management, leasing, construction supervision and asset management services to certain of our joint ventures. We earned $4.9 million and $4.9 million from these services, net of our ownership share of the joint ventures, for the three months ended March 31, 2024 and 2023, respectively. In addition, we have the ability to earn incentive fees based on the ultimate financial performance of certain of the joint venture properties.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combined balance sheets for the unconsolidated joint ventures, at March 31, 2024 and December 31, 2023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7440" w:type="dxa"/>
            <w:vAlign w:val="bottom"/>
            <w:tcBorders>
              <w:top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6"/>
                <w:szCs w:val="16"/>
                <w:b w:val="1"/>
                <w:bCs w:val="1"/>
                <w:i w:val="1"/>
                <w:iCs w:val="1"/>
                <w:color w:val="auto"/>
              </w:rPr>
              <w:t xml:space="preserve">Assets </w:t>
            </w:r>
            <w:r>
              <w:rPr>
                <w:rFonts w:ascii="Times New Roman" w:cs="Times New Roman" w:eastAsia="Times New Roman" w:hAnsi="Times New Roman"/>
                <w:sz w:val="21"/>
                <w:szCs w:val="21"/>
                <w:b w:val="1"/>
                <w:bCs w:val="1"/>
                <w:i w:val="1"/>
                <w:iCs w:val="1"/>
                <w:color w:val="auto"/>
                <w:vertAlign w:val="superscript"/>
              </w:rPr>
              <w:t>(1)</w:t>
            </w:r>
          </w:p>
        </w:tc>
        <w:tc>
          <w:tcPr>
            <w:tcW w:w="2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property, net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18,024,642</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18,467,340</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restricted cash</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608,462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656,038</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Tenant and other receivables, related party receivables, and deferred rents receivable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634,813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673,532</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2,538,878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2,584,765</w:t>
            </w:r>
          </w:p>
        </w:tc>
      </w:tr>
      <w:tr>
        <w:trPr>
          <w:trHeight w:val="211"/>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21,806,795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22,381,675</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 xml:space="preserve">Liabilities and equity </w:t>
            </w:r>
            <w:r>
              <w:rPr>
                <w:rFonts w:ascii="Times New Roman" w:cs="Times New Roman" w:eastAsia="Times New Roman" w:hAnsi="Times New Roman"/>
                <w:sz w:val="21"/>
                <w:szCs w:val="21"/>
                <w:b w:val="1"/>
                <w:bCs w:val="1"/>
                <w:i w:val="1"/>
                <w:iCs w:val="1"/>
                <w:color w:val="auto"/>
                <w:vertAlign w:val="superscript"/>
              </w:rPr>
              <w:t>(1)</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13,824,249</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14,799,277</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1,070,740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1,108,180</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987,299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990,276</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430,533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447,705</w:t>
            </w:r>
          </w:p>
        </w:tc>
      </w:tr>
      <w:tr>
        <w:trPr>
          <w:trHeight w:val="214"/>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5,493,974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5,036,237</w:t>
            </w:r>
          </w:p>
        </w:tc>
      </w:tr>
      <w:tr>
        <w:trPr>
          <w:trHeight w:val="236"/>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21,806,795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22,381,675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Company's investments in unconsolidated joint ventures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2,984,786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2,983,313</w:t>
            </w:r>
          </w:p>
        </w:tc>
      </w:tr>
      <w:tr>
        <w:trPr>
          <w:trHeight w:val="21"/>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20" w:hanging="412"/>
        <w:spacing w:after="0" w:line="282" w:lineRule="auto"/>
        <w:tabs>
          <w:tab w:leader="none" w:pos="4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2024, $548.2 million of net unamortized basis differences between the amount at which our investments are carried and our share of equity in net assets of the underlying property will be amortized through equity in net income (loss) from unconsolidated joint ventures over the remaining life of the underlying items having given rise to the differences.</w:t>
      </w:r>
    </w:p>
    <w:p>
      <w:pPr>
        <w:spacing w:after="0" w:line="7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combined statements of operations for the unconsolidated joint ventures, from acquisition date through the three months ended March 31, 2024 and 2023,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365,339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389,452</w:t>
            </w:r>
          </w:p>
        </w:tc>
      </w:tr>
      <w:tr>
        <w:trPr>
          <w:trHeight w:val="208"/>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61,968</w:t>
            </w:r>
          </w:p>
        </w:tc>
      </w:tr>
      <w:tr>
        <w:trPr>
          <w:trHeight w:val="2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75,632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65,740</w:t>
            </w:r>
          </w:p>
        </w:tc>
      </w:tr>
      <w:tr>
        <w:trPr>
          <w:trHeight w:val="214"/>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7,181</w:t>
            </w:r>
          </w:p>
        </w:tc>
      </w:tr>
      <w:tr>
        <w:trPr>
          <w:trHeight w:val="2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149,854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129,477</w:t>
            </w:r>
          </w:p>
        </w:tc>
      </w:tr>
      <w:tr>
        <w:trPr>
          <w:trHeight w:val="214"/>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w:t>
            </w:r>
          </w:p>
        </w:tc>
      </w:tr>
      <w:tr>
        <w:trPr>
          <w:trHeight w:val="2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134,178</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125,266</w:t>
            </w:r>
          </w:p>
        </w:tc>
      </w:tr>
      <w:tr>
        <w:trPr>
          <w:trHeight w:val="208"/>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440,511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396,677</w:t>
            </w: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early extinguishment of debt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172,519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before loss on sale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97,347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(7,225)</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5"/>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Company's equity in net income (loss) from unconsolidated joint ventures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111,160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(7,412)</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Deferred Costs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costs as of March 31, 2024 and December 31, 2023 consisted of the following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leasing costs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tcBorders>
            <w:shd w:val="clear" w:color="auto" w:fill="CCEEFF"/>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w w:val="99"/>
              </w:rPr>
              <w:t>402,025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399,224</w:t>
            </w:r>
          </w:p>
        </w:tc>
      </w:tr>
      <w:tr>
        <w:trPr>
          <w:trHeight w:val="214"/>
        </w:trPr>
        <w:tc>
          <w:tcPr>
            <w:tcW w:w="7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(292,729)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(287,761)</w:t>
            </w:r>
          </w:p>
        </w:tc>
      </w:tr>
      <w:tr>
        <w:trPr>
          <w:trHeight w:val="23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costs,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w w:val="99"/>
              </w:rPr>
              <w:t>109,296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Mortgages and Other Loans Payable</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mortgages and other loans payable collateralized by the respective properties and assignment of leases or debt investments as of March 31, 2024 and December 31, 2023, respectively, were as follows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6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Final Maturity Date</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8"/>
                <w:szCs w:val="18"/>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62"/>
        </w:trPr>
        <w:tc>
          <w:tcPr>
            <w:tcW w:w="4000" w:type="dxa"/>
            <w:vAlign w:val="bottom"/>
            <w:gridSpan w:val="3"/>
            <w:vMerge w:val="continue"/>
          </w:tcPr>
          <w:p>
            <w:pPr>
              <w:spacing w:after="0"/>
              <w:rPr>
                <w:sz w:val="14"/>
                <w:szCs w:val="14"/>
                <w:color w:val="auto"/>
              </w:rPr>
            </w:pPr>
          </w:p>
        </w:tc>
        <w:tc>
          <w:tcPr>
            <w:tcW w:w="1600" w:type="dxa"/>
            <w:vAlign w:val="bottom"/>
          </w:tcPr>
          <w:p>
            <w:pPr>
              <w:jc w:val="right"/>
              <w:ind w:right="579"/>
              <w:spacing w:after="0" w:line="162" w:lineRule="exact"/>
              <w:rPr>
                <w:sz w:val="20"/>
                <w:szCs w:val="20"/>
                <w:color w:val="auto"/>
              </w:rPr>
            </w:pPr>
            <w:r>
              <w:rPr>
                <w:rFonts w:ascii="Times New Roman" w:cs="Times New Roman" w:eastAsia="Times New Roman" w:hAnsi="Times New Roman"/>
                <w:sz w:val="16"/>
                <w:szCs w:val="16"/>
                <w:b w:val="1"/>
                <w:bCs w:val="1"/>
                <w:color w:val="auto"/>
              </w:rPr>
              <w:t>Date</w:t>
            </w:r>
          </w:p>
        </w:tc>
        <w:tc>
          <w:tcPr>
            <w:tcW w:w="1540" w:type="dxa"/>
            <w:vAlign w:val="bottom"/>
          </w:tcPr>
          <w:p>
            <w:pPr>
              <w:jc w:val="right"/>
              <w:ind w:right="642"/>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4"/>
                <w:szCs w:val="14"/>
                <w:color w:val="auto"/>
              </w:rPr>
            </w:pPr>
          </w:p>
        </w:tc>
        <w:tc>
          <w:tcPr>
            <w:tcW w:w="118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Fixed Rate Debt:</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420</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2024</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October 2040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275,737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277,238</w:t>
            </w:r>
          </w:p>
        </w:tc>
        <w:tc>
          <w:tcPr>
            <w:tcW w:w="0" w:type="dxa"/>
            <w:vAlign w:val="bottom"/>
          </w:tcPr>
          <w:p>
            <w:pPr>
              <w:spacing w:after="0"/>
              <w:rPr>
                <w:sz w:val="1"/>
                <w:szCs w:val="1"/>
                <w:color w:val="auto"/>
              </w:rPr>
            </w:pPr>
          </w:p>
        </w:tc>
      </w:tr>
      <w:tr>
        <w:trPr>
          <w:trHeight w:val="21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 East 53rd Street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2025</w:t>
            </w:r>
          </w:p>
        </w:tc>
        <w:tc>
          <w:tcPr>
            <w:tcW w:w="166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 xml:space="preserve">May 2028 </w:t>
            </w:r>
            <w:r>
              <w:rPr>
                <w:rFonts w:ascii="Times New Roman" w:cs="Times New Roman" w:eastAsia="Times New Roman" w:hAnsi="Times New Roman"/>
                <w:sz w:val="21"/>
                <w:szCs w:val="21"/>
                <w:color w:val="auto"/>
                <w:vertAlign w:val="superscript"/>
              </w:rPr>
              <w:t>(3)</w:t>
            </w:r>
          </w:p>
        </w:tc>
        <w:tc>
          <w:tcPr>
            <w:tcW w:w="4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100</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Church Street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2025</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0" w:type="dxa"/>
            <w:vAlign w:val="bottom"/>
          </w:tcPr>
          <w:p>
            <w:pPr>
              <w:spacing w:after="0"/>
              <w:rPr>
                <w:sz w:val="1"/>
                <w:szCs w:val="1"/>
                <w:color w:val="auto"/>
              </w:rPr>
            </w:pPr>
          </w:p>
        </w:tc>
      </w:tr>
      <w:tr>
        <w:trPr>
          <w:trHeight w:val="21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7 Dey / 185 Broadway</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2025</w:t>
            </w:r>
          </w:p>
        </w:tc>
        <w:tc>
          <w:tcPr>
            <w:tcW w:w="166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 xml:space="preserve">November 2026 </w:t>
            </w:r>
            <w:r>
              <w:rPr>
                <w:rFonts w:ascii="Times New Roman" w:cs="Times New Roman" w:eastAsia="Times New Roman" w:hAnsi="Times New Roman"/>
                <w:sz w:val="21"/>
                <w:szCs w:val="21"/>
                <w:color w:val="auto"/>
                <w:vertAlign w:val="superscript"/>
              </w:rPr>
              <w:t>(3)</w:t>
            </w:r>
          </w:p>
        </w:tc>
        <w:tc>
          <w:tcPr>
            <w:tcW w:w="4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190,148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Landmark Square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2027</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January 2027</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4"/>
        </w:trPr>
        <w:tc>
          <w:tcPr>
            <w:tcW w:w="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9"/>
              </w:rPr>
              <w:t>485</w:t>
            </w:r>
          </w:p>
        </w:tc>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February 2027</w:t>
            </w:r>
          </w:p>
        </w:tc>
        <w:tc>
          <w:tcPr>
            <w:tcW w:w="16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4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450,000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0" w:type="dxa"/>
            <w:vAlign w:val="bottom"/>
          </w:tcPr>
          <w:p>
            <w:pPr>
              <w:spacing w:after="0"/>
              <w:rPr>
                <w:sz w:val="1"/>
                <w:szCs w:val="1"/>
                <w:color w:val="auto"/>
              </w:rPr>
            </w:pPr>
          </w:p>
        </w:tc>
      </w:tr>
      <w:tr>
        <w:trPr>
          <w:trHeight w:val="211"/>
        </w:trPr>
        <w:tc>
          <w:tcPr>
            <w:tcW w:w="4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fixed rate debt</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1,590,885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1,387,386</w:t>
            </w:r>
          </w:p>
        </w:tc>
        <w:tc>
          <w:tcPr>
            <w:tcW w:w="0" w:type="dxa"/>
            <w:vAlign w:val="bottom"/>
          </w:tcPr>
          <w:p>
            <w:pPr>
              <w:spacing w:after="0"/>
              <w:rPr>
                <w:sz w:val="1"/>
                <w:szCs w:val="1"/>
                <w:color w:val="auto"/>
              </w:rPr>
            </w:pPr>
          </w:p>
        </w:tc>
      </w:tr>
      <w:tr>
        <w:trPr>
          <w:trHeight w:val="194"/>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Floating Rate Debt:</w:t>
            </w:r>
          </w:p>
        </w:tc>
        <w:tc>
          <w:tcPr>
            <w:tcW w:w="1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690</w:t>
            </w:r>
          </w:p>
        </w:tc>
        <w:tc>
          <w:tcPr>
            <w:tcW w:w="372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Madison Avenue </w:t>
            </w:r>
            <w:r>
              <w:rPr>
                <w:rFonts w:ascii="Times New Roman" w:cs="Times New Roman" w:eastAsia="Times New Roman" w:hAnsi="Times New Roman"/>
                <w:sz w:val="21"/>
                <w:szCs w:val="21"/>
                <w:color w:val="auto"/>
                <w:vertAlign w:val="superscript"/>
              </w:rPr>
              <w:t>(4)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2024</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July 2025</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w:t>
            </w: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60,493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216"/>
        </w:trPr>
        <w:tc>
          <w:tcPr>
            <w:tcW w:w="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9"/>
              </w:rPr>
              <w:t>719</w:t>
            </w:r>
          </w:p>
        </w:tc>
        <w:tc>
          <w:tcPr>
            <w:tcW w:w="372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Seventh Avenue </w:t>
            </w:r>
            <w:r>
              <w:rPr>
                <w:rFonts w:ascii="Times New Roman" w:cs="Times New Roman" w:eastAsia="Times New Roman" w:hAnsi="Times New Roman"/>
                <w:sz w:val="21"/>
                <w:szCs w:val="21"/>
                <w:color w:val="auto"/>
                <w:vertAlign w:val="superscript"/>
              </w:rPr>
              <w:t>(4)(5)</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December 2024</w:t>
            </w:r>
          </w:p>
        </w:tc>
        <w:tc>
          <w:tcPr>
            <w:tcW w:w="16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December 2024</w:t>
            </w:r>
          </w:p>
        </w:tc>
        <w:tc>
          <w:tcPr>
            <w:tcW w:w="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S+</w:t>
            </w:r>
          </w:p>
        </w:tc>
        <w:tc>
          <w:tcPr>
            <w:tcW w:w="60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50,000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0"/>
        </w:trPr>
        <w:tc>
          <w:tcPr>
            <w:tcW w:w="4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floating rate debt</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110,493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0" w:type="dxa"/>
            <w:vAlign w:val="bottom"/>
          </w:tcPr>
          <w:p>
            <w:pPr>
              <w:spacing w:after="0"/>
              <w:rPr>
                <w:sz w:val="1"/>
                <w:szCs w:val="1"/>
                <w:color w:val="auto"/>
              </w:rPr>
            </w:pPr>
          </w:p>
        </w:tc>
      </w:tr>
      <w:tr>
        <w:trPr>
          <w:trHeight w:val="208"/>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mortgages and other loans payable</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1,701,378</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1,497,386</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 net of amortization</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0" w:type="dxa"/>
            <w:vAlign w:val="bottom"/>
          </w:tcPr>
          <w:p>
            <w:pPr>
              <w:spacing w:after="0"/>
              <w:rPr>
                <w:sz w:val="1"/>
                <w:szCs w:val="1"/>
                <w:color w:val="auto"/>
              </w:rPr>
            </w:pPr>
          </w:p>
        </w:tc>
      </w:tr>
      <w:tr>
        <w:trPr>
          <w:trHeight w:val="211"/>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mortgages and other loans payable, net</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1,695,163</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1,491,319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options. The ability to exercise extension options may be subject to certain tests based on the operating performance of the property.</w:t>
      </w:r>
    </w:p>
    <w:p>
      <w:pPr>
        <w:spacing w:after="0" w:line="27" w:lineRule="exact"/>
        <w:rPr>
          <w:rFonts w:ascii="Times New Roman" w:cs="Times New Roman" w:eastAsia="Times New Roman" w:hAnsi="Times New Roman"/>
          <w:sz w:val="14"/>
          <w:szCs w:val="14"/>
          <w:color w:val="auto"/>
        </w:rPr>
      </w:pPr>
    </w:p>
    <w:p>
      <w:pPr>
        <w:ind w:left="420" w:hanging="412"/>
        <w:spacing w:after="0" w:line="261" w:lineRule="auto"/>
        <w:tabs>
          <w:tab w:leader="none" w:pos="41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March 31, 2024, taking into account interest rate hedges in effect during the period. Floating rate debt is presented with the stated spread over Term SOFR ("S"), unless otherwise specified.</w:t>
      </w:r>
    </w:p>
    <w:p>
      <w:pPr>
        <w:ind w:left="400" w:hanging="392"/>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As-of-right extension.</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4" w:lineRule="exact"/>
        <w:rPr>
          <w:rFonts w:ascii="Times New Roman" w:cs="Times New Roman" w:eastAsia="Times New Roman" w:hAnsi="Times New Roman"/>
          <w:sz w:val="14"/>
          <w:szCs w:val="14"/>
          <w:color w:val="auto"/>
        </w:rPr>
      </w:pPr>
    </w:p>
    <w:p>
      <w:pPr>
        <w:ind w:left="420" w:hanging="412"/>
        <w:spacing w:after="0" w:line="259" w:lineRule="auto"/>
        <w:tabs>
          <w:tab w:leader="none" w:pos="41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2024, the Company entered into an agreement to sell 719 Seventh Avenue. In connection with the sale, the Company will repay the existing $50.0 million mortgage for $32.0 million.</w:t>
      </w:r>
    </w:p>
    <w:p>
      <w:pPr>
        <w:spacing w:after="0" w:line="27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gross book value of the properties collateralizing the mortgages and other loans payable was approximately $2.0 billion and $1.9 billion,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right="9200" w:firstLine="8"/>
        <w:spacing w:after="0" w:line="377" w:lineRule="auto"/>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Indebtedness 2021 Credit Facility</w:t>
      </w:r>
    </w:p>
    <w:p>
      <w:pPr>
        <w:spacing w:after="0" w:line="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December 2021, we entered into an amended and restated credit facility, referred to as the 2021 credit facility, that was previously amended by the Company in November 2017, and was originally entered into by the Company in November 2012. As of March 31, 2024, the 2021 credit facility consisted of a $1.25 billion revolving credit facility, a $1.05 billion term loan (or "Term Loan A"), and a $200.0 million term loan (or "Term Loan B") with maturity dates of May 15, 2026, May 15, 2027, and November 21, 2024, respectively. The revolving credit facility has two six-month, as-of-right extension options to May 15, 2027.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8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As of March 31, 2024,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8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the applicable spread over adjusted Term SOFR plus 10 basis points for the 2021 credit facility was 140 basis points for the revolving credit facility, 160 basis points for Term Loan A, and 165 basis points for Term Loan B. We are required to pay quarterly in arrears a 12.5 to 30 basis point facility fee on the total commitments under the revolving credit facility based on the credit rating assigned to the senior unsecured long term indebtedness of the Company. As of March 31, 2024, the facility fee was 30 basis points.</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we had no outstanding letters of credit, $650.0 million drawn under the revolving credit facility and $1.25 billion outstanding under the term loan facilities, with total undrawn capacity of $600.0 million under the 2021 credit facility. As of March 31, 2024 and December 31, 2023, the revolving credit facility had a carrying value of $645.1 million and $554.8 million, respectively, net of deferred financing costs. As of March 31, 2024 and December 31, 2023, the term loan facilities had a carrying value of $1.2 billion and $1.2 billion, respectively, net of deferred financing costs.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the Operating Partnership are borrowers jointly and severally obligated under the 2021 credit facility.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2021 credit facility includes certain restrictions and covenants (see Restrictive Covenants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Notes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senior unsecured notes and other related disclosures as of March 31, 2024 and December 31, 2023, respectively, by scheduled maturity date (dollars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Unpaid</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4"/>
                <w:szCs w:val="14"/>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Initial Term</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4"/>
                <w:szCs w:val="14"/>
                <w:color w:val="auto"/>
              </w:rPr>
            </w:pPr>
          </w:p>
        </w:tc>
        <w:tc>
          <w:tcPr>
            <w:tcW w:w="13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Accreted</w:t>
            </w:r>
          </w:p>
        </w:tc>
        <w:tc>
          <w:tcPr>
            <w:tcW w:w="140" w:type="dxa"/>
            <w:vAlign w:val="bottom"/>
          </w:tcPr>
          <w:p>
            <w:pPr>
              <w:spacing w:after="0"/>
              <w:rPr>
                <w:sz w:val="14"/>
                <w:szCs w:val="14"/>
                <w:color w:val="auto"/>
              </w:rPr>
            </w:pPr>
          </w:p>
        </w:tc>
        <w:tc>
          <w:tcPr>
            <w:tcW w:w="11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Accreted</w:t>
            </w: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6"/>
        </w:trPr>
        <w:tc>
          <w:tcPr>
            <w:tcW w:w="3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32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1"/>
              </w:rPr>
              <w:t xml:space="preserve">Rate </w:t>
            </w:r>
            <w:r>
              <w:rPr>
                <w:rFonts w:ascii="Times New Roman" w:cs="Times New Roman" w:eastAsia="Times New Roman" w:hAnsi="Times New Roman"/>
                <w:sz w:val="21"/>
                <w:szCs w:val="21"/>
                <w:b w:val="1"/>
                <w:bCs w:val="1"/>
                <w:color w:val="auto"/>
                <w:w w:val="91"/>
                <w:vertAlign w:val="superscript"/>
              </w:rPr>
              <w:t>(1)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December 17, 2015 </w:t>
            </w:r>
            <w:r>
              <w:rPr>
                <w:rFonts w:ascii="Times New Roman" w:cs="Times New Roman" w:eastAsia="Times New Roman" w:hAnsi="Times New Roman"/>
                <w:sz w:val="21"/>
                <w:szCs w:val="21"/>
                <w:color w:val="auto"/>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December 2025</w:t>
            </w:r>
          </w:p>
        </w:tc>
        <w:tc>
          <w:tcPr>
            <w:tcW w:w="0" w:type="dxa"/>
            <w:vAlign w:val="bottom"/>
          </w:tcPr>
          <w:p>
            <w:pPr>
              <w:spacing w:after="0"/>
              <w:rPr>
                <w:sz w:val="1"/>
                <w:szCs w:val="1"/>
                <w:color w:val="auto"/>
              </w:rPr>
            </w:pPr>
          </w:p>
        </w:tc>
      </w:tr>
      <w:tr>
        <w:trPr>
          <w:trHeight w:val="208"/>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99,820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99,795</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March 31, 2024.</w:t>
      </w:r>
    </w:p>
    <w:p>
      <w:pPr>
        <w:spacing w:after="0" w:line="1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the Company and the Operating Partnership as co-obligors in a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terms of the 2021 credit facility and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March 31, 2024 and December 31, 2023, we were in compliance with all such covenants.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Junior Subordinated Deferrable Interest Debentures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June 2005, the Company and the Operating Partnership issued $100.0 million in unsecured trust preferred securities through a newly formed trust, SL Green Capital Trust I, or the Trust, which is a wholly-owned subsidiary of the Operating Partnership. The securities mature in 2035 and bear interest at a floating rate of 26 basis points over the three-month Term SOFR.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Maturities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Combined aggregate principal maturities of mortgages and other loans payable, the 2021 credit facility, trust preferred securities, senior unsecured notes and our share of joint venture debt as of March 31, 2024, including as-of-right extension options, were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8"/>
              </w:rPr>
              <w:t>Joint</w:t>
            </w: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Credit</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Unsecured</w:t>
            </w: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88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Venture</w:t>
            </w: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Debt</w:t>
            </w:r>
          </w:p>
        </w:tc>
        <w:tc>
          <w:tcPr>
            <w:tcW w:w="0" w:type="dxa"/>
            <w:vAlign w:val="bottom"/>
          </w:tcPr>
          <w:p>
            <w:pPr>
              <w:spacing w:after="0"/>
              <w:rPr>
                <w:sz w:val="1"/>
                <w:szCs w:val="1"/>
                <w:color w:val="auto"/>
              </w:rPr>
            </w:pPr>
          </w:p>
        </w:tc>
      </w:tr>
      <w:tr>
        <w:trPr>
          <w:trHeight w:val="214"/>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586,230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1,488,241</w:t>
            </w:r>
          </w:p>
        </w:tc>
        <w:tc>
          <w:tcPr>
            <w:tcW w:w="0" w:type="dxa"/>
            <w:vAlign w:val="bottom"/>
          </w:tcPr>
          <w:p>
            <w:pPr>
              <w:spacing w:after="0"/>
              <w:rPr>
                <w:sz w:val="1"/>
                <w:szCs w:val="1"/>
                <w:color w:val="auto"/>
              </w:rPr>
            </w:pPr>
          </w:p>
        </w:tc>
      </w:tr>
      <w:tr>
        <w:trPr>
          <w:trHeight w:val="21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1,739,239</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544,400</w:t>
            </w:r>
          </w:p>
        </w:tc>
        <w:tc>
          <w:tcPr>
            <w:tcW w:w="0" w:type="dxa"/>
            <w:vAlign w:val="bottom"/>
          </w:tcPr>
          <w:p>
            <w:pPr>
              <w:spacing w:after="0"/>
              <w:rPr>
                <w:sz w:val="1"/>
                <w:szCs w:val="1"/>
                <w:color w:val="auto"/>
              </w:rPr>
            </w:pPr>
          </w:p>
        </w:tc>
      </w:tr>
      <w:tr>
        <w:trPr>
          <w:trHeight w:val="21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1,185,168</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2,130,300</w:t>
            </w:r>
          </w:p>
        </w:tc>
        <w:tc>
          <w:tcPr>
            <w:tcW w:w="0" w:type="dxa"/>
            <w:vAlign w:val="bottom"/>
          </w:tcPr>
          <w:p>
            <w:pPr>
              <w:spacing w:after="0"/>
              <w:rPr>
                <w:sz w:val="1"/>
                <w:szCs w:val="1"/>
                <w:color w:val="auto"/>
              </w:rPr>
            </w:pPr>
          </w:p>
        </w:tc>
      </w:tr>
      <w:tr>
        <w:trPr>
          <w:trHeight w:val="235"/>
        </w:trPr>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1,698,391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3,801,378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7,087,348</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Consolidated interest expense, excluding capitalized interest, was comprised of the following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before capitalized interest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48,869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64,843</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financing leases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(17,949)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(25,464)</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discount on assumed debt</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31,173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41,653</w:t>
            </w:r>
          </w:p>
        </w:tc>
      </w:tr>
      <w:tr>
        <w:trPr>
          <w:trHeight w:val="20"/>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right="8520" w:firstLine="8"/>
        <w:spacing w:after="0" w:line="400" w:lineRule="auto"/>
        <w:tabs>
          <w:tab w:leader="none" w:pos="27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One Vanderbilt Avenue Investment</w:t>
      </w: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December 2016, we entered into agreements with entities owned and controlled by our Chairman, Chief Executive Officer and Interim President, Marc Holliday, and our former President,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 0.85%, respectively, on account of the property and 1.92% and 1.28%, respectively, on account of SUMMIT One Vanderbilt. The entities had no right to any return of capital. Accordingly, subject to previously disclosed repurchase rights, these interests had no value and these entities were not entitled to any amounts (other than limited distributions to cover tax liabilities incurred) unless and until the Company received distributions from the One Vanderbilt project in excess of the Company's aggregate investment in the project. The entities owned and controlled by Messrs. Holliday and Mathias paid $1.4 million and $1.0 million, respectively, which equaled the fair market value of the interests acquired as of the date the investment agreements were entered into as determined by an independent third party appraisal that we obtained.</w:t>
      </w:r>
    </w:p>
    <w:p>
      <w:pPr>
        <w:spacing w:after="0" w:line="8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Messrs. Holliday’s and Mathias’s continued service with us. The price paid upon a tender of the interests will equal the liquidation value of the interests at the time, with the value being based on the project's sale price, if applicable, or fair market value as determined by an independent third party appraiser. In 2022, stabilization of the property (but not SUMMIT One Vanderbilt) was achieved. Therefore, Messrs. Holiday and Mathias exercised their rights to tender 50% of their interests in the property (but not SUMMIT One Vanderbilt) for liquidation values of $17.9 million and $11.9 million, respectively, which were paid in July 2022. In 2023, stabilization of SUMMIT One Vanderbilt was achieved.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Vanderbilt Avenue Leases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November 2018, we entered into a lease agreement with the One Vanderbilt Avenue joint venture covering certain floors at the property. In March 2021, the lease commenced and we relocated our corporate headquarters to the leased space. For the three months ended March 31, 2024 and 2023, we recorded $0.7 million and $0.7 million, respectively, of rent expense under the lease. Additionally, in June 2021, we, through a consolidated subsidiary, entered into a lease agreement with the One Vanderbilt Avenue joint venture for SUMMIT One Vanderbilt, which commenced operations in October 2021. For the three months ended March 31, 2024 and 2023, we recorded $6.3 million and $6.3 million, respectively, of rent expense under the lease, including percentage rent, of which $4.1 million and $4.1 million, respectively, was recognized as income as a component of Equity in net income (loss) from unconsolidated joint ventures in our consolidated statements of operations. See Note 20, "Commitments and Contingencies."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719 Seventh Avenue</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April 2024, the Company entered into an arms-length arrangement to sell the property at 719 Seventh Avenue for $30.5 million to a special purpose entity ("SPE"), of which our former President and current director, Andrew Mathias, is a partner. No amounts from the transaction will be payable to Mr. Mathias. Mr. Mathias is initially expected to own up to 40% of the equity of the SPE representing an investment by Mr. Mathias of up to approximately $7.0 million in the acquisition of the property. The transaction is subject to customary conditions.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entitled to receive fees for providing management, leasing, construction supervision and asset management services to certain of our joint ventures as further described in Note 6, "Investments in Unconsolidated Joint Ventures." Amounts due from joint ventures, inclusive of our ownership share of the joint ventures, and related parties as of March 31, 2024 and December 31, 2023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from joint ventures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w:t>
            </w:r>
          </w:p>
        </w:tc>
      </w:tr>
      <w:tr>
        <w:trPr>
          <w:trHeight w:val="214"/>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w:t>
            </w: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12,168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Noncontrolling Interests on the Company's Consolidated Financial Statements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Noncontrolling interests represent the common and preferred units of limited partnership interest in the Operating Partnership not held by the Company as well as third party equity interests in our other consolidated subsidiaries. Noncontrolling interests in the Operating Partnership are shown in the mezzanine equity while the noncontrolling interests in our other consolidated subsidiaries are shown in the equity section of the Company’s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Units of Limited Partnership Interest in the Operating Partnership</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noncontrolling interest unit holders owned 6.38%, or 4,417,247 units, and 5.75%, or 3,949,448 units, of the Operating Partnership, respectively. As of March 31, 2024, 4,417,247 shares of our common stock were reserved for issuance upon the redemption of units of limited partnership interest of the Operating Partnership.</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Noncontrolling interests in the Operating Partnership is recorded at the greater of its cost basis or fair market value based on the closing stock price of our common stock at the end of the reporting period.</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Below is a summary of the activity relating to the noncontrolling interests in the Operating Partnership for the three months ended March 31, 2024 and the twelve months ended December 31, 2023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238,051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269,993</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(14,779)</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units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25,365</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and conversion of common units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(18,589)</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(37,465)</w:t>
            </w:r>
          </w:p>
        </w:tc>
      </w:tr>
      <w:tr>
        <w:trPr>
          <w:trHeight w:val="21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 allocation</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adjustment</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42,841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15,486</w:t>
            </w:r>
          </w:p>
        </w:tc>
      </w:tr>
      <w:tr>
        <w:trPr>
          <w:trHeight w:val="211"/>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272,235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238,051</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Units of Limited Partnership Interest in the Operating Partnership</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summary of the preferred units of limited partnership interest in the Operating Partnership as of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4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Conversion</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38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Units</w:t>
            </w:r>
          </w:p>
        </w:tc>
        <w:tc>
          <w:tcPr>
            <w:tcW w:w="1240" w:type="dxa"/>
            <w:vAlign w:val="bottom"/>
            <w:gridSpan w:val="2"/>
            <w:vMerge w:val="continue"/>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Dividend Per</w:t>
            </w:r>
          </w:p>
        </w:tc>
        <w:tc>
          <w:tcPr>
            <w:tcW w:w="12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Preference Per</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Date of Issuance</w:t>
            </w:r>
          </w:p>
        </w:tc>
        <w:tc>
          <w:tcPr>
            <w:tcW w:w="0" w:type="dxa"/>
            <w:vAlign w:val="bottom"/>
          </w:tcPr>
          <w:p>
            <w:pPr>
              <w:spacing w:after="0"/>
              <w:rPr>
                <w:sz w:val="1"/>
                <w:szCs w:val="1"/>
                <w:color w:val="auto"/>
              </w:rPr>
            </w:pPr>
          </w:p>
        </w:tc>
      </w:tr>
      <w:tr>
        <w:trPr>
          <w:trHeight w:val="216"/>
        </w:trPr>
        <w:tc>
          <w:tcPr>
            <w:tcW w:w="1080" w:type="dxa"/>
            <w:vAlign w:val="bottom"/>
            <w:gridSpan w:val="2"/>
            <w:vMerge w:val="continue"/>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Distribution Rate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Units Issued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line="216" w:lineRule="exact"/>
              <w:rPr>
                <w:sz w:val="20"/>
                <w:szCs w:val="20"/>
                <w:color w:val="auto"/>
              </w:rPr>
            </w:pPr>
            <w:r>
              <w:rPr>
                <w:rFonts w:ascii="Times New Roman" w:cs="Times New Roman" w:eastAsia="Times New Roman" w:hAnsi="Times New Roman"/>
                <w:sz w:val="16"/>
                <w:szCs w:val="16"/>
                <w:b w:val="1"/>
                <w:bCs w:val="1"/>
                <w:color w:val="auto"/>
                <w:w w:val="90"/>
              </w:rPr>
              <w:t>Unit</w:t>
            </w:r>
            <w:r>
              <w:rPr>
                <w:rFonts w:ascii="Times New Roman" w:cs="Times New Roman" w:eastAsia="Times New Roman" w:hAnsi="Times New Roman"/>
                <w:sz w:val="21"/>
                <w:szCs w:val="21"/>
                <w:b w:val="1"/>
                <w:bCs w:val="1"/>
                <w:color w:val="auto"/>
                <w:w w:val="90"/>
                <w:vertAlign w:val="superscript"/>
              </w:rPr>
              <w:t>(1)</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0"/>
              </w:rPr>
              <w:t>Unit</w:t>
            </w:r>
            <w:r>
              <w:rPr>
                <w:rFonts w:ascii="Times New Roman" w:cs="Times New Roman" w:eastAsia="Times New Roman" w:hAnsi="Times New Roman"/>
                <w:sz w:val="21"/>
                <w:szCs w:val="21"/>
                <w:b w:val="1"/>
                <w:bCs w:val="1"/>
                <w:color w:val="auto"/>
                <w:w w:val="90"/>
                <w:vertAlign w:val="superscript"/>
              </w:rPr>
              <w:t>(2)</w:t>
            </w:r>
          </w:p>
        </w:tc>
        <w:tc>
          <w:tcPr>
            <w:tcW w:w="12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Price Per Unit</w:t>
            </w:r>
            <w:r>
              <w:rPr>
                <w:rFonts w:ascii="Times New Roman" w:cs="Times New Roman" w:eastAsia="Times New Roman" w:hAnsi="Times New Roman"/>
                <w:sz w:val="21"/>
                <w:szCs w:val="21"/>
                <w:b w:val="1"/>
                <w:bCs w:val="1"/>
                <w:color w:val="auto"/>
                <w:vertAlign w:val="superscript"/>
              </w:rPr>
              <w:t>(3)</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Series A </w:t>
            </w:r>
            <w:r>
              <w:rPr>
                <w:rFonts w:ascii="Times New Roman" w:cs="Times New Roman" w:eastAsia="Times New Roman" w:hAnsi="Times New Roman"/>
                <w:sz w:val="21"/>
                <w:szCs w:val="21"/>
                <w:color w:val="auto"/>
                <w:vertAlign w:val="superscript"/>
              </w:rPr>
              <w:t>(4)</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1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F</w:t>
            </w:r>
          </w:p>
        </w:tc>
        <w:tc>
          <w:tcPr>
            <w:tcW w:w="126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7.00 %</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2007</w:t>
            </w:r>
          </w:p>
        </w:tc>
        <w:tc>
          <w:tcPr>
            <w:tcW w:w="0" w:type="dxa"/>
            <w:vAlign w:val="bottom"/>
          </w:tcPr>
          <w:p>
            <w:pPr>
              <w:spacing w:after="0"/>
              <w:rPr>
                <w:sz w:val="1"/>
                <w:szCs w:val="1"/>
                <w:color w:val="auto"/>
              </w:rPr>
            </w:pPr>
          </w:p>
        </w:tc>
      </w:tr>
      <w:tr>
        <w:trPr>
          <w:trHeight w:val="219"/>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K</w:t>
            </w:r>
          </w:p>
        </w:tc>
        <w:tc>
          <w:tcPr>
            <w:tcW w:w="126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2014</w:t>
            </w:r>
          </w:p>
        </w:tc>
        <w:tc>
          <w:tcPr>
            <w:tcW w:w="0" w:type="dxa"/>
            <w:vAlign w:val="bottom"/>
          </w:tcPr>
          <w:p>
            <w:pPr>
              <w:spacing w:after="0"/>
              <w:rPr>
                <w:sz w:val="1"/>
                <w:szCs w:val="1"/>
                <w:color w:val="auto"/>
              </w:rPr>
            </w:pPr>
          </w:p>
        </w:tc>
      </w:tr>
      <w:tr>
        <w:trPr>
          <w:trHeight w:val="229"/>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L</w:t>
            </w:r>
          </w:p>
        </w:tc>
        <w:tc>
          <w:tcPr>
            <w:tcW w:w="126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2014</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R</w:t>
            </w:r>
          </w:p>
        </w:tc>
        <w:tc>
          <w:tcPr>
            <w:tcW w:w="126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1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S</w:t>
            </w:r>
          </w:p>
        </w:tc>
        <w:tc>
          <w:tcPr>
            <w:tcW w:w="126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19"/>
        </w:trPr>
        <w:tc>
          <w:tcPr>
            <w:tcW w:w="10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Series V </w:t>
            </w:r>
            <w:r>
              <w:rPr>
                <w:rFonts w:ascii="Times New Roman" w:cs="Times New Roman" w:eastAsia="Times New Roman" w:hAnsi="Times New Roman"/>
                <w:sz w:val="21"/>
                <w:szCs w:val="21"/>
                <w:color w:val="auto"/>
                <w:vertAlign w:val="superscript"/>
              </w:rPr>
              <w:t>(5)</w:t>
            </w:r>
          </w:p>
        </w:tc>
        <w:tc>
          <w:tcPr>
            <w:tcW w:w="126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2019</w:t>
            </w:r>
          </w:p>
        </w:tc>
        <w:tc>
          <w:tcPr>
            <w:tcW w:w="0" w:type="dxa"/>
            <w:vAlign w:val="bottom"/>
          </w:tcPr>
          <w:p>
            <w:pPr>
              <w:spacing w:after="0"/>
              <w:rPr>
                <w:sz w:val="1"/>
                <w:szCs w:val="1"/>
                <w:color w:val="auto"/>
              </w:rPr>
            </w:pPr>
          </w:p>
        </w:tc>
      </w:tr>
      <w:tr>
        <w:trPr>
          <w:trHeight w:val="28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Series W </w:t>
            </w:r>
            <w:r>
              <w:rPr>
                <w:rFonts w:ascii="Times New Roman" w:cs="Times New Roman" w:eastAsia="Times New Roman" w:hAnsi="Times New Roman"/>
                <w:sz w:val="21"/>
                <w:szCs w:val="21"/>
                <w:color w:val="auto"/>
                <w:vertAlign w:val="superscript"/>
              </w:rPr>
              <w:t>(6)</w:t>
            </w:r>
          </w:p>
        </w:tc>
        <w:tc>
          <w:tcPr>
            <w:tcW w:w="126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w w:val="96"/>
              </w:rPr>
              <w:t>(6)</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2020</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are cumulative, subject to certain provisions.</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are redeemable at any time at par for cash at the option of the unit holder unless otherwise specified.</w:t>
      </w:r>
    </w:p>
    <w:p>
      <w:pPr>
        <w:spacing w:after="0" w:line="14" w:lineRule="exact"/>
        <w:rPr>
          <w:rFonts w:ascii="Times New Roman" w:cs="Times New Roman" w:eastAsia="Times New Roman" w:hAnsi="Times New Roman"/>
          <w:sz w:val="14"/>
          <w:szCs w:val="14"/>
          <w:color w:val="auto"/>
        </w:rPr>
      </w:pPr>
    </w:p>
    <w:p>
      <w:pPr>
        <w:ind w:left="420" w:hanging="412"/>
        <w:spacing w:after="0" w:line="251" w:lineRule="auto"/>
        <w:tabs>
          <w:tab w:leader="none" w:pos="4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units are convertible into a number of common units of limited partnership interest in the Operating Partnership equal to (i) the liquidation preference plus accumulated and unpaid distributions on the conversion date divided by (ii) the amount shown in the table.</w:t>
      </w:r>
    </w:p>
    <w:p>
      <w:pPr>
        <w:jc w:val="both"/>
        <w:ind w:left="420" w:hanging="412"/>
        <w:spacing w:after="0" w:line="261" w:lineRule="auto"/>
        <w:tabs>
          <w:tab w:leader="none" w:pos="4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through a consolidated subsidiary. The units are convertible on a one-for-one basis, into the Series B Preferred Units of limited partnership interest, or the Subsidiary Series B Preferred Units. The Subsidiary Series B Preferred Units can be converted at any time, after July 15, 2024 at the option of the unitholder, into a number of common stock equal to 6.71348 shares of common stock for each Subsidiary Series B Preferred Unit. As such, no Subsidiary Series B Preferred Units have been issued as of March 31, 2024</w:t>
      </w:r>
    </w:p>
    <w:p>
      <w:pPr>
        <w:spacing w:after="0" w:line="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V Preferred Units are redeemable at any time after January 1, 2025 at par for cash at the option of the unit holder.</w:t>
      </w:r>
    </w:p>
    <w:p>
      <w:pPr>
        <w:spacing w:after="0" w:line="4" w:lineRule="exact"/>
        <w:rPr>
          <w:rFonts w:ascii="Times New Roman" w:cs="Times New Roman" w:eastAsia="Times New Roman" w:hAnsi="Times New Roman"/>
          <w:sz w:val="14"/>
          <w:szCs w:val="14"/>
          <w:color w:val="auto"/>
        </w:rPr>
      </w:pPr>
    </w:p>
    <w:p>
      <w:pPr>
        <w:jc w:val="both"/>
        <w:ind w:left="420" w:hanging="412"/>
        <w:spacing w:after="0" w:line="267" w:lineRule="auto"/>
        <w:tabs>
          <w:tab w:leader="none" w:pos="4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W preferred unit was issued in January 2020 in exchange for the then-outstanding Series O preferred unit. The holder of the Series W preferred unit is entitled to quarterly dividends in an amount calculated as (i) 1,350 multiplied by (ii) the current distribution per common unit of limited partnership in SL Green Operating Partnership. The holder has the right to require the Operating Partnership to repurchase the Series W unit for cash, or convert the Series W unit for Class B units, in each case at a price that is determined based on the closing price of the Company's common stock at the time such right is exercised. The unit's liquidation preference is the fair market value of the unit plus accrued distributions at the time of a liquidation event.</w:t>
      </w:r>
    </w:p>
    <w:p>
      <w:pPr>
        <w:spacing w:after="0" w:line="37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Below is a summary of the activity relating to the preferred units in the Operating Partnership for the three months ended March 31, 2024 and the twelve months ended December 31, 2023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166,501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177,943</w:t>
            </w:r>
          </w:p>
        </w:tc>
      </w:tr>
      <w:tr>
        <w:trPr>
          <w:trHeight w:val="21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preferred units</w:t>
            </w:r>
          </w:p>
        </w:tc>
        <w:tc>
          <w:tcPr>
            <w:tcW w:w="28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preferred units</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w:t>
            </w:r>
          </w:p>
        </w:tc>
      </w:tr>
      <w:tr>
        <w:trPr>
          <w:trHeight w:val="21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preferred units</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dividends on preferred units</w:t>
            </w:r>
          </w:p>
        </w:tc>
        <w:tc>
          <w:tcPr>
            <w:tcW w:w="2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w:t>
            </w:r>
          </w:p>
        </w:tc>
      </w:tr>
      <w:tr>
        <w:trPr>
          <w:trHeight w:val="21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166,501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166,501</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8060" w:firstLine="8"/>
        <w:spacing w:after="0" w:line="378" w:lineRule="auto"/>
        <w:tabs>
          <w:tab w:leader="none" w:pos="27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of the Company Common Stock</w:t>
      </w: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260,000,000 shares, $0.01 par value per share, consisting of 160,000,000 shares of common stock, $0.01 par value per share, 75,000,000 shares of excess stock, at $0.01 par value per share, and 25,000,000 shares of preferred stock, par value $0.01 per share. As of March 31, 2024, 64,805,510 shares of common stock and no shares of excess stock were issued and outstanding.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August 2016, our Board of Directors approved a $1.0 billion share repurchase program under which we can buy shares of our common stock. The Board of Directors has since authorized five separate $500.0 million increases to the size of the share repurchase program in the fourth quarter of 2017, second quarter of 2018, fourth quarter of 2018, fourth quarter of 2019, and fourth quarter of 2020 bringing the total program size to $3.5 billion.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share repurchases executed under the program, excluding the redemption of OP units, were as follows: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Cumulative number of shares</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940" w:type="dxa"/>
            <w:vAlign w:val="bottom"/>
            <w:vMerge w:val="restart"/>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232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Average price paid per share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repurchased as part of the</w:t>
            </w:r>
          </w:p>
        </w:tc>
        <w:tc>
          <w:tcPr>
            <w:tcW w:w="0" w:type="dxa"/>
            <w:vAlign w:val="bottom"/>
          </w:tcPr>
          <w:p>
            <w:pPr>
              <w:spacing w:after="0"/>
              <w:rPr>
                <w:sz w:val="1"/>
                <w:szCs w:val="1"/>
                <w:color w:val="auto"/>
              </w:rPr>
            </w:pPr>
          </w:p>
        </w:tc>
      </w:tr>
      <w:tr>
        <w:trPr>
          <w:trHeight w:val="212"/>
        </w:trPr>
        <w:tc>
          <w:tcPr>
            <w:tcW w:w="3740" w:type="dxa"/>
            <w:vAlign w:val="bottom"/>
            <w:vMerge w:val="continue"/>
          </w:tcPr>
          <w:p>
            <w:pPr>
              <w:spacing w:after="0"/>
              <w:rPr>
                <w:sz w:val="18"/>
                <w:szCs w:val="18"/>
                <w:color w:val="auto"/>
              </w:rPr>
            </w:pPr>
          </w:p>
        </w:tc>
        <w:tc>
          <w:tcPr>
            <w:tcW w:w="294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repurchase plan or programs</w:t>
            </w:r>
          </w:p>
        </w:tc>
        <w:tc>
          <w:tcPr>
            <w:tcW w:w="0" w:type="dxa"/>
            <w:vAlign w:val="bottom"/>
          </w:tcPr>
          <w:p>
            <w:pPr>
              <w:spacing w:after="0"/>
              <w:rPr>
                <w:sz w:val="1"/>
                <w:szCs w:val="1"/>
                <w:color w:val="auto"/>
              </w:rPr>
            </w:pPr>
          </w:p>
        </w:tc>
      </w:tr>
      <w:tr>
        <w:trPr>
          <w:trHeight w:val="85"/>
        </w:trPr>
        <w:tc>
          <w:tcPr>
            <w:tcW w:w="374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2023</w:t>
            </w:r>
          </w:p>
        </w:tc>
        <w:tc>
          <w:tcPr>
            <w:tcW w:w="2940" w:type="dxa"/>
            <w:vAlign w:val="bottom"/>
            <w:shd w:val="clear" w:color="auto" w:fill="CCEEFF"/>
          </w:tcPr>
          <w:p>
            <w:pPr>
              <w:jc w:val="center"/>
              <w:ind w:left="97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36,107,719</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2024</w:t>
            </w:r>
          </w:p>
        </w:tc>
        <w:tc>
          <w:tcPr>
            <w:tcW w:w="294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36,107,719</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Perpetual Preferred Stock</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9,200,000 shares of our 6.50% Series I Cumulative Redeemable Preferred Stock, or the Series I Preferred Stock, outstanding with a mandatory liquidation preference of $25.00 per share. The Series I Preferred stockholders receive annual dividends of $1.625 per share paid on a quarterly basis and dividends are cumulative, subject to certain provisions. We are entitled to redeem the Series I Preferred Stock at any time, in whole or from time to time in part, at par for cash. In August 2012, we received $221.9 million in net proceeds from the issuance of the Series I Preferred Stock, which were recorded net of underwriters' discount and issuance costs, and contributed the net proceeds to the Operating Partnership in exchange for 9,200,000 units of 6.50% Series I Cumulative Redeemable Preferred Units of limited partnership interest, or the Series I Preferred Units.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and Stock Purchase Plan ("DRSPP")</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February 2024, the Company filed a new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6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SL Green common stock issued, and proceeds received from dividend reinvestments and/or stock purchases under the DRSPP for the three months ended March 31, 2024 and 2023, respectively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issued</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w:t>
            </w:r>
          </w:p>
        </w:tc>
      </w:tr>
      <w:tr>
        <w:trPr>
          <w:trHeight w:val="21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reinvestments/stock purchases under the DRSPP</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2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use the two-class method of computing earnings per share (“EPS”),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Diluted EPS reflects the potential dilution that could occur from share equivalent activity.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SL Green's earnings per share for the three months ended March 31, 2024 and 2023 are computed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attributable to SL Green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13,141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(39,731)</w:t>
            </w:r>
          </w:p>
        </w:tc>
      </w:tr>
      <w:tr>
        <w:trPr>
          <w:trHeight w:val="218"/>
        </w:trPr>
        <w:tc>
          <w:tcPr>
            <w:tcW w:w="8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Less: distributed earnings allocated to participating securities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SL Green common stockholders (numerator for 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12,707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(40,137)</w:t>
            </w:r>
          </w:p>
        </w:tc>
      </w:tr>
      <w:tr>
        <w:trPr>
          <w:trHeight w:val="218"/>
        </w:trPr>
        <w:tc>
          <w:tcPr>
            <w:tcW w:w="8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Add back: dilutive effect of earnings allocated to participating securities and contingently issuable shares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4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Add back: effect of dilutive securities (redemption of units to common shares)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w:t>
            </w:r>
          </w:p>
        </w:tc>
      </w:tr>
      <w:tr>
        <w:trPr>
          <w:trHeight w:val="236"/>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SL Green common stockholders (numerator for 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06"/>
        </w:trPr>
        <w:tc>
          <w:tcPr>
            <w:tcW w:w="8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Shares: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stock outstanding</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64,328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64,079</w:t>
            </w: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Partnership units redeemable for common shares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w:t>
            </w: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stock outstanding</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70,095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68,182</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excluded 135,000 and 1,275,225 common stock equivalents from the calculation of diluted shares outstanding for the three months ended March 31, 2024 and 2023, respectively, as they were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Partners' Capital of the Operating Partnership</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is the sole managing general partner of the Operating Partnership and at March 31, 2024 owned 64,805,510 general and limited partnership interests in the Operating Partnership and 9,200,000 Series I Preferred Units. Partnership interests in the Operating Partnership are denominated as “common units of limited partnership interest” (also referred to as “OP Units”) or “preferred units of limited partnership interest” (also referred to as “Preferred Units”). All references to OP Units and Preferred Units outstanding exclude such units held by the Company. A holder of an OP Unit may present such OP Unit to the Operating Partnership for redemption at any time (subject to restrictions agreed upon at the issuance of OP Units to particular holders that may restrict such right for a period of time, generally one year from issuance). Upon presentation of an OP Unit for redemption, the Operating Partnership must redeem such OP Unit in exchange for the cash equal to the then value of a share of common stock of the Company, except that the Company may, at its election, in lieu of cash redemption, acquire such OP Unit for one share of common stock. Because the number of shares of common stock outstanding at all times equals the number of OP Units that the Company owns, one share of common stock is generally the economic equivalent of one OP Unit, and the quarterly distribution that may be paid to the holder of an OP Unit equals the quarterly dividend that may be paid to the holder of a share of common stock. Each series of Preferred Units makes a distribution that is set in accordance with an amendment to the partnership agreement of the Operating Partnership. Preferred Units may also be convertible into OP Units at the election of the holder thereof or the Company, subject to the terms of such Preferred Units.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income (loss) allocated to the preferred unitholders and common unitholders reflects their pro rata share of net income (loss) and distributions.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Partner Units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limited partners other than SL Green owned 6.38%, or 4,417,247 common units, of the Operating Partnership.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Units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Preferred units not owned by SL Green are further described in Note 11, “Noncontrolling Interests on the Company’s Consolidated Financial Statements - Preferred Units of Limited Partnership Interest in the Operating Partnership.”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Unit</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Operating Partnership's earnings per unit for the three months ended March 31, 2024 and 2023, respectively, are computed as follows (in thousands):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7"/>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SLGOP common unitholders (numerator for diluted earnings per unit)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14,042</w:t>
            </w:r>
          </w:p>
        </w:tc>
        <w:tc>
          <w:tcPr>
            <w:tcW w:w="120" w:type="dxa"/>
            <w:vAlign w:val="bottom"/>
          </w:tcPr>
          <w:p>
            <w:pPr>
              <w:spacing w:after="0"/>
              <w:rPr>
                <w:sz w:val="19"/>
                <w:szCs w:val="19"/>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(42,068)</w:t>
            </w:r>
          </w:p>
        </w:tc>
      </w:tr>
      <w:tr>
        <w:trPr>
          <w:trHeight w:val="219"/>
        </w:trPr>
        <w:tc>
          <w:tcPr>
            <w:tcW w:w="8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Less: distributed earnings allocated to participating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208"/>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SLGOP common unitholders (numerator for basic earnings per unit)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13,608</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(42,974)</w:t>
            </w:r>
          </w:p>
        </w:tc>
      </w:tr>
      <w:tr>
        <w:trPr>
          <w:trHeight w:val="218"/>
        </w:trPr>
        <w:tc>
          <w:tcPr>
            <w:tcW w:w="8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 back: dilutive effect of earnings allocated to participating securities and contingently issuable shares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SLGOP common unitholders (numerator for diluted earnings per unit)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14,042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(42,974)</w:t>
            </w:r>
          </w:p>
        </w:tc>
      </w:tr>
      <w:tr>
        <w:trPr>
          <w:trHeight w:val="21"/>
        </w:trPr>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663"/>
        </w:trPr>
        <w:tc>
          <w:tcPr>
            <w:tcW w:w="8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units: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8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68,767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68,182</w:t>
            </w:r>
          </w:p>
        </w:tc>
      </w:tr>
      <w:tr>
        <w:trPr>
          <w:trHeight w:val="21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units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Operating Partnership has excluded 135,000 and 1,275,225 common unit equivalents from the diluted units outstanding for the three months ended March 31, 2024 and 2023, respectively, as they were anti-dilutive.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share-based employee and director compensation plans. Our employees are compensated through the Operating Partnership. Under each plan, whenever the Company issues common or preferred stock, the Operating Partnership issues an equivalent number of units of limited partnership interest of a corresponding class to the Company.</w:t>
      </w:r>
    </w:p>
    <w:p>
      <w:pPr>
        <w:spacing w:after="0" w:line="6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Fifth Amended and Restated 2005 Stock Option and Incentive Plan, or the 2005 Plan, was approved by the Company's Board of Directors in April 2022 and its stockholders in June 2022 at the Company's annual meeting of stockholders. The 2005 Plan authorizes the issuance of stock options, stock appreciation rights, unrestricted and restricted stock, phantom shares, dividend equivalent rights, cash-based awards and other equity-based awards. Subject to adjustments upon certain corporate transactions or events, awards with respect to up to a maximum of 32,210,000 fungible units may be granted under the 2005 Plan. Currently, different types of awards count against the limit on the number of fungible units differently, with (1) full-value awards (i.e., those that deliver the full value of the award upon vesting, such as restricted stock) counting as 2.59 Fungible Units per share subject to such awards,</w:t>
      </w:r>
    </w:p>
    <w:p>
      <w:pPr>
        <w:spacing w:after="0" w:line="5" w:lineRule="exact"/>
        <w:rPr>
          <w:sz w:val="20"/>
          <w:szCs w:val="20"/>
          <w:color w:val="auto"/>
        </w:rPr>
      </w:pPr>
    </w:p>
    <w:p>
      <w:pPr>
        <w:jc w:val="both"/>
        <w:ind w:firstLine="8"/>
        <w:spacing w:after="0" w:line="251" w:lineRule="auto"/>
        <w:tabs>
          <w:tab w:leader="none" w:pos="2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stock appreciation rights and other awards that do not deliver full value and expire five years from the date of grant counting as 0.84 fungible units per share subject to such awards, and (3) all other awards (e.g., 10-year stock options) counting as 1.0 fungible units per share subject to such awards. Awards granted under the 2005 Plan prior to the approval of the fifth amendment and restatement in June 2022 continue to count against the fungible unit limit based on the ratios that were in effect at the time such awards were granted, which may be different than the current ratios. As a result, depending on the types of awards issued, the 2005 Plan may result in the issuance of more or less than 32,210,000 shares. If a stock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 authorized but unissued shares. Currently, unless the 2005 Plan has been previously terminated by the Company's Board of Directors, new awards may be granted under the 2005 Plan until June 1, 2032, which is the tenth anniversary of the date that the 2005 Plan was most recently approved by the Company's stockholders. As of March 31, 2024, 3.0 million fungible units were available for issuance under the 2005 Plan after reserving for shares underlying outstanding restricted stock units, phantom stock units granted pursuant to our Non-Employee Directors' Deferral Program and LTIP Units.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Class O LTIP Units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Options are granted with an exercise price at the fair market value of the Company's common stock on the date of grant and, subject to employment, generally expire five years or ten years from the date of grant, are not transferable other than on death, and generally vest in one year to five years commencing one year from the date of grant. We have also granted Class O LTIP Units, which are a class of LTIP Units in the Operating Partnership structured to provide economics similar to those of stock options. Class O LTIP Units, once vested, may be converted, at the election of the holder, into a number of common units of the Operating Partnership per Class O LTIP Unit determined by the increase in value of a share of the Company’s common stock at the time of conversion over a participation threshold, which equals the fair market value of a share of the Company’s common stock at the time of grant. Class O LTIP Units are entitled to distributions, subject to vesting, equal per unit to 10% of the per unit distributions paid with respect to the common units of the Operating Partnership.</w:t>
      </w:r>
    </w:p>
    <w:p>
      <w:pPr>
        <w:spacing w:after="0" w:line="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or LTIP Unit granted is estimated on the date of grant using the Black-Scholes option pricing model based on historical information. There were no options granted during the three months ended March 31, 2024 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status of the Company's stock options as of March 31, 2024 and December 31, 2023, and changes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year ended December 31, 2023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298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6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54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11"/>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115,980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103.52</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0" w:type="dxa"/>
            <w:vAlign w:val="bottom"/>
          </w:tcPr>
          <w:p>
            <w:pPr>
              <w:spacing w:after="0"/>
              <w:rPr>
                <w:sz w:val="1"/>
                <w:szCs w:val="1"/>
                <w:color w:val="auto"/>
              </w:rPr>
            </w:pP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Lapsed or canceled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0" w:type="dxa"/>
            <w:vAlign w:val="bottom"/>
          </w:tcPr>
          <w:p>
            <w:pPr>
              <w:spacing w:after="0"/>
              <w:rPr>
                <w:sz w:val="1"/>
                <w:szCs w:val="1"/>
                <w:color w:val="auto"/>
              </w:rPr>
            </w:pPr>
          </w:p>
        </w:tc>
      </w:tr>
      <w:tr>
        <w:trPr>
          <w:trHeight w:val="211"/>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115,980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103.52</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at end of period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115,980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103.52</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remaining weighted average contractual life of the options outstanding was 2.7 years and the remaining average contractual life of the options exercisable was 2.7 years.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recognized no compensation expense related to options. During the three months ended March 31, 2023, we recognized no compensation expense related to options. As of March 31, 2024, there was no unrecognized compensation cost related to unvested stock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Shares may be granted to certain employees, including our executives, and vesting occurs upon the completion of a service period or our meeting established financial performance criteria. Vesting occurs at rates ranging from 15% to 35% once performance criteria are reached.</w:t>
      </w:r>
    </w:p>
    <w:p>
      <w:pPr>
        <w:spacing w:after="0" w:line="5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 summary of the Company's restricted stock as of March 31, 2024 and December 31, 2023 and changes during the three months ended March 31, 2024 and the year ended December 31, 2023, are as follows:</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4,089,174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3,758,174</w:t>
            </w: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337,350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Canceled</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(6,350)</w:t>
            </w:r>
          </w:p>
        </w:tc>
      </w:tr>
      <w:tr>
        <w:trPr>
          <w:trHeight w:val="211"/>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4,084,958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4,089,174</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during the period</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134,620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147,915</w:t>
            </w: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expense recorded</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2,625,319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7,766,055</w:t>
            </w:r>
          </w:p>
        </w:tc>
      </w:tr>
      <w:tr>
        <w:trPr>
          <w:trHeight w:val="21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fair value of restricted stock granted during the period</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15,789,540</w:t>
            </w:r>
          </w:p>
        </w:tc>
      </w:tr>
    </w:tbl>
    <w:p>
      <w:pPr>
        <w:spacing w:after="0" w:line="1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fair value of restricted stock that vested during the three months ended March 31, 2024 and the year ended December 31, 2023 was $7.1 million and $10.2 million, respectively. As of March 31, 2024, there was $17.3 million of total unrecognized compensation cost related to restricted stock, which is expected to be recognized over a weighted average period of 2.2 years.</w:t>
      </w:r>
    </w:p>
    <w:p>
      <w:pPr>
        <w:spacing w:after="0" w:line="6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granted LTIP Units, which include bonus, time-based and performance-based awards, with a fair value of $23.7 million and $38.1 million as of March 31, 2024 and December 31, 2023, respectively. The grant date fair value of the LTIP Unit awards was calculated in accordance with ASC 718. A third-party consultant determined that the fair value of the LTIP Units has a discount to our common stock price. The discount was calculated by considering the inherent uncertainty that the LTIP Units will reach parity with other common partnership units and the illiquidity due to transfer restrictions. As of March 31, 2024, there was $42.1 million of total unrecognized compensation expense related to the time-based and performance-based awards, which is expected to be recognized over a weighted average period of 1.8 years.</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recorded compensation expense related to bonus, time-based and performance-based awards of $6.2 million. During the three months ended March 31, 2023, we recorded compensation expense related to bonus, time-based and performance-based awards of $10.0 million.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$0.3 million was capitalized to assets associated with compensation expense related to our long-term compensation plans, restricted stock and stock options. For the three months ended March 31, 2023, $0.4 million was capitalized to assets associated with compensation expense related to our long-term compensation plans, restricted stock and stock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 for Directors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spacing w:after="0" w:line="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15,945 phantom stock units and 25,590 shares of common stock were issued to our Board of Directors. We recorded compensation expense of $2.1 million and $2.1 million during the three months ended March 31, 2024 and 2023, respectively, related to the Deferred Compensation Plan.</w:t>
      </w:r>
    </w:p>
    <w:p>
      <w:pPr>
        <w:spacing w:after="0" w:line="68" w:lineRule="exact"/>
        <w:rPr>
          <w:sz w:val="20"/>
          <w:szCs w:val="20"/>
          <w:color w:val="auto"/>
        </w:rPr>
      </w:pPr>
    </w:p>
    <w:p>
      <w:pPr>
        <w:ind w:right="980" w:firstLine="445"/>
        <w:spacing w:after="0" w:line="375" w:lineRule="auto"/>
        <w:rPr>
          <w:sz w:val="20"/>
          <w:szCs w:val="20"/>
          <w:color w:val="auto"/>
        </w:rPr>
      </w:pPr>
      <w:r>
        <w:rPr>
          <w:rFonts w:ascii="Times New Roman" w:cs="Times New Roman" w:eastAsia="Times New Roman" w:hAnsi="Times New Roman"/>
          <w:sz w:val="18"/>
          <w:szCs w:val="18"/>
          <w:color w:val="auto"/>
        </w:rPr>
        <w:t xml:space="preserve">As of March 31, 2024, there were 125,654 phantom stock units outstanding pursuant to our Non-Employee Director's Deferral Program. </w:t>
      </w:r>
      <w:r>
        <w:rPr>
          <w:rFonts w:ascii="Times New Roman" w:cs="Times New Roman" w:eastAsia="Times New Roman" w:hAnsi="Times New Roman"/>
          <w:sz w:val="18"/>
          <w:szCs w:val="18"/>
          <w:b w:val="1"/>
          <w:bCs w:val="1"/>
          <w:color w:val="auto"/>
        </w:rPr>
        <w:t>Employee Stock Purchase Plan</w:t>
      </w:r>
    </w:p>
    <w:p>
      <w:pPr>
        <w:spacing w:after="0" w:line="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2007, the Company's Board of Directors adopted the 2008 Employee Stock Purchase Plan, or ESPP, to provide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March 31, 2024, 217,081 shares of our common stock had been issued under the ESPP.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set forth the changes in accumulated other comprehensive income by component as of March 31, 2024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SL Green’s share</w:t>
            </w: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of joint venture</w:t>
            </w:r>
          </w:p>
        </w:tc>
        <w:tc>
          <w:tcPr>
            <w:tcW w:w="120" w:type="dxa"/>
            <w:vAlign w:val="bottom"/>
          </w:tcPr>
          <w:p>
            <w:pPr>
              <w:spacing w:after="0"/>
              <w:rPr>
                <w:sz w:val="12"/>
                <w:szCs w:val="12"/>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 (loss)</w:t>
            </w: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net unrealized (loss)</w:t>
            </w:r>
          </w:p>
        </w:tc>
        <w:tc>
          <w:tcPr>
            <w:tcW w:w="1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(loss) on derivative</w:t>
            </w: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gain on derivative</w:t>
            </w: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gain on marketable</w:t>
            </w:r>
          </w:p>
        </w:tc>
        <w:tc>
          <w:tcPr>
            <w:tcW w:w="340" w:type="dxa"/>
            <w:vAlign w:val="bottom"/>
          </w:tcPr>
          <w:p>
            <w:pPr>
              <w:spacing w:after="0"/>
              <w:rPr>
                <w:sz w:val="12"/>
                <w:szCs w:val="12"/>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instruments </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9"/>
                <w:szCs w:val="9"/>
                <w:b w:val="1"/>
                <w:bCs w:val="1"/>
                <w:color w:val="auto"/>
              </w:rPr>
              <w:t>)</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instruments </w:t>
            </w:r>
            <w:r>
              <w:rPr>
                <w:rFonts w:ascii="Times New Roman" w:cs="Times New Roman" w:eastAsia="Times New Roman" w:hAnsi="Times New Roman"/>
                <w:sz w:val="18"/>
                <w:szCs w:val="18"/>
                <w:b w:val="1"/>
                <w:bCs w:val="1"/>
                <w:color w:val="auto"/>
                <w:w w:val="97"/>
                <w:vertAlign w:val="superscript"/>
              </w:rPr>
              <w:t>(</w:t>
            </w:r>
            <w:r>
              <w:rPr>
                <w:rFonts w:ascii="Times New Roman" w:cs="Times New Roman" w:eastAsia="Times New Roman" w:hAnsi="Times New Roman"/>
                <w:sz w:val="16"/>
                <w:szCs w:val="16"/>
                <w:b w:val="1"/>
                <w:bCs w:val="1"/>
                <w:color w:val="auto"/>
                <w:w w:val="97"/>
                <w:vertAlign w:val="superscript"/>
              </w:rPr>
              <w:t>2</w:t>
            </w:r>
            <w:r>
              <w:rPr>
                <w:rFonts w:ascii="Times New Roman" w:cs="Times New Roman" w:eastAsia="Times New Roman" w:hAnsi="Times New Roman"/>
                <w:sz w:val="18"/>
                <w:szCs w:val="18"/>
                <w:b w:val="1"/>
                <w:bCs w:val="1"/>
                <w:color w:val="auto"/>
                <w:w w:val="97"/>
                <w:vertAlign w:val="superscript"/>
              </w:rPr>
              <w:t>)</w:t>
            </w: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25,352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center"/>
              <w:ind w:left="784"/>
              <w:spacing w:after="0"/>
              <w:rPr>
                <w:sz w:val="20"/>
                <w:szCs w:val="20"/>
                <w:color w:val="auto"/>
              </w:rPr>
            </w:pPr>
            <w:r>
              <w:rPr>
                <w:rFonts w:ascii="Times New Roman" w:cs="Times New Roman" w:eastAsia="Times New Roman" w:hAnsi="Times New Roman"/>
                <w:sz w:val="16"/>
                <w:szCs w:val="16"/>
                <w:color w:val="auto"/>
                <w:w w:val="98"/>
              </w:rPr>
              <w:t>(6,084)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17,477</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40" w:type="dxa"/>
            <w:vAlign w:val="bottom"/>
          </w:tcPr>
          <w:p>
            <w:pPr>
              <w:spacing w:after="0"/>
              <w:rPr>
                <w:sz w:val="18"/>
                <w:szCs w:val="18"/>
                <w:color w:val="auto"/>
              </w:rPr>
            </w:pPr>
          </w:p>
        </w:tc>
        <w:tc>
          <w:tcPr>
            <w:tcW w:w="1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29,023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804"/>
              <w:spacing w:after="0"/>
              <w:rPr>
                <w:sz w:val="20"/>
                <w:szCs w:val="20"/>
                <w:color w:val="auto"/>
              </w:rPr>
            </w:pPr>
            <w:r>
              <w:rPr>
                <w:rFonts w:ascii="Times New Roman" w:cs="Times New Roman" w:eastAsia="Times New Roman" w:hAnsi="Times New Roman"/>
                <w:sz w:val="16"/>
                <w:szCs w:val="16"/>
                <w:color w:val="auto"/>
                <w:w w:val="99"/>
              </w:rPr>
              <w:t>5,409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center"/>
              <w:ind w:left="521"/>
              <w:spacing w:after="0"/>
              <w:rPr>
                <w:sz w:val="20"/>
                <w:szCs w:val="20"/>
                <w:color w:val="auto"/>
              </w:rPr>
            </w:pPr>
            <w:r>
              <w:rPr>
                <w:rFonts w:ascii="Times New Roman" w:cs="Times New Roman" w:eastAsia="Times New Roman" w:hAnsi="Times New Roman"/>
                <w:sz w:val="16"/>
                <w:szCs w:val="16"/>
                <w:color w:val="auto"/>
              </w:rPr>
              <w:t>35,451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(9,095)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784"/>
              <w:spacing w:after="0"/>
              <w:rPr>
                <w:sz w:val="20"/>
                <w:szCs w:val="20"/>
                <w:color w:val="auto"/>
              </w:rPr>
            </w:pPr>
            <w:r>
              <w:rPr>
                <w:rFonts w:ascii="Times New Roman" w:cs="Times New Roman" w:eastAsia="Times New Roman" w:hAnsi="Times New Roman"/>
                <w:sz w:val="16"/>
                <w:szCs w:val="16"/>
                <w:color w:val="auto"/>
                <w:w w:val="98"/>
              </w:rPr>
              <w:t>(3,682)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rPr>
              <w:t>(12,777)</w:t>
            </w:r>
          </w:p>
        </w:tc>
        <w:tc>
          <w:tcPr>
            <w:tcW w:w="0" w:type="dxa"/>
            <w:vAlign w:val="bottom"/>
          </w:tcPr>
          <w:p>
            <w:pPr>
              <w:spacing w:after="0"/>
              <w:rPr>
                <w:sz w:val="1"/>
                <w:szCs w:val="1"/>
                <w:color w:val="auto"/>
              </w:rPr>
            </w:pPr>
          </w:p>
        </w:tc>
      </w:t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45,280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center"/>
              <w:ind w:left="784"/>
              <w:spacing w:after="0"/>
              <w:rPr>
                <w:sz w:val="20"/>
                <w:szCs w:val="20"/>
                <w:color w:val="auto"/>
              </w:rPr>
            </w:pPr>
            <w:r>
              <w:rPr>
                <w:rFonts w:ascii="Times New Roman" w:cs="Times New Roman" w:eastAsia="Times New Roman" w:hAnsi="Times New Roman"/>
                <w:sz w:val="16"/>
                <w:szCs w:val="16"/>
                <w:color w:val="auto"/>
                <w:w w:val="98"/>
              </w:rPr>
              <w:t>(4,357)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40,151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420" w:hanging="412"/>
        <w:spacing w:after="0" w:line="261" w:lineRule="auto"/>
        <w:tabs>
          <w:tab w:leader="none" w:pos="41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reclassified from accumulated other comprehensive income is included in interest expense in the respective consolidated statements of operations. As of March 31, 2024 and December 31, 2023, the deferred net gains from these terminated hedges, which is included in accumulated other comprehensive income relating to net unrealized gain (loss) on derivative instruments, was ($0.3 million) and ($0.4 million), respectively.</w:t>
      </w:r>
    </w:p>
    <w:p>
      <w:pPr>
        <w:ind w:left="420" w:hanging="412"/>
        <w:spacing w:after="0" w:line="283" w:lineRule="auto"/>
        <w:tabs>
          <w:tab w:leader="none" w:pos="41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reclassified from accumulated other comprehensive income is included in equity in net income (loss) from unconsolidated joint ventures in the respective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are required to disclose fair value information with regard to certain of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certain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1 - 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8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assets and liabilities that we measure at fair value on a recurring and non-recurring basis by their levels in the fair value hierarchy as of March 31, 2024 and December 31, 2023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7"/>
              </w:rPr>
              <w:t>March 31, 2024</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7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9"/>
              </w:rPr>
              <w:t>Assets:</w:t>
            </w:r>
          </w:p>
        </w:tc>
        <w:tc>
          <w:tcPr>
            <w:tcW w:w="44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Marketable securities available-for-sale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176"/>
        </w:trPr>
        <w:tc>
          <w:tcPr>
            <w:tcW w:w="20" w:type="dxa"/>
            <w:vAlign w:val="bottom"/>
          </w:tcPr>
          <w:p>
            <w:pPr>
              <w:spacing w:after="0"/>
              <w:rPr>
                <w:sz w:val="15"/>
                <w:szCs w:val="15"/>
                <w:color w:val="auto"/>
              </w:rPr>
            </w:pPr>
          </w:p>
        </w:tc>
        <w:tc>
          <w:tcPr>
            <w:tcW w:w="49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liabilities)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7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9"/>
              </w:rPr>
              <w:t>Assets:</w:t>
            </w:r>
          </w:p>
        </w:tc>
        <w:tc>
          <w:tcPr>
            <w:tcW w:w="44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Marketable securities available-for-sale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20" w:type="dxa"/>
            <w:vAlign w:val="bottom"/>
          </w:tcPr>
          <w:p>
            <w:pPr>
              <w:spacing w:after="0"/>
              <w:rPr>
                <w:sz w:val="15"/>
                <w:szCs w:val="15"/>
                <w:color w:val="auto"/>
              </w:rPr>
            </w:pPr>
          </w:p>
        </w:tc>
        <w:tc>
          <w:tcPr>
            <w:tcW w:w="49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liabilities)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evaluate real estate investments and debt and preferred equity investments, including intangibles, for potential impairment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March 2024, the Company entered into an agreement to acquire its partner's 45.0% interest in the 10 East 53rd Street joint venture. As a result of the contract terms, it was concluded that the joint venture is a VIE in which the Company is the primary beneficiary, and the investment was consolidated in our financial statements. Upon consolidating the entity, the assets and liabilities of the entity were recorded at fair value which resulted in the recognition of a fair value adjustment of ($55.7 million), which is included in Purchase price and other fair value adjustments in the consolidated statements of operations. This fair value was determined using a third-party valuation which primarily utilized cash flow projections that apply, among other things, estimated revenue and expense growth rates, discount rates and capitalization rates, as well as the sales comparison approach, which utilizes comparable sales, listings, and sales contracts. All of which are classified as Level 3 inputs.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Marketable securities classified as Level 1 are derived from quoted prices in active markets. The valuation technique used to measure the fair value of marketable securities classified as Level 2 were valued based on quoted market prices or model driven valuations using the significant inputs derived from or corroborated by observable market data. We do not intend to sell these securities and it is not more likely than not that we will be required to sell the investments before recovery of their amortized cost bases.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6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carrying value and fair value of these financial instruments as of March 31, 2024 and December 31, 2023 (in thousands):</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105"/>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color w:val="auto"/>
                <w:vertAlign w:val="superscript"/>
              </w:rPr>
              <w:t>(1)</w:t>
            </w:r>
          </w:p>
        </w:tc>
        <w:tc>
          <w:tcPr>
            <w:tcW w:w="500" w:type="dxa"/>
            <w:vAlign w:val="bottom"/>
          </w:tcPr>
          <w:p>
            <w:pPr>
              <w:spacing w:after="0"/>
              <w:rPr>
                <w:sz w:val="18"/>
                <w:szCs w:val="18"/>
                <w:color w:val="auto"/>
              </w:rPr>
            </w:pPr>
          </w:p>
        </w:tc>
        <w:tc>
          <w:tcPr>
            <w:tcW w:w="1260" w:type="dxa"/>
            <w:vAlign w:val="bottom"/>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color w:val="auto"/>
                <w:vertAlign w:val="superscript"/>
              </w:rPr>
              <w:t>(1)</w:t>
            </w:r>
          </w:p>
        </w:tc>
        <w:tc>
          <w:tcPr>
            <w:tcW w:w="300" w:type="dxa"/>
            <w:vAlign w:val="bottom"/>
          </w:tcPr>
          <w:p>
            <w:pPr>
              <w:spacing w:after="0"/>
              <w:rPr>
                <w:sz w:val="18"/>
                <w:szCs w:val="18"/>
                <w:color w:val="auto"/>
              </w:rPr>
            </w:pPr>
          </w:p>
        </w:tc>
        <w:tc>
          <w:tcPr>
            <w:tcW w:w="1460" w:type="dxa"/>
            <w:vAlign w:val="bottom"/>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Debt and preferred equity investments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352,347</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jc w:val="right"/>
              <w:ind w:right="745"/>
              <w:spacing w:after="0"/>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12"/>
                <w:szCs w:val="12"/>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346,745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right"/>
              <w:ind w:right="765"/>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74"/>
        </w:trPr>
        <w:tc>
          <w:tcPr>
            <w:tcW w:w="37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3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rate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3,040,885</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2,973,363</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3,237,386</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3,184,338</w:t>
            </w:r>
          </w:p>
        </w:tc>
        <w:tc>
          <w:tcPr>
            <w:tcW w:w="0" w:type="dxa"/>
            <w:vAlign w:val="bottom"/>
          </w:tcPr>
          <w:p>
            <w:pPr>
              <w:spacing w:after="0"/>
              <w:rPr>
                <w:sz w:val="1"/>
                <w:szCs w:val="1"/>
                <w:color w:val="auto"/>
              </w:rPr>
            </w:pPr>
          </w:p>
        </w:tc>
      </w:tr>
      <w:tr>
        <w:trPr>
          <w:trHeight w:val="25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Variable rate debt </w:t>
            </w:r>
            <w:r>
              <w:rPr>
                <w:rFonts w:ascii="Times New Roman" w:cs="Times New Roman" w:eastAsia="Times New Roman" w:hAnsi="Times New Roman"/>
                <w:sz w:val="21"/>
                <w:szCs w:val="21"/>
                <w:b w:val="1"/>
                <w:bCs w:val="1"/>
                <w:color w:val="auto"/>
                <w:vertAlign w:val="superscript"/>
              </w:rPr>
              <w:t>(3)</w:t>
            </w:r>
          </w:p>
        </w:tc>
        <w:tc>
          <w:tcPr>
            <w:tcW w:w="1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760,493</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759,604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268,787</w:t>
            </w:r>
          </w:p>
        </w:tc>
        <w:tc>
          <w:tcPr>
            <w:tcW w:w="0" w:type="dxa"/>
            <w:vAlign w:val="bottom"/>
          </w:tcPr>
          <w:p>
            <w:pPr>
              <w:spacing w:after="0"/>
              <w:rPr>
                <w:sz w:val="1"/>
                <w:szCs w:val="1"/>
                <w:color w:val="auto"/>
              </w:rPr>
            </w:pPr>
          </w:p>
        </w:tc>
      </w:tr>
      <w:tr>
        <w:trPr>
          <w:trHeight w:val="208"/>
        </w:trPr>
        <w:tc>
          <w:tcPr>
            <w:tcW w:w="37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3,801,378</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3,732,967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3,507,386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3,453,125</w:t>
            </w:r>
          </w:p>
        </w:tc>
        <w:tc>
          <w:tcPr>
            <w:tcW w:w="0" w:type="dxa"/>
            <w:vAlign w:val="bottom"/>
          </w:tcPr>
          <w:p>
            <w:pPr>
              <w:spacing w:after="0"/>
              <w:rPr>
                <w:sz w:val="1"/>
                <w:szCs w:val="1"/>
                <w:color w:val="auto"/>
              </w:rPr>
            </w:pPr>
          </w:p>
        </w:tc>
      </w:tr>
      <w:tr>
        <w:trPr>
          <w:trHeight w:val="22"/>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net deferred financing costs.</w:t>
      </w:r>
    </w:p>
    <w:p>
      <w:pPr>
        <w:spacing w:after="0" w:line="27" w:lineRule="exact"/>
        <w:rPr>
          <w:rFonts w:ascii="Times New Roman" w:cs="Times New Roman" w:eastAsia="Times New Roman" w:hAnsi="Times New Roman"/>
          <w:sz w:val="14"/>
          <w:szCs w:val="14"/>
          <w:color w:val="auto"/>
        </w:rPr>
      </w:pPr>
    </w:p>
    <w:p>
      <w:pPr>
        <w:ind w:left="420" w:hanging="412"/>
        <w:spacing w:after="0" w:line="254" w:lineRule="auto"/>
        <w:tabs>
          <w:tab w:leader="none" w:pos="41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debt and preferred equity investments had an estimated fair value of approximately $0.3 billion. As of December 31, 2023, debt and preferred equity investments had an estimated fair value of approximately $0.3 billion.</w:t>
      </w:r>
    </w:p>
    <w:p>
      <w:pPr>
        <w:ind w:left="400" w:hanging="392"/>
        <w:spacing w:after="0"/>
        <w:tabs>
          <w:tab w:leader="none" w:pos="4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variable rate debt with a carrying value of $110.5 million and fair value of $109.4 million is included in the Company's alternative strategy portfolio.</w:t>
      </w:r>
    </w:p>
    <w:p>
      <w:pPr>
        <w:spacing w:after="0" w:line="2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Disclosures regarding fair value of financial instruments was based on pertinent information available to us as of March 31, 2024 and December 31, 2023. Such amounts have not been comprehensively revalued for purposes of these financial statements since that date and current estimates of fair value may differ significantly from the amounts presented herein.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Financial Instruments: Derivatives and Hedging</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use a variety of commonly used derivative instruments, including, but not limited to, interest rate swaps, caps, collars and floors, to manage, or hedge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(loss) until the hedged item is recognized in earnings. Reported net income and equity may increase or decrease prospectively, depending on future levels of interest rates and other variables affecting the fair values of derivative instruments and hedged items, but will have no effect on cash flows. Currently, all of our designated derivative instruments are effective hedging instruments.</w:t>
      </w:r>
    </w:p>
    <w:p>
      <w:pPr>
        <w:spacing w:after="0" w:line="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notional value at inception and fair value of our consolidated derivative financial instruments as of March 31, 2024 based on Level 2 information. The notional value is an indication of the extent of our involvement in these instruments at that time, but does not represent exposure to credit, interest rate or market risks (dollars in thousands).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Strike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7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2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248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4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2023</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2024</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June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2024</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2025</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December 2021</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January 2026</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4,915</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December 2021</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January 2026</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8,730</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July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2027</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11,314</w:t>
            </w:r>
          </w:p>
        </w:tc>
      </w:tr>
      <w:tr>
        <w:trPr>
          <w:trHeight w:val="21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January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May 2027</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November 2022</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r>
      <w:tr>
        <w:trPr>
          <w:trHeight w:val="219"/>
        </w:trPr>
        <w:tc>
          <w:tcPr>
            <w:tcW w:w="24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Interest Rate Swap </w:t>
            </w:r>
            <w:r>
              <w:rPr>
                <w:rFonts w:ascii="Times New Roman" w:cs="Times New Roman" w:eastAsia="Times New Roman" w:hAnsi="Times New Roman"/>
                <w:sz w:val="21"/>
                <w:szCs w:val="21"/>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2027</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w:t>
            </w:r>
          </w:p>
        </w:tc>
      </w:tr>
      <w:tr>
        <w:trPr>
          <w:trHeight w:val="213"/>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January 2028</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204,963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2025</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May 2028</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r>
      <w:tr>
        <w:trPr>
          <w:trHeight w:val="211"/>
        </w:trPr>
        <w:tc>
          <w:tcPr>
            <w:tcW w:w="2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43,634</w:t>
            </w:r>
          </w:p>
        </w:tc>
      </w:tr>
      <w:tr>
        <w:trPr>
          <w:trHeight w:val="22"/>
        </w:trPr>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Quarterly changes in fair value recognized in the calculation of FFO.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we recorded a gain of $5.2 million based on the changes in the fair value of a forward-starting interest rate swap, which is included in Purchase price and other fair value adjustments in the consolidated statements of operations. During the three months ended March 31, 2023, we recorded a gain of $0.2 million based on the changes in the fair value of an interest rate cap we sold, which is included in Purchase price and other fair value adjustments in the consolidated statements of operations. During the three months ended March 31, 2024, we recorded a loss of less than $0.1 million on the changes in fair value, which is included in interest expense in the consolidated statements of operations. During the three months ended March 31, 2023, we recorded a loss of $0.1 million on the changes in fair value, which is included in interest expense in the consolidated statements of operations.</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Certain agreements the Company has with each of its derivative counterparties contain a provision where if the Company defaults on any of its indebtedness, then the Company could also be declared in default on its derivative obligations. As of March 31, 2024, the fair value of derivatives in a net liability position, including accrued interest but excluding any adjustment for nonperformance risk related to these agreements, was ($8.1 million). As of March 31, 2024, the Company was not required to post any collateral related to these agreements and was not in breach of any agreement provisions. If the Company had breached any of these provisions, it could have been required to settle its obligations under the agreements at their aggregate termination value of $8.5 million as of March 31, 2024.</w:t>
      </w:r>
    </w:p>
    <w:p>
      <w:pPr>
        <w:spacing w:after="0" w:line="7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Gains and losses on terminated hedges are included in accumulated other comprehensive income, and are recognized into earnings over the term of the related obligation. Over time, the realized and unrealized gains and losses held in accumulated other comprehensive income will be reclassified into earnings as an adjustment to interest expense in the same periods in which the hedged interest payments affect earnings. We estimate that ($32.8 million) of the current balance held in accumulated other comprehensive income will be reclassified into interest expense and ($7.3 million) of the portion related to our share of joint venture accumulated other comprehensive income will be reclassified into equity in net loss from unconsolidated joint ventures within the next 12 months.</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 of our derivative financial instruments and our share of our joint ventures' derivative financial instruments that are designated and qualify as hedging instruments on the consolidated statements of operations for the three months ended March 31, 2024 and 2023, respectively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4"/>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tc>
        <w:tc>
          <w:tcPr>
            <w:tcW w:w="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 of Gain Reclassified from</w:t>
            </w: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4"/>
          </w:tcPr>
          <w:p>
            <w:pPr>
              <w:jc w:val="center"/>
              <w:ind w:right="81"/>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Comprehensive Income into Income</w:t>
            </w:r>
          </w:p>
        </w:tc>
        <w:tc>
          <w:tcPr>
            <w:tcW w:w="0" w:type="dxa"/>
            <w:vAlign w:val="bottom"/>
          </w:tcPr>
          <w:p>
            <w:pPr>
              <w:spacing w:after="0"/>
              <w:rPr>
                <w:sz w:val="1"/>
                <w:szCs w:val="1"/>
                <w:color w:val="auto"/>
              </w:rPr>
            </w:pPr>
          </w:p>
        </w:tc>
      </w:tr>
      <w:tr>
        <w:trPr>
          <w:trHeight w:val="232"/>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4"/>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20"/>
                <w:szCs w:val="20"/>
                <w:color w:val="auto"/>
              </w:rPr>
            </w:pP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 of Gain Reclassified from</w:t>
            </w:r>
          </w:p>
        </w:tc>
        <w:tc>
          <w:tcPr>
            <w:tcW w:w="160" w:type="dxa"/>
            <w:vAlign w:val="bottom"/>
          </w:tcPr>
          <w:p>
            <w:pPr>
              <w:spacing w:after="0"/>
              <w:rPr>
                <w:sz w:val="20"/>
                <w:szCs w:val="20"/>
                <w:color w:val="auto"/>
              </w:rPr>
            </w:pPr>
          </w:p>
        </w:tc>
        <w:tc>
          <w:tcPr>
            <w:tcW w:w="2460" w:type="dxa"/>
            <w:vAlign w:val="bottom"/>
            <w:gridSpan w:val="4"/>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09"/>
        </w:trPr>
        <w:tc>
          <w:tcPr>
            <w:tcW w:w="2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 Comprehensive Income</w:t>
            </w:r>
          </w:p>
        </w:tc>
        <w:tc>
          <w:tcPr>
            <w:tcW w:w="160" w:type="dxa"/>
            <w:vAlign w:val="bottom"/>
          </w:tcPr>
          <w:p>
            <w:pPr>
              <w:spacing w:after="0"/>
              <w:rPr>
                <w:sz w:val="9"/>
                <w:szCs w:val="9"/>
                <w:color w:val="auto"/>
              </w:rPr>
            </w:pPr>
          </w:p>
        </w:tc>
        <w:tc>
          <w:tcPr>
            <w:tcW w:w="2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0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6"/>
                <w:szCs w:val="16"/>
                <w:color w:val="auto"/>
              </w:rPr>
            </w:pPr>
          </w:p>
        </w:tc>
        <w:tc>
          <w:tcPr>
            <w:tcW w:w="112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160" w:type="dxa"/>
            <w:vAlign w:val="bottom"/>
          </w:tcPr>
          <w:p>
            <w:pPr>
              <w:spacing w:after="0"/>
              <w:rPr>
                <w:sz w:val="16"/>
                <w:szCs w:val="16"/>
                <w:color w:val="auto"/>
              </w:rPr>
            </w:pPr>
          </w:p>
        </w:tc>
        <w:tc>
          <w:tcPr>
            <w:tcW w:w="110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Swaps/Caps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31,156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(17,913)</w:t>
            </w:r>
          </w:p>
        </w:tc>
        <w:tc>
          <w:tcPr>
            <w:tcW w:w="1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9,763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9,023</w:t>
            </w:r>
          </w:p>
        </w:tc>
        <w:tc>
          <w:tcPr>
            <w:tcW w:w="0" w:type="dxa"/>
            <w:vAlign w:val="bottom"/>
          </w:tcPr>
          <w:p>
            <w:pPr>
              <w:spacing w:after="0"/>
              <w:rPr>
                <w:sz w:val="1"/>
                <w:szCs w:val="1"/>
                <w:color w:val="auto"/>
              </w:rPr>
            </w:pPr>
          </w:p>
        </w:tc>
      </w:tr>
      <w:tr>
        <w:trPr>
          <w:trHeight w:val="162"/>
        </w:trPr>
        <w:tc>
          <w:tcPr>
            <w:tcW w:w="29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 of unconsolidated joint ventures'</w:t>
            </w:r>
          </w:p>
        </w:tc>
        <w:tc>
          <w:tcPr>
            <w:tcW w:w="140" w:type="dxa"/>
            <w:vAlign w:val="bottom"/>
          </w:tcPr>
          <w:p>
            <w:pPr>
              <w:spacing w:after="0"/>
              <w:rPr>
                <w:sz w:val="14"/>
                <w:szCs w:val="14"/>
                <w:color w:val="auto"/>
              </w:rPr>
            </w:pPr>
          </w:p>
        </w:tc>
        <w:tc>
          <w:tcPr>
            <w:tcW w:w="112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5,705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Pr>
          <w:p>
            <w:pPr>
              <w:spacing w:after="0"/>
              <w:rPr>
                <w:sz w:val="14"/>
                <w:szCs w:val="14"/>
                <w:color w:val="auto"/>
              </w:rPr>
            </w:pPr>
          </w:p>
        </w:tc>
        <w:tc>
          <w:tcPr>
            <w:tcW w:w="2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 in net loss from unconsolidated</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3,884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0" w:type="dxa"/>
            <w:vAlign w:val="bottom"/>
          </w:tcPr>
          <w:p>
            <w:pPr>
              <w:spacing w:after="0"/>
              <w:rPr>
                <w:sz w:val="1"/>
                <w:szCs w:val="1"/>
                <w:color w:val="auto"/>
              </w:rPr>
            </w:pPr>
          </w:p>
        </w:tc>
      </w:tr>
      <w:tr>
        <w:trPr>
          <w:trHeight w:val="213"/>
        </w:trPr>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joint ventures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36,861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(19,408)</w:t>
            </w: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notional value at inception and fair value of our joint ventures' derivative financial instruments as of March 31, 2024 based on Level 2 information. The notional value is an indication of the extent of our involvement in these instruments at that time, but does not represent exposure to credit, interest rate or market risks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Strike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c>
          <w:tcPr>
            <w:tcW w:w="26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501,650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0.490 %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2022</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2024</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Asset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501,650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0.490 %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2022</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2024</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505,412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2024</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273,616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August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August 2024</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514,897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2024</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278,161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November 2024</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278,161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May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2024</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3.608 %</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April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April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177,000</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1.555 %</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December 2022</w:t>
            </w:r>
          </w:p>
        </w:tc>
        <w:tc>
          <w:tcPr>
            <w:tcW w:w="16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7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9,459</w:t>
            </w: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33,786</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Lease Income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Operating Partnership is the lessor and the sublessor to tenants under operating and sales-type leases. The minimum rental amounts due under the leases are generally subject to scheduled fixed increases or adjustments. The leases generally also require that the tenants reimburse us for increases in certain operating costs and real estate taxes above their base year costs.</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components of lease income from operating leases during the three months ended March 31, 2024 and 2023 were as follows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lease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128,252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166,353</w:t>
            </w:r>
          </w:p>
        </w:tc>
      </w:tr>
      <w:tr>
        <w:trPr>
          <w:trHeight w:val="21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lease payments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20,450</w:t>
            </w:r>
          </w:p>
        </w:tc>
      </w:tr>
      <w:tr>
        <w:trPr>
          <w:trHeight w:val="211"/>
        </w:trPr>
        <w:tc>
          <w:tcPr>
            <w:tcW w:w="84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Total lease payments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141,553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186,803</w:t>
            </w:r>
          </w:p>
        </w:tc>
      </w:tr>
      <w:tr>
        <w:trPr>
          <w:trHeight w:val="21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acquired above and below-market leases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8,239</w:t>
            </w:r>
          </w:p>
        </w:tc>
      </w:tr>
      <w:tr>
        <w:trPr>
          <w:trHeight w:val="23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rental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141,504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195,042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$48.4 million and $48.9 million of sublease income during the three months ended March 31, 2024 and 2023, respectively.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components of lease income from sales-type leases during the three months ended March 31, 2024 and 2023 were as follows (in thousands):</w:t>
      </w:r>
    </w:p>
    <w:p>
      <w:pPr>
        <w:spacing w:after="0" w:line="160"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21590</wp:posOffset>
            </wp:positionV>
            <wp:extent cx="17576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26" w:lineRule="exact"/>
        <w:rPr>
          <w:sz w:val="20"/>
          <w:szCs w:val="20"/>
          <w:color w:val="auto"/>
        </w:rPr>
      </w:pPr>
    </w:p>
    <w:p>
      <w:pPr>
        <w:ind w:left="8960"/>
        <w:spacing w:after="0"/>
        <w:tabs>
          <w:tab w:leader="none" w:pos="103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151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6" w:lineRule="exact"/>
        <w:rPr>
          <w:sz w:val="20"/>
          <w:szCs w:val="20"/>
          <w:color w:val="auto"/>
        </w:rPr>
      </w:pPr>
    </w:p>
    <w:p>
      <w:pPr>
        <w:ind w:left="40"/>
        <w:spacing w:after="0"/>
        <w:tabs>
          <w:tab w:leader="none" w:pos="8460" w:val="left"/>
          <w:tab w:leader="none" w:pos="9340" w:val="left"/>
          <w:tab w:leader="none" w:pos="9900" w:val="left"/>
          <w:tab w:leader="none" w:pos="10780" w:val="left"/>
        </w:tabs>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1"/>
          <w:szCs w:val="21"/>
          <w:color w:val="auto"/>
          <w:vertAlign w:val="superscript"/>
        </w:rPr>
        <w:t>(1)</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1,120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1,106</w:t>
      </w:r>
    </w:p>
    <w:p>
      <w:pPr>
        <w:spacing w:after="0" w:line="62"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included in Other income in our consolidated statements of operations.</w:t>
      </w:r>
    </w:p>
    <w:p>
      <w:pPr>
        <w:spacing w:after="0" w:line="258" w:lineRule="exact"/>
        <w:rPr>
          <w:sz w:val="20"/>
          <w:szCs w:val="20"/>
          <w:color w:val="auto"/>
        </w:rPr>
      </w:pPr>
    </w:p>
    <w:p>
      <w:pPr>
        <w:ind w:right="8420" w:firstLine="8"/>
        <w:spacing w:after="0" w:line="378" w:lineRule="auto"/>
        <w:tabs>
          <w:tab w:leader="none" w:pos="27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three reportable segments, real estate, debt and preferred equity investments, and SUMMIT. In the fourth quarter of 2023, due to quantitative thresholds, SUMMIT was identified as a reportable segment. As such, prior period segment data has been restated to reflect SUMMIT as a reportable segment for comparative purposes.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evaluate real estate performance and allocate resources based on earnings contributions.</w:t>
      </w:r>
    </w:p>
    <w:p>
      <w:pPr>
        <w:spacing w:after="0" w:line="11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primary sources of revenue are generated from tenant rents, escalations and reimbursement revenue. Real estate property operating expenses consist primarily of security, maintenance, utility costs, insurance, real estate taxes and, at certain properties, ground rent expense. See Note 5, "Debt and Preferred Equity Investments," for additional details on our debt and preferred equity investments. SUMMIT currently operates one location at One Vanderbilt Avenue in midtown Manhattan with the primary source of revenue generated from ticket sales.</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Selected consolidated results of operations for the three months ended March 31, 2024 and 2023, and selected asset information as of March 31, 2024 and December 31, 2023, regarding our operating segments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60" w:type="dxa"/>
            <w:vAlign w:val="bottom"/>
          </w:tcPr>
          <w:p>
            <w:pPr>
              <w:spacing w:after="0"/>
              <w:rPr>
                <w:sz w:val="16"/>
                <w:szCs w:val="16"/>
                <w:color w:val="auto"/>
              </w:rPr>
            </w:pPr>
          </w:p>
        </w:tc>
        <w:tc>
          <w:tcPr>
            <w:tcW w:w="1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14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Debt and Preferred</w:t>
            </w:r>
          </w:p>
        </w:tc>
        <w:tc>
          <w:tcPr>
            <w:tcW w:w="220" w:type="dxa"/>
            <w:vAlign w:val="bottom"/>
          </w:tcPr>
          <w:p>
            <w:pPr>
              <w:spacing w:after="0"/>
              <w:rPr>
                <w:sz w:val="16"/>
                <w:szCs w:val="16"/>
                <w:color w:val="auto"/>
              </w:rPr>
            </w:pPr>
          </w:p>
        </w:tc>
        <w:tc>
          <w:tcPr>
            <w:tcW w:w="15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 Company</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 Segment</w:t>
            </w:r>
          </w:p>
        </w:tc>
        <w:tc>
          <w:tcPr>
            <w:tcW w:w="2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Three months ended:</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March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187,882</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March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245,764</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Three months ended:</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March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18,389</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March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(38,357)</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 of:</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March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8,946,952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9,764,292</w:t>
            </w:r>
          </w:p>
        </w:tc>
        <w:tc>
          <w:tcPr>
            <w:tcW w:w="0" w:type="dxa"/>
            <w:vAlign w:val="bottom"/>
          </w:tcPr>
          <w:p>
            <w:pPr>
              <w:spacing w:after="0"/>
              <w:rPr>
                <w:sz w:val="1"/>
                <w:szCs w:val="1"/>
                <w:color w:val="auto"/>
              </w:rPr>
            </w:pPr>
          </w:p>
        </w:tc>
      </w:tr>
      <w:tr>
        <w:trPr>
          <w:trHeight w:val="210"/>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8,716,738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349,644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allocate loan loss reserves, net of recoveries, and transaction related costs to the debt and preferred equity segment. We do not allocate marketing, general and administrative expenses to the debt and preferred equity segment because that segment does not have dedicated personnel and the use of personnel and resources is dependent on transaction volume between the three segments, which varies between periods. In addition, we base performance on the individual segments prior to allocating marketing, general and administrative expenses. SUMMIT segment incurs its own marketing, general and administrative expenses for its dedicated personnel, which are included in SUMMIT Operator expenses in the consolidated statement of operations. For the three months ended March 31, 2024, marketing, general and administrative expenses totaled $21.3 million. For the three months ended March 31, 2023, marketing, general and administrative expenses totaled $23.3 million. All other expenses, except interest and SUMMIT operator expenses, relate entirely to the real estate assets.</w:t>
      </w:r>
    </w:p>
    <w:p>
      <w:pPr>
        <w:spacing w:after="0" w:line="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were no transactions between the above three segments other than the SUMMIT lease with our One Vanderbilt Avenue joint venture, which is part of the real estate segment. See Note 10,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124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SL Green Realty Corp., which is referred to as SL Green or the Company,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Company is a self-managed real estate investment trust, or REIT, engaged in the ownership, management, operation, acquisition, development, redevelopment and repositioning of commercial real estate properties, principally office properties, located in the New York metropolitan area, principally Manhattan. Unless the context requires otherwise, all references to "we," "our" and "us" means the Company and all entities owned or controlled by the Company, including the Operating Partnership.</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discussion related to our consolidated financial statements should be read in conjunction with the financial statements appearing in this Quarterly Report on this Form 10-Q and in Item 8 of our Annual Report on Form 10-K for the year ended December 31, 2023.</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we owned the following interests in properties in the New York metropolitan area, primarily in midtown Manhattan. Our investments located outside of Manhattan are referred to as the Suburban properties: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920" w:type="dxa"/>
            <w:vAlign w:val="bottom"/>
          </w:tcPr>
          <w:p>
            <w:pPr>
              <w:spacing w:after="0"/>
              <w:rPr>
                <w:sz w:val="16"/>
                <w:szCs w:val="16"/>
                <w:color w:val="auto"/>
              </w:rPr>
            </w:pPr>
          </w:p>
        </w:tc>
        <w:tc>
          <w:tcPr>
            <w:tcW w:w="1240" w:type="dxa"/>
            <w:vAlign w:val="bottom"/>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2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9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10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9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06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Leased Occupancy</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20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 (unaudited)</w:t>
            </w:r>
          </w:p>
        </w:tc>
        <w:tc>
          <w:tcPr>
            <w:tcW w:w="0" w:type="dxa"/>
            <w:vAlign w:val="bottom"/>
          </w:tcPr>
          <w:p>
            <w:pPr>
              <w:spacing w:after="0"/>
              <w:rPr>
                <w:sz w:val="1"/>
                <w:szCs w:val="1"/>
                <w:color w:val="auto"/>
              </w:rPr>
            </w:pPr>
          </w:p>
        </w:tc>
      </w:tr>
      <w:tr>
        <w:trPr>
          <w:trHeight w:val="202"/>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8,753,441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13,009,149</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21,762,590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88.6 %</w:t>
            </w: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Development/Redevelopment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880,771</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1,959,426</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2,840,197</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9,656,860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14,981,521</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24,638,381</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88.6 %</w:t>
            </w:r>
          </w:p>
        </w:tc>
        <w:tc>
          <w:tcPr>
            <w:tcW w:w="0" w:type="dxa"/>
            <w:vAlign w:val="bottom"/>
          </w:tcPr>
          <w:p>
            <w:pPr>
              <w:spacing w:after="0"/>
              <w:rPr>
                <w:sz w:val="1"/>
                <w:szCs w:val="1"/>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Suburban</w:t>
            </w: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73.8 %</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 properties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10,519,660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14,981,521</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25,501,181</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88.0 %</w:t>
            </w:r>
          </w:p>
        </w:tc>
        <w:tc>
          <w:tcPr>
            <w:tcW w:w="0" w:type="dxa"/>
            <w:vAlign w:val="bottom"/>
          </w:tcPr>
          <w:p>
            <w:pPr>
              <w:spacing w:after="0"/>
              <w:rPr>
                <w:sz w:val="1"/>
                <w:szCs w:val="1"/>
                <w:color w:val="auto"/>
              </w:rPr>
            </w:pPr>
          </w:p>
        </w:tc>
      </w:tr>
      <w:tr>
        <w:trPr>
          <w:trHeight w:val="176"/>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2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140,382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99.6 %</w:t>
            </w:r>
          </w:p>
        </w:tc>
        <w:tc>
          <w:tcPr>
            <w:tcW w:w="0" w:type="dxa"/>
            <w:vAlign w:val="bottom"/>
          </w:tcPr>
          <w:p>
            <w:pPr>
              <w:spacing w:after="0"/>
              <w:rPr>
                <w:sz w:val="1"/>
                <w:szCs w:val="1"/>
                <w:color w:val="auto"/>
              </w:rPr>
            </w:pPr>
          </w:p>
        </w:tc>
      </w:tr>
      <w:tr>
        <w:trPr>
          <w:trHeight w:val="196"/>
        </w:trPr>
        <w:tc>
          <w:tcPr>
            <w:tcW w:w="29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core portfolio</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10,660,042</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15,203,405</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25,863,447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88.2 %</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Alternative Strategy Portfolio</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17,888</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3,694,956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3,712,844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66.1 %</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420" w:hanging="412"/>
        <w:spacing w:after="0" w:line="295" w:lineRule="auto"/>
        <w:tabs>
          <w:tab w:leader="none" w:pos="41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leased occupancy for commercial properties represents the total leased square footage divided by the total square footage at acquisition. The weighted average leased for residential properties represents the total leased units divided by the total available units. Properties under construction are not included in the calculation of weighted average leased occupancy.</w:t>
      </w:r>
    </w:p>
    <w:p>
      <w:pPr>
        <w:spacing w:after="0" w:line="143" w:lineRule="exact"/>
        <w:rPr>
          <w:rFonts w:ascii="Times New Roman" w:cs="Times New Roman" w:eastAsia="Times New Roman" w:hAnsi="Times New Roman"/>
          <w:sz w:val="14"/>
          <w:szCs w:val="14"/>
          <w:color w:val="auto"/>
        </w:rPr>
      </w:pPr>
    </w:p>
    <w:p>
      <w:pPr>
        <w:jc w:val="both"/>
        <w:ind w:left="420" w:hanging="412"/>
        <w:spacing w:after="0" w:line="264" w:lineRule="auto"/>
        <w:tabs>
          <w:tab w:leader="none" w:pos="41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we owned a building at 7 Dey Street / 185 Broadway that was comprised of approximately 140,382 square feet (unaudited) of residential space and approximately 50,206 square feet (unaudited) of office and retail space that is under development.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spacing w:after="0" w:line="25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we also managed one office building and one retail building owned by third parties encompassing approximately 0.4 million square feet (unaudited), and held debt and preferred equity investments with a book value excluding the impact of credit losses of $352.3 million, excluding approximately $4.8 million of debt and preferred equity investments and other financing receivables that are included in other balance sheet line items other than the Debt and preferred equity investments line item.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Refer to the 2023 Annual Report on Form 10-K of the Company and the Operating Partnership for a discussion of our critical accounting policies and estimates, which include investment in commercial real estate properties, investment in unconsolidated joint ventures, lease classification, revenue recognition, and debt and preferred equity investments. During the three months ended March 31, 2024, there were no material changes to these policies.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to the three months ended March 31, 2023</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comparison for the three months ended March 31, 2024, or 2024, to the three months ended March 31, 2023, or 2023, makes reference to the effect of the following:</w:t>
      </w:r>
    </w:p>
    <w:p>
      <w:pPr>
        <w:spacing w:after="0" w:line="108" w:lineRule="exact"/>
        <w:rPr>
          <w:sz w:val="20"/>
          <w:szCs w:val="20"/>
          <w:color w:val="auto"/>
        </w:rPr>
      </w:pPr>
    </w:p>
    <w:p>
      <w:pPr>
        <w:ind w:left="660" w:hanging="247"/>
        <w:spacing w:after="0" w:line="261" w:lineRule="auto"/>
        <w:tabs>
          <w:tab w:leader="none" w:pos="6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Properties,” which represents all operating properties owned by us at January 1, 2023 and still owned by us in the same manner as of March 31, 2024 (Same-Store Properties totaled 21 of our 27 consolidated operating properties),</w:t>
      </w:r>
    </w:p>
    <w:p>
      <w:pPr>
        <w:ind w:left="660" w:hanging="247"/>
        <w:spacing w:after="0" w:line="250" w:lineRule="auto"/>
        <w:tabs>
          <w:tab w:leader="none" w:pos="6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Properties,” which represents all properties or interests in properties acquired in 2024 and 2023 and all non-Same-Store Properties, including properties that are under development, redevelopment or were deconsolidated during the period,</w:t>
      </w:r>
    </w:p>
    <w:p>
      <w:pPr>
        <w:ind w:left="640" w:hanging="22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"Disposed Properties," which represents all properties or interests in properties sold or partially sold in 2024 and 2023,</w:t>
      </w:r>
    </w:p>
    <w:p>
      <w:pPr>
        <w:spacing w:after="0" w:line="9"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Strategy Portfolio," which represents non-core assets, and</w:t>
      </w:r>
    </w:p>
    <w:p>
      <w:pPr>
        <w:spacing w:after="0" w:line="9" w:lineRule="exact"/>
        <w:rPr>
          <w:rFonts w:ascii="Times New Roman" w:cs="Times New Roman" w:eastAsia="Times New Roman" w:hAnsi="Times New Roman"/>
          <w:sz w:val="18"/>
          <w:szCs w:val="18"/>
          <w:color w:val="auto"/>
        </w:rPr>
      </w:pPr>
    </w:p>
    <w:p>
      <w:pPr>
        <w:ind w:left="660" w:right="20" w:hanging="247"/>
        <w:spacing w:after="0" w:line="260"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which represents properties that were partially sold resulting in deconsolidation and corporate level items not allocable to specific properties, as well as the Service Corporation and eEmerge Inc.</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Same-Store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6"/>
          </w:tcPr>
          <w:p>
            <w:pPr>
              <w:ind w:left="260"/>
              <w:spacing w:after="0"/>
              <w:rPr>
                <w:sz w:val="20"/>
                <w:szCs w:val="20"/>
                <w:color w:val="auto"/>
              </w:rPr>
            </w:pPr>
            <w:r>
              <w:rPr>
                <w:rFonts w:ascii="Times New Roman" w:cs="Times New Roman" w:eastAsia="Times New Roman" w:hAnsi="Times New Roman"/>
                <w:sz w:val="13"/>
                <w:szCs w:val="13"/>
                <w:b w:val="1"/>
                <w:bCs w:val="1"/>
                <w:color w:val="auto"/>
              </w:rPr>
              <w:t>Disposed</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tcPr>
          <w:p>
            <w:pPr>
              <w:jc w:val="center"/>
              <w:ind w:left="49"/>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10"/>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gridSpan w:val="2"/>
          </w:tcPr>
          <w:p>
            <w:pPr>
              <w:jc w:val="right"/>
              <w:ind w:right="270"/>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229"/>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top w:val="single" w:sz="8" w:color="auto"/>
            </w:tcBorders>
            <w:gridSpan w:val="2"/>
          </w:tcPr>
          <w:p>
            <w:pPr>
              <w:jc w:val="right"/>
              <w:ind w:right="351"/>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3"/>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0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10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2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100" w:type="dxa"/>
            <w:vAlign w:val="bottom"/>
          </w:tcPr>
          <w:p>
            <w:pPr>
              <w:spacing w:after="0"/>
              <w:rPr>
                <w:sz w:val="15"/>
                <w:szCs w:val="15"/>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94"/>
        </w:trPr>
        <w:tc>
          <w:tcPr>
            <w:tcW w:w="17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Rental revenue</w:t>
            </w: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   134.6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142.6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2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SUMMIT Operator revenue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6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90"/>
        </w:trPr>
        <w:tc>
          <w:tcPr>
            <w:tcW w:w="1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revenues</w:t>
            </w: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94"/>
        </w:trPr>
        <w:tc>
          <w:tcPr>
            <w:tcW w:w="17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operating expenses</w:t>
            </w: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SUMMIT Operator expenses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Transaction related costs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6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29"/>
        </w:trPr>
        <w:tc>
          <w:tcPr>
            <w:tcW w:w="17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Marketing, general and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89"/>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administrative</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3"/>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6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95"/>
        </w:trPr>
        <w:tc>
          <w:tcPr>
            <w:tcW w:w="17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Interest expense and</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amortization of deferred</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financing costs, net of interest</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SUMMIT Operator tax expense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Equity in net income (loss)</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from unconsolidated joint</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(1,602.7)%</w:t>
            </w:r>
          </w:p>
        </w:tc>
        <w:tc>
          <w:tcPr>
            <w:tcW w:w="0" w:type="dxa"/>
            <w:vAlign w:val="bottom"/>
          </w:tcPr>
          <w:p>
            <w:pPr>
              <w:spacing w:after="0"/>
              <w:rPr>
                <w:sz w:val="1"/>
                <w:szCs w:val="1"/>
                <w:color w:val="auto"/>
              </w:rPr>
            </w:pPr>
          </w:p>
        </w:tc>
      </w:tr>
      <w:tr>
        <w:trPr>
          <w:trHeight w:val="172"/>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ventures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Equity in net gain (loss) on sale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of interest in unconsolidated</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(26,900.0)%</w:t>
            </w:r>
          </w:p>
        </w:tc>
        <w:tc>
          <w:tcPr>
            <w:tcW w:w="0" w:type="dxa"/>
            <w:vAlign w:val="bottom"/>
          </w:tcPr>
          <w:p>
            <w:pPr>
              <w:spacing w:after="0"/>
              <w:rPr>
                <w:sz w:val="1"/>
                <w:szCs w:val="1"/>
                <w:color w:val="auto"/>
              </w:rPr>
            </w:pPr>
          </w:p>
        </w:tc>
      </w:tr>
      <w:tr>
        <w:trPr>
          <w:trHeight w:val="18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joint venture/real estate</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Purchase price and other fair</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(25,350.0)%</w:t>
            </w:r>
          </w:p>
        </w:tc>
        <w:tc>
          <w:tcPr>
            <w:tcW w:w="0" w:type="dxa"/>
            <w:vAlign w:val="bottom"/>
          </w:tcPr>
          <w:p>
            <w:pPr>
              <w:spacing w:after="0"/>
              <w:rPr>
                <w:sz w:val="1"/>
                <w:szCs w:val="1"/>
                <w:color w:val="auto"/>
              </w:rPr>
            </w:pPr>
          </w:p>
        </w:tc>
      </w:tr>
      <w:tr>
        <w:trPr>
          <w:trHeight w:val="166"/>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value adjustments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sale of real estate, net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21"/>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Depreciable real estate reserves</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66"/>
        </w:trPr>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and impairment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7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Loan loss and other investment</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9"/>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reserves, net of recoveries</w:t>
            </w: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Revenue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Rental revenues decreased due primarily to the deconsolidation of 245 Park Avenue ($40.8 million) as a result of the sale of a joint venture interest during the second quarter of 2023 and a lower contribution from our Same-Store Properties ($8.0 million) due primarily to increased vacancy at 555 West 57th Street.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summary of the commenced leasing activity for the three months ended March 31, 2024 in our Manhattan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Suburban portfolio:</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Prev.</w:t>
            </w:r>
          </w:p>
        </w:tc>
        <w:tc>
          <w:tcPr>
            <w:tcW w:w="1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TI/LC</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Escalated</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Usable</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Rentable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1080" w:type="dxa"/>
            <w:vAlign w:val="bottom"/>
            <w:gridSpan w:val="2"/>
            <w:vMerge w:val="continue"/>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Rent (in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 (in</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0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SF)</w:t>
            </w:r>
            <w:r>
              <w:rPr>
                <w:rFonts w:ascii="Times New Roman" w:cs="Times New Roman" w:eastAsia="Times New Roman" w:hAnsi="Times New Roman"/>
                <w:sz w:val="8"/>
                <w:szCs w:val="8"/>
                <w:b w:val="1"/>
                <w:bCs w:val="1"/>
                <w:color w:val="auto"/>
              </w:rPr>
              <w:t xml:space="preserve"> (1)</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SF)</w:t>
            </w:r>
            <w:r>
              <w:rPr>
                <w:rFonts w:ascii="Times New Roman" w:cs="Times New Roman" w:eastAsia="Times New Roman" w:hAnsi="Times New Roman"/>
                <w:sz w:val="8"/>
                <w:szCs w:val="8"/>
                <w:b w:val="1"/>
                <w:bCs w:val="1"/>
                <w:color w:val="auto"/>
              </w:rPr>
              <w:t xml:space="preserve"> (2)</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0" w:type="dxa"/>
            <w:vAlign w:val="bottom"/>
          </w:tcPr>
          <w:p>
            <w:pPr>
              <w:spacing w:after="0"/>
              <w:rPr>
                <w:sz w:val="1"/>
                <w:szCs w:val="1"/>
                <w:color w:val="auto"/>
              </w:rPr>
            </w:pPr>
          </w:p>
        </w:tc>
      </w:tr>
      <w:tr>
        <w:trPr>
          <w:trHeight w:val="176"/>
        </w:trPr>
        <w:tc>
          <w:tcPr>
            <w:tcW w:w="33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Manhattan</w:t>
            </w: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Space available at beginning of the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2,906,493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Space which became available during the period </w:t>
            </w:r>
            <w:r>
              <w:rPr>
                <w:rFonts w:ascii="Times New Roman" w:cs="Times New Roman" w:eastAsia="Times New Roman" w:hAnsi="Times New Roman"/>
                <w:sz w:val="18"/>
                <w:szCs w:val="18"/>
                <w:color w:val="auto"/>
                <w:vertAlign w:val="superscript"/>
              </w:rPr>
              <w:t>(3)</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Office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541,719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6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543,550</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space available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3,450,043</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Leased space commenced during the period:</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Office</w:t>
            </w:r>
            <w:r>
              <w:rPr>
                <w:rFonts w:ascii="Times New Roman" w:cs="Times New Roman" w:eastAsia="Times New Roman" w:hAnsi="Times New Roman"/>
                <w:sz w:val="18"/>
                <w:szCs w:val="18"/>
                <w:color w:val="auto"/>
                <w:vertAlign w:val="superscript"/>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177,239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198,310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Retail</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188.46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199.89</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10"/>
        </w:trPr>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12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leased space commenced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180,229</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201,157</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60.10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74.14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available space at end of period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3,269,814</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Early renewals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Office</w:t>
            </w:r>
          </w:p>
        </w:tc>
        <w:tc>
          <w:tcPr>
            <w:tcW w:w="2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182,590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192,145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68"/>
        </w:trPr>
        <w:tc>
          <w:tcPr>
            <w:tcW w:w="12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early renewals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182,843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192,403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7"/>
        </w:trPr>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2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Total commenced leases, including replaced previous</w:t>
            </w: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vacancy</w:t>
            </w:r>
          </w:p>
        </w:tc>
        <w:tc>
          <w:tcPr>
            <w:tcW w:w="2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Office</w:t>
            </w:r>
          </w:p>
        </w:tc>
        <w:tc>
          <w:tcPr>
            <w:tcW w:w="2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390,455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0"/>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Retail</w:t>
            </w:r>
          </w:p>
        </w:tc>
        <w:tc>
          <w:tcPr>
            <w:tcW w:w="2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28"/>
        </w:trPr>
        <w:tc>
          <w:tcPr>
            <w:tcW w:w="1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commenced leases</w:t>
            </w: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393,560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69.74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52.96</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initial base rent.</w:t>
      </w:r>
    </w:p>
    <w:p>
      <w:pPr>
        <w:spacing w:after="0" w:line="17" w:lineRule="exact"/>
        <w:rPr>
          <w:rFonts w:ascii="Times New Roman" w:cs="Times New Roman" w:eastAsia="Times New Roman" w:hAnsi="Times New Roman"/>
          <w:sz w:val="14"/>
          <w:szCs w:val="14"/>
          <w:color w:val="auto"/>
        </w:rPr>
      </w:pPr>
    </w:p>
    <w:p>
      <w:pPr>
        <w:ind w:left="420" w:right="20" w:hanging="412"/>
        <w:spacing w:after="0" w:line="259" w:lineRule="auto"/>
        <w:tabs>
          <w:tab w:leader="none" w:pos="41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Escalated rent includes base rent plus all additional amounts paid by the tenant in the form of real estate taxes, operating expenses, porters wage or a consumer price index (CPI) adjustment.</w:t>
      </w:r>
    </w:p>
    <w:p>
      <w:pPr>
        <w:spacing w:after="0" w:line="173"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expiring space, relocating tenants and move-outs where tenants vacated. Excludes lease expirations where tenants held over.</w:t>
      </w:r>
    </w:p>
    <w:p>
      <w:pPr>
        <w:spacing w:after="0" w:line="14" w:lineRule="exact"/>
        <w:rPr>
          <w:rFonts w:ascii="Times New Roman" w:cs="Times New Roman" w:eastAsia="Times New Roman" w:hAnsi="Times New Roman"/>
          <w:sz w:val="14"/>
          <w:szCs w:val="14"/>
          <w:color w:val="auto"/>
        </w:rPr>
      </w:pPr>
    </w:p>
    <w:p>
      <w:pPr>
        <w:ind w:left="420" w:hanging="412"/>
        <w:spacing w:after="0" w:line="283" w:lineRule="auto"/>
        <w:tabs>
          <w:tab w:leader="none" w:pos="41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starting office rent excluding new tenants replacing vacancies was $64.80 per rentable square feet for 88,734 rentable square feet. Average starting office rent for office space (leased and early renewals, excluding new tenants replacing vacancies) was $75.11 per rentable square feet for 280,879 rentable square feet.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Operator revenue</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SUMMIT Operator revenues were higher for the three months ended March 31, 2024 as compared to the same period in 2023 due primarily to increased attendance.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Investment income decreased due to a lower weighted average debt and preferred equity investment balance for the three months ended March 31, 2024 as compared to the same period in 2023. For the three months ended March 31, 2024, the weighted average debt and preferred equity investment balance outstanding and weighted average yield were $366.8 million and 7.8%, respectively, as compared to $635.7 million and 5.8%, respectively,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income decreased due primarily to reduced lease termination income ($6.5 million), lower consulting fee income ($1.2 million) and a decrease in management and construction fee income ($0.9 million) for the three months ended March 31, 2024 as compared to the three months ended March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Expenses</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Property operating expenses decreased due primarily to the deconsolidation of 245 Park in the second quarter of 2023 ($14.6 million) and reduced variable expenses ($1.7 million) at our Same-Store Properties.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Operator expenses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SUMMIT Operator expenses were higher for the three months ended March 31, 2024 as compared to the same period in 2023 due to additional operating hours to accommodate demand, which increased variable costs such as labor, security, cleaning and maintenance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General and Administrative Expenses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Marketing, general and administrative expenses decreased to $21.3 million for the three months ended March 31, 2024, compared to $23.3 million for the same period in 2023, due to lower compensation related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Financing Costs, Net of Interest Income</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Interest expense and amortization of deferred financing costs, net of interest income, decreased due to the deconsolidation of 245 Park Avenue in the second quarter of 2023 ($16.5 million) and the repayment of unsecured corporate term loans ($1.9 million) in the third quarter of 2023. These decreases were offset primarily by higher SOFR and increased interest expense from the revolving credit facility ($4.1 million) due to a higher balance, and a decrease in interest capitalization in connection with properties that are under development ($2.2 million) during the three months ended March 31, 2024 as compared to the three months ended March 31, 2023. The weighted average consolidated debt balance outstanding was $3.6 billion for the three months ended March 31, 2024, compared to $5.6 billion for the three months ended March 31, 2023. The consolidated weighted average interest rate was 5.19% for the three months ended March 31, 2024, as compared to 4.41% for the three months ended March 31,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Operator tax expense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decrease in SUMMIT Operator tax expense for three months ended March 31, 2024 as compared to the same period in 2023 was attributable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tax adjustment recorded in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due primarily to the deconsolidation of 245 Park Avenue in the second quarter of 2023 ($28.2 million) as well as at our Acquired Properties ($2.5 million) during the three months ended March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net income (loss) from unconsolidated joint ventures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Equity in net income (loss) from unconsolidated joint ventures increased due primarily to increased income at 2 Herald Square ($121.4 million) as a result of the $141.7 million gain on discounted debt extinguishment at the property during the three months ended March 31, 2024, as compared to the same period in 2023, which included $20.3 million of income recognized for holdover rent, interest and reimbursement of attorneys' fees collected following the completion of legal proceedings against a former tenant and its guarantor. This increase was partially offset by a reduction of income at 919 Third Avenue ($5.0 million) due primarily to a reduction in lease termination income and increased interest expense.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net gain (loss) on sale of interest in unconsolidated joint venture/real estate</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recognized a gain on the sale of our interest in 717 Fifth Avenue ($26.9 million). During the three months ended March 31, 2023, we recognized a loss on the sale of our interest in 121 Greene Street ($0.3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and other fair value adjustments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recorded a $55.7 million negative fair value adjustment relating to the consolidation of 10 East 53rd Street, partially offset by a $5.2 million positive fair value adjustment related to a derivative that is not designated as a hedge. During the three months ended March 31, 2023, we did not record any significant purchase price and other fair value adjustments.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Depreciable real estate reserves and impairment</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recognized depreciable real estate reserves and impairments at 719 Seventh Avenue ($46.3 million) to reduce the carrying value of our investment to the sale price per the contract that was entered into in April 2024. In addition, we recognized depreciable real estate reserves and impairments related to our investment at 625 Madison Avenue ($5.9 million), which remained under contract for sale as of March 31, 2024. During the three months ended March 31, 2023, we did not recognize any depreciable real estate reserves.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loss and other investment reserves, net of recoveries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did not recognize any loan loss and other investment reserves. During the three months ended March 31, 2023, we recorded a $6.9 million loan loss reserve on one debt and preferred equity investment.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currently expect that the principal sources of funds to meet our short-term and long-term liquidity requirements for working capital, acquisitions, development or redevelopment of properties, tenant improvements, leasing costs, share repurchase, dividends to shareholders, distributions to unitholders, repurchases or repayments of outstanding indebtedness, and for debt and preferred equity investments will include:</w:t>
      </w:r>
    </w:p>
    <w:p>
      <w:pPr>
        <w:spacing w:after="0" w:line="68" w:lineRule="exact"/>
        <w:rPr>
          <w:sz w:val="20"/>
          <w:szCs w:val="20"/>
          <w:color w:val="auto"/>
        </w:rPr>
      </w:pPr>
    </w:p>
    <w:p>
      <w:pPr>
        <w:ind w:left="1300" w:hanging="725"/>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w:t>
      </w:r>
    </w:p>
    <w:p>
      <w:pPr>
        <w:spacing w:after="0" w:line="27" w:lineRule="exact"/>
        <w:rPr>
          <w:rFonts w:ascii="Times New Roman" w:cs="Times New Roman" w:eastAsia="Times New Roman" w:hAnsi="Times New Roman"/>
          <w:sz w:val="18"/>
          <w:szCs w:val="18"/>
          <w:color w:val="auto"/>
        </w:rPr>
      </w:pPr>
    </w:p>
    <w:p>
      <w:pPr>
        <w:ind w:left="1300" w:hanging="725"/>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on hand;</w:t>
      </w:r>
    </w:p>
    <w:p>
      <w:pPr>
        <w:spacing w:after="0" w:line="9" w:lineRule="exact"/>
        <w:rPr>
          <w:rFonts w:ascii="Times New Roman" w:cs="Times New Roman" w:eastAsia="Times New Roman" w:hAnsi="Times New Roman"/>
          <w:sz w:val="18"/>
          <w:szCs w:val="18"/>
          <w:color w:val="auto"/>
        </w:rPr>
      </w:pPr>
    </w:p>
    <w:p>
      <w:pPr>
        <w:ind w:left="1300" w:hanging="725"/>
        <w:spacing w:after="0" w:line="250" w:lineRule="auto"/>
        <w:tabs>
          <w:tab w:leader="none" w:pos="12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divestitures of properties and redemptions, participations, dispositions and repayments of debt and preferred equity investments;</w:t>
      </w:r>
    </w:p>
    <w:p>
      <w:pPr>
        <w:ind w:left="1300" w:hanging="725"/>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revolving credit facility;</w:t>
      </w:r>
    </w:p>
    <w:p>
      <w:pPr>
        <w:spacing w:after="0" w:line="9" w:lineRule="exact"/>
        <w:rPr>
          <w:rFonts w:ascii="Times New Roman" w:cs="Times New Roman" w:eastAsia="Times New Roman" w:hAnsi="Times New Roman"/>
          <w:sz w:val="18"/>
          <w:szCs w:val="18"/>
          <w:color w:val="auto"/>
        </w:rPr>
      </w:pPr>
    </w:p>
    <w:p>
      <w:pPr>
        <w:ind w:left="1300" w:hanging="725"/>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forms of secured or unsecured financing; and</w:t>
      </w:r>
    </w:p>
    <w:p>
      <w:pPr>
        <w:spacing w:after="0" w:line="9" w:lineRule="exact"/>
        <w:rPr>
          <w:rFonts w:ascii="Times New Roman" w:cs="Times New Roman" w:eastAsia="Times New Roman" w:hAnsi="Times New Roman"/>
          <w:sz w:val="18"/>
          <w:szCs w:val="18"/>
          <w:color w:val="auto"/>
        </w:rPr>
      </w:pPr>
    </w:p>
    <w:p>
      <w:pPr>
        <w:ind w:left="1300" w:hanging="725"/>
        <w:spacing w:after="0" w:line="260" w:lineRule="auto"/>
        <w:tabs>
          <w:tab w:leader="none" w:pos="12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common or preferred equity or debt offerings by the Company or the Operating Partnership (including issuances of units of limited partnership interest in the Operating Partnership and Trust preferred securities).</w:t>
      </w:r>
    </w:p>
    <w:p>
      <w:pPr>
        <w:spacing w:after="0" w:line="7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Cash flow from operations is primarily dependent upon the collectability of rent, the occupancy level of our portfolio, the net effective rental rates achieved on our leases, the collectability of rent, operating escalations and recoveries from our tenants and the level of operating and other costs. Additionally, we believe that our debt and preferred equity investment program will continue to serve as a source of operating cash flow.</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combined aggregate principal maturities of mortgages and other loans payable, the 2021 credit facility, senior unsecured notes (net of discount), trust preferred securities, our share of joint venture debt, including as-of-right extension options, estimated interest expense, and our obligations under our financing and operating leases, as of March 31, 2024 are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6"/>
                <w:szCs w:val="16"/>
                <w:color w:val="auto"/>
              </w:rPr>
            </w:pP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mortgages and other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386,230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1,701,378</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term loans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unsecured notes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 preferred securities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leases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212,386</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1,464,250</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interest expense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527,333</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Joint venture debt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1,488,241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1,739,239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1,185,168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7,087,348</w:t>
            </w: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2,262,841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2,420,178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926,948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3,541,198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271,231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3,670,299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13,092,695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estimate that for the remainder of the year ending December 31, 2024, we expect to incur $50.2 million of leasing capital expenditures and $14.1 million of recurring capital expenditures on existing consolidated properties. In addition, we expect to incur $63.8 million of development or redevelopment expenditures on existing consolidated properties, none of which will be funded by construction financing facilities or loan reserves. We expect our share of capital expenditures at our joint venture properties will be $163.8 million, of which $120.4 million will be funded by construction financing facilities or loan reserves. We expect to fund capital expenditures from operating cash flow, existing liquidity, and borrowings from construction financing facilities. Future property acquisitions may require substantial capital investments for refurbishment and leasing costs.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of March 31, 2024, we had liquidity of $0.8 billion, comprised of $600.0 million of availability under our revolving credit facility and $206.7 million of consolidated cash on hand, inclusive of $10.7 million of marketable securities. This liquidity excludes $124.3 million representing our share of cash at unconsolidated joint venture properties. We may seek to divest of properties, interests in properties or debt and preferred equity investments or access private and public debt and equity capital when the opportunity presents itself, although there is no guarantee that this capital will be made available to us at efficient levels or at all. Management believes that these sources of liquidity, if we are able to access them, along with potential refinancing opportunities for secured and unsecured debt, will allow us to satisfy our debt and other obligations, as described above, upon maturity, if not before.</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investments in several real estate joint ventures with various partners who are generally considered to be financially stable. Most of our joint ventures are financed with non-recourse debt. We believe that property level cash flows along with unfunded committed indebtedness and proceeds from the refinancing of outstanding secured indebtedness will be sufficient to fund the capital needs of our joint venture properties.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summary discussion of our cash flows is based on our consolidated statements of cash flows in "Item 1. Financial Statements" and is not meant to be an all-inclusive discussion of the changes in our cash flows for the periods presented below.</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Cash, restricted cash, and cash equivalents were $318.5 million and $357.3 million as of March 31, 2024 and 2023, respectively, representing a decrease of $38.8 million. The decrease was a result of the following changes in cash flows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11"/>
        </w:trPr>
        <w:tc>
          <w:tcPr>
            <w:tcW w:w="50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(Decrease) Increase</w:t>
            </w:r>
          </w:p>
        </w:tc>
      </w:tr>
      <w:tr>
        <w:trPr>
          <w:trHeight w:val="21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(24,677)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CEEFF"/>
          </w:tcPr>
          <w:p>
            <w:pPr>
              <w:jc w:val="center"/>
              <w:ind w:left="1099"/>
              <w:spacing w:after="0"/>
              <w:rPr>
                <w:sz w:val="20"/>
                <w:szCs w:val="20"/>
                <w:color w:val="auto"/>
              </w:rPr>
            </w:pPr>
            <w:r>
              <w:rPr>
                <w:rFonts w:ascii="Times New Roman" w:cs="Times New Roman" w:eastAsia="Times New Roman" w:hAnsi="Times New Roman"/>
                <w:sz w:val="16"/>
                <w:szCs w:val="16"/>
                <w:color w:val="auto"/>
              </w:rPr>
              <w:t>(67,026)</w:t>
            </w:r>
          </w:p>
        </w:tc>
      </w:tr>
      <w:tr>
        <w:trPr>
          <w:trHeight w:val="21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62,656</w:t>
            </w:r>
          </w:p>
        </w:tc>
      </w:tr>
      <w:tr>
        <w:trPr>
          <w:trHeight w:val="21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11,367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14,139</w:t>
            </w:r>
          </w:p>
        </w:tc>
      </w:tr>
    </w:tbl>
    <w:p>
      <w:pPr>
        <w:spacing w:after="0" w:line="1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principal sources of operating cash flow are the properties in our consolidated and joint venture portfolios, third-party fees and our debt and preferred equity portfolio. These sources generate a relatively consistent stream of cash flow that provides us with resources to pay operating expenses, debt service and fund dividend and distribution requirements.</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three months ended March 31, 2024, when compared to the three months ended March 31, 2023, we used cash primarily for the following investing activities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and capitalized interest</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r>
      <w:tr>
        <w:trPr>
          <w:trHeight w:val="21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(12,817)</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Joint venture investments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r>
      <w:tr>
        <w:trPr>
          <w:trHeight w:val="213"/>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joint ventures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29,733</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real estate/partial interest in property</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26,420</w:t>
            </w:r>
          </w:p>
        </w:tc>
      </w:tr>
      <w:tr>
        <w:trPr>
          <w:trHeight w:val="213"/>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and preferred equity and other investments</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13,563</w:t>
            </w: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net cash provided by investing activities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Funds spent on capital expenditures, which are comprised of building and tenant improvements, decreased from $61.9 million for the three months ended March 31, 2023 to $55.3 million for the three months ended March 31, 2024 due to decreased spending on development and redevelopment properties.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generally fund our investment activity through the sale of real estate, the sale or repayment of debt and preferred equity investments, property-level financing, our corporate credit facilities, or construction facilities. From time to time, the Company may issue common or preferred stock or equity-linked securities, or the Operating Partnership may issue common or preferred units of limited partnership interest.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when compared to the three months ended March 31, 2023, we used cash for the following financing activities (in thousands):</w:t>
      </w:r>
    </w:p>
    <w:p>
      <w:pPr>
        <w:sectPr>
          <w:pgSz w:w="11900" w:h="16838" w:orient="portrait"/>
          <w:cols w:equalWidth="0" w:num="1">
            <w:col w:w="11240"/>
          </w:cols>
          <w:pgMar w:left="320" w:top="121" w:right="339" w:bottom="1440" w:gutter="0" w:footer="0" w:header="0"/>
        </w:sectPr>
      </w:pP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Proceeds from our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Repayments of our debt obligations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distribution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Dividends and distributions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in net cash used in financing activities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860" w:hanging="854"/>
        <w:spacing w:after="0"/>
        <w:tabs>
          <w:tab w:leader="none" w:pos="8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(12,507)</w:t>
      </w:r>
    </w:p>
    <w:p>
      <w:pPr>
        <w:spacing w:after="0" w:line="43" w:lineRule="exact"/>
        <w:rPr>
          <w:rFonts w:ascii="Times New Roman" w:cs="Times New Roman" w:eastAsia="Times New Roman" w:hAnsi="Times New Roman"/>
          <w:sz w:val="15"/>
          <w:szCs w:val="15"/>
          <w:color w:val="auto"/>
        </w:rPr>
      </w:pPr>
    </w:p>
    <w:p>
      <w:pPr>
        <w:ind w:left="9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37,972</w:t>
      </w:r>
    </w:p>
    <w:p>
      <w:pPr>
        <w:spacing w:after="0" w:line="32" w:lineRule="exact"/>
        <w:rPr>
          <w:rFonts w:ascii="Times New Roman" w:cs="Times New Roman" w:eastAsia="Times New Roman" w:hAnsi="Times New Roman"/>
          <w:sz w:val="15"/>
          <w:szCs w:val="15"/>
          <w:color w:val="auto"/>
        </w:rPr>
      </w:pPr>
    </w:p>
    <w:p>
      <w:pPr>
        <w:ind w:left="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(1,360)</w:t>
      </w:r>
    </w:p>
    <w:p>
      <w:pPr>
        <w:spacing w:after="0" w:line="4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(13,090)</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(107)</w:t>
      </w:r>
    </w:p>
    <w:p>
      <w:pPr>
        <w:spacing w:after="0" w:line="3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3,231</w:t>
      </w:r>
    </w:p>
    <w:p>
      <w:pPr>
        <w:spacing w:after="0" w:line="46" w:lineRule="exact"/>
        <w:rPr>
          <w:sz w:val="20"/>
          <w:szCs w:val="20"/>
          <w:color w:val="auto"/>
        </w:rPr>
      </w:pPr>
    </w:p>
    <w:p>
      <w:pPr>
        <w:ind w:left="920" w:hanging="914"/>
        <w:spacing w:after="0"/>
        <w:tabs>
          <w:tab w:leader="none" w:pos="9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9175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60" w:space="720"/>
            <w:col w:w="1460"/>
          </w:cols>
          <w:pgMar w:left="320" w:top="121" w:right="3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260,000,000 shares, $0.01 par value per share, consisting of 160,000,000 shares of common stock, $0.01 par value per share, 75,000,000 shares of excess stock, at $0.01 par value per share, and 25,000,000 shares of preferred stock, $0.01 par value per share. As of March 31, 2024, 64,805,510 shares of common stock and no shares of excess stock were issued and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August 2016, our Board of Directors approved a $1.0 billion share repurchase program under which we can buy shares of our common stock. The Board of Directors has since authorized five separate $500.0 million increases to the size of the share repurchase program in the fourth quarter of 2017, second quarter of 2018, fourth quarter of 2018, fourth quarter of 2019, and fourth quarter of 2020 bringing the total program size to $3.5 billion.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share repurchases executed under the program, excluding the redemption of OP units,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Cumulative number of shares</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20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860" w:type="dxa"/>
            <w:vAlign w:val="bottom"/>
            <w:vMerge w:val="restart"/>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23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Average price paid per share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repurchased as part of the</w:t>
            </w:r>
          </w:p>
        </w:tc>
        <w:tc>
          <w:tcPr>
            <w:tcW w:w="0" w:type="dxa"/>
            <w:vAlign w:val="bottom"/>
          </w:tcPr>
          <w:p>
            <w:pPr>
              <w:spacing w:after="0"/>
              <w:rPr>
                <w:sz w:val="1"/>
                <w:szCs w:val="1"/>
                <w:color w:val="auto"/>
              </w:rPr>
            </w:pPr>
          </w:p>
        </w:tc>
      </w:tr>
      <w:tr>
        <w:trPr>
          <w:trHeight w:val="212"/>
        </w:trPr>
        <w:tc>
          <w:tcPr>
            <w:tcW w:w="378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repurchase plan or programs</w:t>
            </w:r>
          </w:p>
        </w:tc>
        <w:tc>
          <w:tcPr>
            <w:tcW w:w="0" w:type="dxa"/>
            <w:vAlign w:val="bottom"/>
          </w:tcPr>
          <w:p>
            <w:pPr>
              <w:spacing w:after="0"/>
              <w:rPr>
                <w:sz w:val="1"/>
                <w:szCs w:val="1"/>
                <w:color w:val="auto"/>
              </w:rPr>
            </w:pPr>
          </w:p>
        </w:tc>
      </w:tr>
      <w:tr>
        <w:trPr>
          <w:trHeight w:val="98"/>
        </w:trPr>
        <w:tc>
          <w:tcPr>
            <w:tcW w:w="378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2023</w:t>
            </w:r>
          </w:p>
        </w:tc>
        <w:tc>
          <w:tcPr>
            <w:tcW w:w="2860" w:type="dxa"/>
            <w:vAlign w:val="bottom"/>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36,107,719</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Three months ended March 31, 2024</w:t>
            </w:r>
          </w:p>
        </w:tc>
        <w:tc>
          <w:tcPr>
            <w:tcW w:w="2860" w:type="dxa"/>
            <w:vAlign w:val="bottom"/>
          </w:tcPr>
          <w:p>
            <w:pPr>
              <w:jc w:val="center"/>
              <w:ind w:left="939"/>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36,107,719</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and Stock Purchase Plan ("DRSPP")</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February 2024, the Company filed a new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6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SL Green common stock issued, and proceeds received from dividend reinvestments and/or stock purchases under the DRSPP for the three months ended March 31, 2024 and 2023, respectively (dollars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issued</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w:t>
            </w:r>
          </w:p>
        </w:tc>
      </w:tr>
      <w:tr>
        <w:trPr>
          <w:trHeight w:val="21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reinvestments/stock purchases under the DRSPP</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2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Fifth Amended and Restated 2005 Stock Option and Incentive Plan</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Fifth Amended and Restated 2005 Stock Option and Incentive Plan, or the 2005 Plan, was approved by the Company's Board of Directors in April 2022 and its stockholders in June 2022 at the Company's annual meeting of stockholders. Subject to adjustments upon certain corporate transactions or events, awards with respect to up to a maximum of 32,210,000 fungible units may be granted as options, restricted stock, phantom shares, dividend equivalent rights and other equity-based awards under the 2005 Plan. As of March 31, 2024, 3.0 million fungible units were available for issuance under the 2005 Plan after reserving for shares underlying outstanding restricted stock units, and phantom stock units granted pursuant to our Non-Employee Directors' Deferral Program and LTIP Units.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 for Directors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15,945 phantom stock units and 25,590 shares of common stock were issued to our Board of Directors. We recorded compensation expense of $2.1 million and $2.1 million during the three months ended March 31, 2024 and 2023, respectively, related to the Deferred Compensation Plan.</w:t>
      </w:r>
    </w:p>
    <w:p>
      <w:pPr>
        <w:spacing w:after="0" w:line="68" w:lineRule="exact"/>
        <w:rPr>
          <w:sz w:val="20"/>
          <w:szCs w:val="20"/>
          <w:color w:val="auto"/>
        </w:rPr>
      </w:pPr>
    </w:p>
    <w:p>
      <w:pPr>
        <w:ind w:right="980" w:firstLine="445"/>
        <w:spacing w:after="0" w:line="375" w:lineRule="auto"/>
        <w:rPr>
          <w:sz w:val="20"/>
          <w:szCs w:val="20"/>
          <w:color w:val="auto"/>
        </w:rPr>
      </w:pPr>
      <w:r>
        <w:rPr>
          <w:rFonts w:ascii="Times New Roman" w:cs="Times New Roman" w:eastAsia="Times New Roman" w:hAnsi="Times New Roman"/>
          <w:sz w:val="18"/>
          <w:szCs w:val="18"/>
          <w:color w:val="auto"/>
        </w:rPr>
        <w:t xml:space="preserve">As of March 31, 2024, there were 125,654 phantom stock units outstanding pursuant to our Non-Employee Director's Deferral Program. </w:t>
      </w:r>
      <w:r>
        <w:rPr>
          <w:rFonts w:ascii="Times New Roman" w:cs="Times New Roman" w:eastAsia="Times New Roman" w:hAnsi="Times New Roman"/>
          <w:sz w:val="18"/>
          <w:szCs w:val="18"/>
          <w:b w:val="1"/>
          <w:bCs w:val="1"/>
          <w:color w:val="auto"/>
        </w:rPr>
        <w:t>Indebtedness</w:t>
      </w:r>
    </w:p>
    <w:p>
      <w:pPr>
        <w:spacing w:after="0" w:line="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table below summarizes our consolidated mortgages and other loans payable, 2021 credit facility, 2022 term loan, senior unsecured notes and trust preferred securities outstanding as of March 31, 2024 and December 31, 2023, (amounts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Summary:</w:t>
            </w:r>
          </w:p>
        </w:tc>
        <w:tc>
          <w:tcPr>
            <w:tcW w:w="32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8"/>
                <w:szCs w:val="18"/>
                <w:color w:val="auto"/>
              </w:rPr>
            </w:pPr>
          </w:p>
        </w:tc>
        <w:tc>
          <w:tcPr>
            <w:tcW w:w="1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3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1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1,115,885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1,117,386</w:t>
            </w:r>
          </w:p>
        </w:tc>
      </w:tr>
      <w:tr>
        <w:trPr>
          <w:trHeight w:val="21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rate—hedged</w:t>
            </w:r>
          </w:p>
        </w:tc>
        <w:tc>
          <w:tcPr>
            <w:tcW w:w="3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1,925,000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2,120,000</w:t>
            </w:r>
          </w:p>
        </w:tc>
      </w:tr>
      <w:tr>
        <w:trPr>
          <w:trHeight w:val="208"/>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fixed rate</w:t>
            </w:r>
          </w:p>
        </w:tc>
        <w:tc>
          <w:tcPr>
            <w:tcW w:w="320" w:type="dxa"/>
            <w:vAlign w:val="bottom"/>
          </w:tcPr>
          <w:p>
            <w:pPr>
              <w:spacing w:after="0"/>
              <w:rPr>
                <w:sz w:val="18"/>
                <w:szCs w:val="18"/>
                <w:color w:val="auto"/>
              </w:rPr>
            </w:pP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3,040,885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3,237,386</w:t>
            </w:r>
          </w:p>
        </w:tc>
      </w:tr>
      <w:tr>
        <w:trPr>
          <w:trHeight w:val="216"/>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variable rate</w:t>
            </w:r>
          </w:p>
        </w:tc>
        <w:tc>
          <w:tcPr>
            <w:tcW w:w="3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760,493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270,000</w:t>
            </w:r>
          </w:p>
        </w:tc>
      </w:tr>
      <w:tr>
        <w:trPr>
          <w:trHeight w:val="211"/>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3,801,378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3,507,386</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preferred equity, and other investments subject to variable rate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172,232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168,745</w:t>
            </w:r>
          </w:p>
        </w:tc>
      </w:tr>
      <w:tr>
        <w:trPr>
          <w:trHeight w:val="21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exposure to variable rate debt</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588,261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101,255</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Percent of Total Debt</w:t>
            </w:r>
            <w:r>
              <w:rPr>
                <w:rFonts w:ascii="Times New Roman" w:cs="Times New Roman" w:eastAsia="Times New Roman" w:hAnsi="Times New Roman"/>
                <w:sz w:val="16"/>
                <w:szCs w:val="16"/>
                <w:color w:val="auto"/>
              </w:rPr>
              <w: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4"/>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80.0 %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92.3 %</w:t>
            </w:r>
          </w:p>
        </w:tc>
      </w:tr>
      <w:tr>
        <w:trPr>
          <w:trHeight w:val="218"/>
        </w:trPr>
        <w:tc>
          <w:tcPr>
            <w:tcW w:w="690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Variable rate </w:t>
            </w:r>
            <w:r>
              <w:rPr>
                <w:rFonts w:ascii="Times New Roman" w:cs="Times New Roman" w:eastAsia="Times New Roman" w:hAnsi="Times New Roman"/>
                <w:sz w:val="21"/>
                <w:szCs w:val="21"/>
                <w:color w:val="auto"/>
                <w:vertAlign w:val="superscript"/>
              </w:rPr>
              <w:t>(1)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20.0 %</w:t>
            </w:r>
          </w:p>
        </w:tc>
        <w:tc>
          <w:tcPr>
            <w:tcW w:w="10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100.0 %</w:t>
            </w:r>
          </w:p>
        </w:tc>
        <w:tc>
          <w:tcPr>
            <w:tcW w:w="10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Interest Rate for the Year:</w:t>
            </w: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14"/>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4.68 %</w:t>
            </w:r>
          </w:p>
        </w:tc>
      </w:tr>
      <w:tr>
        <w:trPr>
          <w:trHeight w:val="218"/>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Variable rate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6.74 %</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6.11 %</w:t>
            </w: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interest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r>
    </w:tbl>
    <w:p>
      <w:pPr>
        <w:spacing w:after="0" w:line="183" w:lineRule="exact"/>
        <w:rPr>
          <w:sz w:val="20"/>
          <w:szCs w:val="20"/>
          <w:color w:val="auto"/>
        </w:rPr>
      </w:pPr>
    </w:p>
    <w:p>
      <w:pPr>
        <w:ind w:left="420" w:right="20" w:hanging="412"/>
        <w:spacing w:after="0" w:line="282" w:lineRule="auto"/>
        <w:tabs>
          <w:tab w:leader="none" w:pos="35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the mitigating effect of our debt, preferred equity, and other investments subject to variable rates, the percent of total debt of our net exposure to variable rate debt was 16.2% and 3.0% as of March 31, 2024 and December 31, 2023, respectively.</w:t>
      </w:r>
    </w:p>
    <w:p>
      <w:pPr>
        <w:spacing w:after="0" w:line="7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variable rate debt shown above generally bears interest at an interest rate based on adjusted Term SOFR (5.33% and 5.35% as of March 31, 2024 and December 31, 2023, respectively). Our consolidated debt as of March 31, 2024 had a weighted average term to maturity of 2.30 years.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Certain of our debt and equity investments and other investments, with carrying values of $172.2 million as of March 31, 2024 and $168.7 million as of December 31, 2023, are variable rate investments which mitigate our exposure to interest rate changes on our unhedged variable rate debt. Inclusive of the mitigating effect of these investments, the net ratio of our variable rate debt to total debt was 16.2% and 3.0% as of March 31, 2024 and December 31,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Credit Facility</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December 2021, we entered into an amended and restated credit facility, referred to as the 2021 credit facility, that was previously amended by the Company in November 2017, and was originally entered into by the Company in November 2012. As of March 31, 2024, the 2021 credit facility consisted of a $1.25 billion revolving credit facility, a $1.05 billion term loan (or "Term Loan A"), and a $200.0 million term loan (or "Term Loan B") with maturity dates of May 15, 2026, May 15, 2027, and November 21, 2024, respectively. The revolving credit facility has two six-month, as-of-right extension options to May 15, 2027. We also have an option, subject to customary conditions, to increase the capacity of the credit facility to $4.5 billion at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time prior to the maturity dates for the revolving credit facility and term loans without the consent of existing lenders, by obtaining additional commitments from our existing lenders and other financial institutions.</w:t>
      </w:r>
    </w:p>
    <w:p>
      <w:pPr>
        <w:spacing w:after="0" w:line="5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As of March 31, 2024,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8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the applicable spread over adjusted Term SOFR plus 10 basis points for the 2021 credit facility was 140 basis points for the revolving credit facility, 160 basis points for Term Loan A, and 165 basis points for Term Loan B. We are required to pay quarterly in arrears a 12.5 to 30 basis point facility fee on the total commitments under the revolving credit facility based on the credit rating assigned to the senior unsecured long term indebtedness of the Company. As of March 31, 2024, the facility fee was 30 basis points.</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we had no outstanding letters of credit, $650.0 million drawn under the revolving credit facility and $1.25 billion outstanding under the term loan facilities, with total undrawn capacity of $600.0 million under the 2021 credit facility. As of March 31, 2024 and December 31, 2023, the revolving credit facility had a carrying value of $645.1 million and $554.8 million, respectively, net of deferred financing costs. As of March 31, 2024 and December 31, 2023, the term loan facilities had a carrying value of $1.2 billion and $1.2 billion, respectively, net of deferred financing costs.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the Operating Partnership are borrowers jointly and severally obligated under the 2021 credit facility.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2021 credit facility includes certain restrictions and covenants (see Restrictive Covenants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terms of the 2021 credit facility and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March 31, 2024 and December 31, 2023, we were in compliance with all such covenants.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exposed to changes in interest rates primarily from our variable rate debt. Our exposure to interest rate fluctuations are managed through the use of interest rate derivative instruments and through our variable rate debt and preferred equity investments. As of March 31, 2024, $3.0 billion of our consolidated long-term debt and $5.9 billion of our share of joint venture long-term debt bears interest at fixed rates. Our variable rate debt and variable rate joint venture debt as of March 31, 2024 bore interest based on a spread to LIBOR of 145 basis points and Term SOFR of 50 basis points to 561 basis points. Based on the debt outstanding as of March 31, 2024, a hypothetical 100 basis point increase in the applicable floating interest rate curve would increase our consolidated annual interest cost, net of interest income from variable rate debt and preferred equity investments, by $5.5 million and would increase our share of joint venture annual interest cost by $11.1 million. As of March 31, 2024, $0.2 billion of our debt and preferred equity portfolio was indexed to SOFR.</w:t>
      </w:r>
    </w:p>
    <w:p>
      <w:pPr>
        <w:spacing w:after="0" w:line="8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recognize most derivatives on the balance sheet at fair value. Derivatives that are not hedges are adjusted to fair value through income. If a derivative is considered a hedge, depending on the nature of the hedge, changes in the fair value of the derivative will either be offset against the change in fair value of the hedged asset, liability, or firm commitment through earnings, or recognized in other comprehensive income (loss) until the hedged item is recognized in earnings.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have off-balance sheet investments, including joint ventures and debt and preferred equity investments. These investments all have varying ownership structures. A majority of our joint venture arrangements are accounted for under the equity method of accounting as we have the ability to exercise significant influence, but not control, over the operating and financial decisions of these joint venture arrangements. Our off-balance sheet arrangements are discussed in Note 5, "Debt and Preferred Equity Investments" and Note 6, "Investments in Unconsolidated Joint Ventures"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Dividends/Distributions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to pay dividends to our stockholders based on the distributions we receive from our Operating Partnership.</w:t>
      </w:r>
    </w:p>
    <w:p>
      <w:pPr>
        <w:spacing w:after="0" w:line="11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To maintain our qualification as a REIT, we must pay annual dividends to our stockholders of at least 90% of our REIT taxable income, determined before taking into consideration the dividends paid deduction and net capital gains.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Any dividend we pay may be in the form of cash, stock or a combination thereof, subject to IRS limitations on the use of stock for dividends. Additionally, if our REIT taxable income in a particular year exceeds the amount of cash dividends we pay in that year, we may pay stock dividends in order to maintain our REIT status and avoid certain REIT-level taxes.</w:t>
      </w:r>
    </w:p>
    <w:p>
      <w:pPr>
        <w:spacing w:after="0" w:line="68"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Before we pay any cash dividend, whether for Federal income tax purposes or otherwise, which would only be paid out of available cash to the extent permitted under the 2021 credit facility and senior unsecured notes, we must first meet both our operating requirements and scheduled debt service on our mortgages and loans payable.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or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w:t>
      </w:r>
    </w:p>
    <w:p>
      <w:pPr>
        <w:spacing w:after="0" w:line="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FFO is a widely recognized non-GAAP financial measure of REIT performance. The Company computes FFO in accordance with standards established by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spacing w:after="0" w:line="7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FFO for the three months ended March 31, 2024 and 2023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211"/>
        </w:trPr>
        <w:tc>
          <w:tcPr>
            <w:tcW w:w="8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 Green common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(39,731)</w:t>
            </w:r>
          </w:p>
        </w:tc>
      </w:tr>
      <w:tr>
        <w:trPr>
          <w:trHeight w:val="21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78,782</w:t>
            </w:r>
          </w:p>
        </w:tc>
      </w:tr>
      <w:tr>
        <w:trPr>
          <w:trHeight w:val="214"/>
        </w:trPr>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Joint venture depreciation and noncontrolling interest adjustments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74,258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69,534</w:t>
            </w:r>
          </w:p>
        </w:tc>
      </w:tr>
      <w:tr>
        <w:trPr>
          <w:trHeight w:val="218"/>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w:t>
            </w:r>
          </w:p>
        </w:tc>
      </w:tr>
      <w:tr>
        <w:trPr>
          <w:trHeight w:val="21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4"/>
        </w:trPr>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(55,652)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14"/>
        </w:trPr>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on non-rental real estate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11"/>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Funds from Operations attributable to SL Green common stockholders and unit 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215,443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105,485</w:t>
            </w: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42,349</w:t>
            </w:r>
          </w:p>
        </w:tc>
      </w:tr>
      <w:tr>
        <w:trPr>
          <w:trHeight w:val="21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(66,369)</w:t>
            </w:r>
          </w:p>
        </w:tc>
      </w:tr>
      <w:tr>
        <w:trPr>
          <w:trHeight w:val="21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business at SUMMIT is subject to tourism trends and weather conditions, resulting in some seasonal fluctuation. In 2023 and 2022, approximately 14.0% to 16.0% of our annual SUMMIT revenue was realized in the first quarter, 24.0% to 26.0% was realized in the second quarter, 28.0% to 30.0% was realized in the third quarter, and 29.0% to 31.0% was realized in the fourth quarter. We do not consider any other components of our business to be subject to material seasonal fluctuations.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Accounting Standards Updates are discussed in Note 2, "Significant Accounting Policies-Accounting Standards Updates" in the accompanying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8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68"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business and financial conditions, and their effect on the New York City real estate market in particular;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New York City real estate market;</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real estate acquisitions, dispositions, development and redevelopment, including the cost of construction delays and cost overruns;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debt and preferred equity investments;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creditworthiness of prospective tenants and borrowers;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of a major tenant or a significant number of smaller tenants or borrowers;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real estate markets, including reduced demand for office space, increasing vacancy, and increasing availability of sublease space;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debt and equity capital for our operational needs and investment strategy;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financing and other costs, including a rise in interest rates;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financial covenants in our debt instruments;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investing through joint venture structures, including the fulfillment by our partners of their financial obligations;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terrorist attacks;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insurance coverage at a reasonable cost and the potential for losses in excess of our insurance coverage, including as a result of environmental contamination;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Other factors and risks to our business, many of which are beyond our control, are described in other sections of this report and in our other filings with the SEC. Except to the extent required by law, we undertake no obligation to publicly update or revise any forward-looking statements, whether as a result of future events,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Item 2, "Management's Discussion and Analysis of Financial Condition and Results of Operation - Interest Rate Risk" in this Quarterly Report on Form 10-Q for the three months ended March 31, 2024 for the Company and the Operating Partnership and Item 7, "Management's Discussion and Analysis of Financial Condition and Results of Operations - Interest Rate Risk" in the Annual Report on Form 10-K for the year ended December 31, 2023 for the Company and the Operating Partnership. Our exposures to market risk have not changed materially since December 31,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SL GREEN REALTY CORP.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internal control over financial reporting during the quarter ended March 31, 2024 that have materially affected, or are reasonably likely to materially affect, its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SL GREEN OPERATING PARTNERSHIP,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significant changes in the Operating Partnership's internal control over financial reporting during the quarter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that have materially affected, or are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there have been no material changes to the Risk Factors disclosed in "Part I. Item 1A. Risk Factors"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August 2016, our Board of Directors approved a $1.0 billion share repurchase program under which we can buy shares of our common stock. The Board of Directors has since authorized five separate $500.0 million increases to the size of the share repurchase program in the fourth quarter of 2017, second quarter of 2018, fourth quarter of 2018, fourth quarter of 2019, and fourth quarter of 2020 bringing the total program size to $3.5 billion.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share repurchases executed under the program, excluding the redemption of OP units,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Cumulative number of shares</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920" w:type="dxa"/>
            <w:vAlign w:val="bottom"/>
            <w:vMerge w:val="restart"/>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23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Average price paid per share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repurchased as part of the</w:t>
            </w:r>
          </w:p>
        </w:tc>
        <w:tc>
          <w:tcPr>
            <w:tcW w:w="0" w:type="dxa"/>
            <w:vAlign w:val="bottom"/>
          </w:tcPr>
          <w:p>
            <w:pPr>
              <w:spacing w:after="0"/>
              <w:rPr>
                <w:sz w:val="1"/>
                <w:szCs w:val="1"/>
                <w:color w:val="auto"/>
              </w:rPr>
            </w:pPr>
          </w:p>
        </w:tc>
      </w:tr>
      <w:tr>
        <w:trPr>
          <w:trHeight w:val="212"/>
        </w:trPr>
        <w:tc>
          <w:tcPr>
            <w:tcW w:w="37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repurchase plan or programs</w:t>
            </w:r>
          </w:p>
        </w:tc>
        <w:tc>
          <w:tcPr>
            <w:tcW w:w="0" w:type="dxa"/>
            <w:vAlign w:val="bottom"/>
          </w:tcPr>
          <w:p>
            <w:pPr>
              <w:spacing w:after="0"/>
              <w:rPr>
                <w:sz w:val="1"/>
                <w:szCs w:val="1"/>
                <w:color w:val="auto"/>
              </w:rPr>
            </w:pPr>
          </w:p>
        </w:tc>
      </w:tr>
      <w:tr>
        <w:trPr>
          <w:trHeight w:val="85"/>
        </w:trPr>
        <w:tc>
          <w:tcPr>
            <w:tcW w:w="3740" w:type="dxa"/>
            <w:vAlign w:val="bottom"/>
            <w:tcBorders>
              <w:bottom w:val="single" w:sz="8" w:color="auto"/>
            </w:tcBorders>
          </w:tcPr>
          <w:p>
            <w:pPr>
              <w:spacing w:after="0"/>
              <w:rPr>
                <w:sz w:val="7"/>
                <w:szCs w:val="7"/>
                <w:color w:val="auto"/>
              </w:rPr>
            </w:pPr>
          </w:p>
        </w:tc>
        <w:tc>
          <w:tcPr>
            <w:tcW w:w="292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2023</w:t>
            </w:r>
          </w:p>
        </w:tc>
        <w:tc>
          <w:tcPr>
            <w:tcW w:w="2920" w:type="dxa"/>
            <w:vAlign w:val="bottom"/>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36,107,719</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2024</w:t>
            </w:r>
          </w:p>
        </w:tc>
        <w:tc>
          <w:tcPr>
            <w:tcW w:w="292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36,107,719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required by Item 601 of Regulation S-K are filed herewith or incorporated herein by reference and are listed in the attached Exhibit Index.</w:t>
      </w:r>
    </w:p>
    <w:p>
      <w:pPr>
        <w:spacing w:after="0" w:line="295" w:lineRule="exact"/>
        <w:rPr>
          <w:sz w:val="20"/>
          <w:szCs w:val="20"/>
          <w:color w:val="auto"/>
        </w:rPr>
      </w:pPr>
    </w:p>
    <w:p>
      <w:pPr>
        <w:ind w:left="360"/>
        <w:spacing w:after="0"/>
        <w:tabs>
          <w:tab w:leader="none" w:pos="58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 w:lineRule="exact"/>
        <w:rPr>
          <w:sz w:val="20"/>
          <w:szCs w:val="20"/>
          <w:color w:val="auto"/>
        </w:rPr>
      </w:pPr>
    </w:p>
    <w:p>
      <w:pPr>
        <w:ind w:left="1300" w:right="40" w:hanging="426"/>
        <w:spacing w:after="0" w:line="232" w:lineRule="auto"/>
        <w:tabs>
          <w:tab w:leader="none" w:pos="1280" w:val="left"/>
        </w:tabs>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u w:val="single" w:color="auto"/>
            <w:color w:val="0000FF"/>
          </w:rPr>
          <w:t>10.1</w:t>
        </w:r>
      </w:hyperlink>
      <w:r>
        <w:rPr>
          <w:rFonts w:ascii="Times New Roman" w:cs="Times New Roman" w:eastAsia="Times New Roman" w:hAnsi="Times New Roman"/>
          <w:sz w:val="16"/>
          <w:szCs w:val="16"/>
          <w:color w:val="0000FF"/>
        </w:rPr>
        <w:tab/>
        <w:t>First Amendment to Amended and Restated Employment and Noncompetition Agreement, dated as of January 30, 2024, by and between SL Green Realty Corp. and Matthew DiLiberto, incorporated by reference to the Company's Form 8-K, dated January 30, 2024, filed with the SEC on February 2, 2024.</w:t>
      </w:r>
    </w:p>
    <w:p>
      <w:pPr>
        <w:spacing w:after="0" w:line="6" w:lineRule="exact"/>
        <w:rPr>
          <w:sz w:val="20"/>
          <w:szCs w:val="20"/>
          <w:color w:val="auto"/>
        </w:rPr>
      </w:pPr>
    </w:p>
    <w:p>
      <w:pPr>
        <w:ind w:left="860"/>
        <w:spacing w:after="0"/>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31.1</w:t>
      </w:r>
      <w:r>
        <w:rPr>
          <w:sz w:val="20"/>
          <w:szCs w:val="20"/>
          <w:color w:val="auto"/>
        </w:rPr>
        <w:tab/>
      </w:r>
      <w:r>
        <w:rPr>
          <w:rFonts w:ascii="Times New Roman" w:cs="Times New Roman" w:eastAsia="Times New Roman" w:hAnsi="Times New Roman"/>
          <w:sz w:val="16"/>
          <w:szCs w:val="16"/>
          <w:color w:val="auto"/>
        </w:rPr>
        <w:t>Certification by the Chairman and Chief Executive Officer of the Company pursuant to Section 302 of the Sarbanes-Oxley Act of 2002, filed herewith.</w:t>
      </w:r>
    </w:p>
    <w:p>
      <w:pPr>
        <w:spacing w:after="0" w:line="32" w:lineRule="exact"/>
        <w:rPr>
          <w:sz w:val="20"/>
          <w:szCs w:val="20"/>
          <w:color w:val="auto"/>
        </w:rPr>
      </w:pPr>
    </w:p>
    <w:p>
      <w:pPr>
        <w:ind w:left="860"/>
        <w:spacing w:after="0"/>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31.2</w:t>
      </w:r>
      <w:r>
        <w:rPr>
          <w:sz w:val="20"/>
          <w:szCs w:val="20"/>
          <w:color w:val="auto"/>
        </w:rPr>
        <w:tab/>
      </w:r>
      <w:r>
        <w:rPr>
          <w:rFonts w:ascii="Times New Roman" w:cs="Times New Roman" w:eastAsia="Times New Roman" w:hAnsi="Times New Roman"/>
          <w:sz w:val="16"/>
          <w:szCs w:val="16"/>
          <w:color w:val="auto"/>
        </w:rPr>
        <w:t>Certification by the Chief Financial Officer of the Company pursuant to Section 302 of the Sarbanes-Oxley Act of 2002, filed herewith.</w:t>
      </w:r>
    </w:p>
    <w:p>
      <w:pPr>
        <w:spacing w:after="0" w:line="28" w:lineRule="exact"/>
        <w:rPr>
          <w:sz w:val="20"/>
          <w:szCs w:val="20"/>
          <w:color w:val="auto"/>
        </w:rPr>
      </w:pPr>
    </w:p>
    <w:p>
      <w:pPr>
        <w:ind w:left="860"/>
        <w:spacing w:after="0"/>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31.3</w:t>
      </w:r>
      <w:r>
        <w:rPr>
          <w:sz w:val="20"/>
          <w:szCs w:val="20"/>
          <w:color w:val="auto"/>
        </w:rPr>
        <w:tab/>
      </w:r>
      <w:r>
        <w:rPr>
          <w:rFonts w:ascii="Times New Roman" w:cs="Times New Roman" w:eastAsia="Times New Roman" w:hAnsi="Times New Roman"/>
          <w:sz w:val="16"/>
          <w:szCs w:val="16"/>
          <w:color w:val="auto"/>
        </w:rPr>
        <w:t>Certification by the Chairman and Chief Executive Officer of the Company, the sole general partner of the Operating Partnership pursuant to Section</w:t>
      </w:r>
    </w:p>
    <w:p>
      <w:pPr>
        <w:ind w:left="1300"/>
        <w:spacing w:after="0"/>
        <w:rPr>
          <w:sz w:val="20"/>
          <w:szCs w:val="20"/>
          <w:color w:val="auto"/>
        </w:rPr>
      </w:pPr>
      <w:r>
        <w:rPr>
          <w:rFonts w:ascii="Times New Roman" w:cs="Times New Roman" w:eastAsia="Times New Roman" w:hAnsi="Times New Roman"/>
          <w:sz w:val="16"/>
          <w:szCs w:val="16"/>
          <w:color w:val="auto"/>
        </w:rPr>
        <w:t>302 of the Sarbanes-Oxley Act of 2002, filed herewith.</w:t>
      </w:r>
    </w:p>
    <w:p>
      <w:pPr>
        <w:spacing w:after="0" w:line="14" w:lineRule="exact"/>
        <w:rPr>
          <w:sz w:val="20"/>
          <w:szCs w:val="20"/>
          <w:color w:val="auto"/>
        </w:rPr>
      </w:pPr>
    </w:p>
    <w:p>
      <w:pPr>
        <w:ind w:left="1300" w:right="540" w:hanging="426"/>
        <w:spacing w:after="0" w:line="245"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31.4</w:t>
      </w:r>
      <w:r>
        <w:rPr>
          <w:sz w:val="20"/>
          <w:szCs w:val="20"/>
          <w:color w:val="auto"/>
        </w:rPr>
        <w:tab/>
      </w:r>
      <w:r>
        <w:rPr>
          <w:rFonts w:ascii="Times New Roman" w:cs="Times New Roman" w:eastAsia="Times New Roman" w:hAnsi="Times New Roman"/>
          <w:sz w:val="16"/>
          <w:szCs w:val="16"/>
          <w:color w:val="auto"/>
        </w:rPr>
        <w:t>Certification by the Chief Financial Officer of the Company, the sole general partner of the Operating Partnership pursuant to Section 302 of the Sarbanes-Oxley Act of 2002, filed herewith.</w:t>
      </w:r>
    </w:p>
    <w:p>
      <w:pPr>
        <w:spacing w:after="0" w:line="2" w:lineRule="exact"/>
        <w:rPr>
          <w:sz w:val="20"/>
          <w:szCs w:val="20"/>
          <w:color w:val="auto"/>
        </w:rPr>
      </w:pPr>
    </w:p>
    <w:p>
      <w:pPr>
        <w:ind w:left="1300" w:right="340" w:hanging="426"/>
        <w:spacing w:after="0" w:line="245"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32.1</w:t>
      </w:r>
      <w:r>
        <w:rPr>
          <w:sz w:val="20"/>
          <w:szCs w:val="20"/>
          <w:color w:val="auto"/>
        </w:rPr>
        <w:tab/>
      </w:r>
      <w:r>
        <w:rPr>
          <w:rFonts w:ascii="Times New Roman" w:cs="Times New Roman" w:eastAsia="Times New Roman" w:hAnsi="Times New Roman"/>
          <w:sz w:val="16"/>
          <w:szCs w:val="16"/>
          <w:color w:val="auto"/>
        </w:rPr>
        <w:t>Certification by the Chairman and Chief Executive Officer pursuant to 18 U.S.C. section 1350, as adopted pursuant to Section 906 of the Sarbanes-Oxley Act of 2002, furnished herewith.</w:t>
      </w:r>
    </w:p>
    <w:p>
      <w:pPr>
        <w:spacing w:after="0" w:line="2" w:lineRule="exact"/>
        <w:rPr>
          <w:sz w:val="20"/>
          <w:szCs w:val="20"/>
          <w:color w:val="auto"/>
        </w:rPr>
      </w:pPr>
    </w:p>
    <w:p>
      <w:pPr>
        <w:ind w:left="1300" w:right="80" w:hanging="426"/>
        <w:spacing w:after="0" w:line="245"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32.2</w:t>
      </w:r>
      <w:r>
        <w:rPr>
          <w:sz w:val="20"/>
          <w:szCs w:val="20"/>
          <w:color w:val="auto"/>
        </w:rPr>
        <w:tab/>
      </w:r>
      <w:r>
        <w:rPr>
          <w:rFonts w:ascii="Times New Roman" w:cs="Times New Roman" w:eastAsia="Times New Roman" w:hAnsi="Times New Roman"/>
          <w:sz w:val="16"/>
          <w:szCs w:val="16"/>
          <w:color w:val="auto"/>
        </w:rPr>
        <w:t>Certification by the Chief Financial Officer pursuant to 18 U.S.C. section 1350, as adopted pursuant to Section 906 of the Sarbanes-Oxley Act of 2002, furnished herewith.</w:t>
      </w:r>
    </w:p>
    <w:p>
      <w:pPr>
        <w:ind w:left="860"/>
        <w:spacing w:after="0" w:line="237"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32.3</w:t>
      </w:r>
      <w:r>
        <w:rPr>
          <w:sz w:val="20"/>
          <w:szCs w:val="20"/>
          <w:color w:val="auto"/>
        </w:rPr>
        <w:tab/>
      </w:r>
      <w:r>
        <w:rPr>
          <w:rFonts w:ascii="Times New Roman" w:cs="Times New Roman" w:eastAsia="Times New Roman" w:hAnsi="Times New Roman"/>
          <w:sz w:val="16"/>
          <w:szCs w:val="16"/>
          <w:color w:val="auto"/>
        </w:rPr>
        <w:t>Certification by the Chairman and Chief Executive Officer of the Company, the sole general partner of the Operating Partnership pursuant to 18 U.S.C.</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section 1350, as adopted pursuant to Section 906 of the Sarbanes-Oxley Act of 2002, furnished herewith.</w:t>
      </w:r>
    </w:p>
    <w:p>
      <w:pPr>
        <w:spacing w:after="0" w:line="14" w:lineRule="exact"/>
        <w:rPr>
          <w:sz w:val="20"/>
          <w:szCs w:val="20"/>
          <w:color w:val="auto"/>
        </w:rPr>
      </w:pPr>
    </w:p>
    <w:p>
      <w:pPr>
        <w:ind w:left="1300" w:hanging="426"/>
        <w:spacing w:after="0" w:line="245" w:lineRule="auto"/>
        <w:tabs>
          <w:tab w:leader="none" w:pos="1280" w:val="left"/>
        </w:tabs>
        <w:rPr>
          <w:sz w:val="20"/>
          <w:szCs w:val="20"/>
          <w:color w:val="auto"/>
        </w:rPr>
      </w:pPr>
      <w:r>
        <w:rPr>
          <w:rFonts w:ascii="Times New Roman" w:cs="Times New Roman" w:eastAsia="Times New Roman" w:hAnsi="Times New Roman"/>
          <w:sz w:val="16"/>
          <w:szCs w:val="16"/>
          <w:u w:val="single" w:color="auto"/>
          <w:color w:val="0000FF"/>
        </w:rPr>
        <w:t>32.4</w:t>
      </w:r>
      <w:r>
        <w:rPr>
          <w:sz w:val="20"/>
          <w:szCs w:val="20"/>
          <w:color w:val="auto"/>
        </w:rPr>
        <w:tab/>
      </w:r>
      <w:r>
        <w:rPr>
          <w:rFonts w:ascii="Times New Roman" w:cs="Times New Roman" w:eastAsia="Times New Roman" w:hAnsi="Times New Roman"/>
          <w:sz w:val="16"/>
          <w:szCs w:val="16"/>
          <w:color w:val="auto"/>
        </w:rPr>
        <w:t>Certification by the Chief Financial Officer of the Company, the sole general partner of the Operating Partnership pursuant to 18 U.S.C. section 1350, as adopted pursuant to Section 906 of the Sarbanes-Oxley Act of 2002, furnished herewith.</w:t>
      </w:r>
    </w:p>
    <w:p>
      <w:pPr>
        <w:spacing w:after="0" w:line="2" w:lineRule="exact"/>
        <w:rPr>
          <w:sz w:val="20"/>
          <w:szCs w:val="20"/>
          <w:color w:val="auto"/>
        </w:rPr>
      </w:pPr>
    </w:p>
    <w:p>
      <w:pPr>
        <w:jc w:val="both"/>
        <w:ind w:left="1300" w:right="360" w:hanging="442"/>
        <w:spacing w:after="0" w:line="219" w:lineRule="auto"/>
        <w:tabs>
          <w:tab w:leader="none" w:pos="13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statements from SL Green Realty Corp. and SL Green Operating Partnership L.P.’s Quarterly Report on Form 10-Q for the quarter ended March 31, 2024, formatted in Inline XBRL: (i) Consolidated Balance Sheets (unaudited), (ii) Consolidated Statements of Operations (unaudited), (iii) Consolidated Statements of Comprehensive (Loss) Income (unaudited), (iv) Consolidated Statements of Equity (unaudited), (v)</w:t>
      </w:r>
    </w:p>
    <w:p>
      <w:pPr>
        <w:ind w:left="1300" w:right="360"/>
        <w:spacing w:after="0" w:line="23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Statements of Capital (unaudited) (vi) Consolidated Statements of Cash Flows (unaudited), and (vii) Notes to Consolidated Financial Statements (unaudited), detail tagged and filed herewith.</w:t>
      </w:r>
    </w:p>
    <w:p>
      <w:pPr>
        <w:spacing w:after="0" w:line="6" w:lineRule="exact"/>
        <w:rPr>
          <w:sz w:val="20"/>
          <w:szCs w:val="20"/>
          <w:color w:val="auto"/>
        </w:rPr>
      </w:pPr>
    </w:p>
    <w:p>
      <w:pPr>
        <w:ind w:left="1300" w:hanging="442"/>
        <w:spacing w:after="0"/>
        <w:tabs>
          <w:tab w:leader="none" w:pos="13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97"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73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SL GREEN REALTY CORP.</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8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SL Green Realty Corp.</w:t>
            </w:r>
          </w:p>
        </w:tc>
        <w:tc>
          <w:tcPr>
            <w:tcW w:w="0" w:type="dxa"/>
            <w:vAlign w:val="bottom"/>
          </w:tcPr>
          <w:p>
            <w:pPr>
              <w:spacing w:after="0"/>
              <w:rPr>
                <w:sz w:val="1"/>
                <w:szCs w:val="1"/>
                <w:color w:val="auto"/>
              </w:rPr>
            </w:pPr>
          </w:p>
        </w:tc>
      </w:tr>
      <w:tr>
        <w:trPr>
          <w:trHeight w:val="391"/>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May 3, 2024</w:t>
            </w:r>
          </w:p>
        </w:tc>
        <w:tc>
          <w:tcPr>
            <w:tcW w:w="284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 DiLiberto</w:t>
            </w:r>
          </w:p>
        </w:tc>
        <w:tc>
          <w:tcPr>
            <w:tcW w:w="0" w:type="dxa"/>
            <w:vAlign w:val="bottom"/>
          </w:tcPr>
          <w:p>
            <w:pPr>
              <w:spacing w:after="0"/>
              <w:rPr>
                <w:sz w:val="1"/>
                <w:szCs w:val="1"/>
                <w:color w:val="auto"/>
              </w:rPr>
            </w:pPr>
          </w:p>
        </w:tc>
      </w:tr>
      <w:tr>
        <w:trPr>
          <w:trHeight w:val="169"/>
        </w:trPr>
        <w:tc>
          <w:tcPr>
            <w:tcW w:w="3280" w:type="dxa"/>
            <w:vAlign w:val="bottom"/>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4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Matthew J. DiLiberto</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5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ind w:left="6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p>
      <w:pPr>
        <w:spacing w:after="0" w:line="189"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120" w:type="dxa"/>
            <w:vAlign w:val="bottom"/>
          </w:tcPr>
          <w:p>
            <w:pPr>
              <w:ind w:left="514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169"/>
        </w:trPr>
        <w:tc>
          <w:tcPr>
            <w:tcW w:w="6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Dated: May 3, 2024</w:t>
            </w:r>
          </w:p>
        </w:tc>
        <w:tc>
          <w:tcPr>
            <w:tcW w:w="4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Matthew J. DiLiberto</w:t>
            </w:r>
          </w:p>
        </w:tc>
      </w:tr>
      <w:tr>
        <w:trPr>
          <w:trHeight w:val="176"/>
        </w:trPr>
        <w:tc>
          <w:tcPr>
            <w:tcW w:w="6120" w:type="dxa"/>
            <w:vAlign w:val="bottom"/>
          </w:tcPr>
          <w:p>
            <w:pPr>
              <w:spacing w:after="0"/>
              <w:rPr>
                <w:sz w:val="15"/>
                <w:szCs w:val="15"/>
                <w:color w:val="auto"/>
              </w:rPr>
            </w:pPr>
          </w:p>
        </w:tc>
        <w:tc>
          <w:tcPr>
            <w:tcW w:w="4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Financial Officer of SL Green, the sole general partner</w:t>
            </w:r>
          </w:p>
        </w:tc>
      </w:tr>
      <w:tr>
        <w:trPr>
          <w:trHeight w:val="184"/>
        </w:trPr>
        <w:tc>
          <w:tcPr>
            <w:tcW w:w="6120" w:type="dxa"/>
            <w:vAlign w:val="bottom"/>
          </w:tcPr>
          <w:p>
            <w:pPr>
              <w:spacing w:after="0"/>
              <w:rPr>
                <w:sz w:val="16"/>
                <w:szCs w:val="16"/>
                <w:color w:val="auto"/>
              </w:rPr>
            </w:pPr>
          </w:p>
        </w:tc>
        <w:tc>
          <w:tcPr>
            <w:tcW w:w="45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of the Operating Partnership (Principal Financial and</w:t>
            </w:r>
          </w:p>
        </w:tc>
      </w:tr>
      <w:tr>
        <w:trPr>
          <w:trHeight w:val="234"/>
        </w:trPr>
        <w:tc>
          <w:tcPr>
            <w:tcW w:w="61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121" w:right="4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Marc Holliday, certify that:</w:t>
      </w:r>
    </w:p>
    <w:p>
      <w:pPr>
        <w:spacing w:after="0" w:line="391"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Realty Corp. (the “registrant”);</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300" w:hanging="644"/>
        <w:spacing w:after="0" w:line="281" w:lineRule="auto"/>
        <w:tabs>
          <w:tab w:leader="none" w:pos="12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2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3, 2024</w:t>
      </w:r>
    </w:p>
    <w:p>
      <w:pPr>
        <w:spacing w:after="0" w:line="3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632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Holliday</w:t>
      </w:r>
    </w:p>
    <w:p>
      <w:pPr>
        <w:spacing w:after="0" w:line="36"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Matthew J. DiLiberto, certify that:</w:t>
      </w:r>
    </w:p>
    <w:p>
      <w:pPr>
        <w:spacing w:after="0" w:line="364"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Realty Corp. (the “registrant”);</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300" w:hanging="644"/>
        <w:spacing w:after="0" w:line="281" w:lineRule="auto"/>
        <w:tabs>
          <w:tab w:leader="none" w:pos="12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2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Marc Holliday, certify that:</w:t>
      </w:r>
    </w:p>
    <w:p>
      <w:pPr>
        <w:spacing w:after="0" w:line="391"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Operating Partnership, L.P. (the “registrant”);</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300" w:hanging="644"/>
        <w:spacing w:after="0" w:line="281"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3, 2024</w:t>
      </w:r>
    </w:p>
    <w:p>
      <w:pPr>
        <w:spacing w:after="0" w:line="3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632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Holliday</w:t>
      </w:r>
    </w:p>
    <w:p>
      <w:pPr>
        <w:spacing w:after="0" w:line="36"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and Chief Executive Officer</w:t>
      </w:r>
    </w:p>
    <w:p>
      <w:pPr>
        <w:spacing w:after="0" w:line="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of SL Green Realty Corp., the</w:t>
      </w:r>
    </w:p>
    <w:p>
      <w:pPr>
        <w:spacing w:after="0" w:line="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general partner of the registrant</w:t>
      </w:r>
    </w:p>
    <w:p>
      <w:pPr>
        <w:sectPr>
          <w:pgSz w:w="11900" w:h="16838" w:orient="portrait"/>
          <w:cols w:equalWidth="0" w:num="1">
            <w:col w:w="11240"/>
          </w:cols>
          <w:pgMar w:left="320" w:top="88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Matthew J. DiLiberto, certify that:</w:t>
      </w:r>
    </w:p>
    <w:p>
      <w:pPr>
        <w:spacing w:after="0" w:line="391"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SL Green Operating Partnership, L.P. (the “registrant”);</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300" w:hanging="644"/>
        <w:spacing w:after="0" w:line="281"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SL Green Realty Corp., the</w:t>
            </w:r>
          </w:p>
        </w:tc>
      </w:tr>
      <w:tr>
        <w:trPr>
          <w:trHeight w:val="234"/>
        </w:trPr>
        <w:tc>
          <w:tcPr>
            <w:tcW w:w="7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partner of the registrant</w:t>
            </w:r>
          </w:p>
        </w:tc>
      </w:tr>
    </w:tbl>
    <w:p>
      <w:pPr>
        <w:sectPr>
          <w:pgSz w:w="11900" w:h="16838" w:orient="portrait"/>
          <w:cols w:equalWidth="0" w:num="1">
            <w:col w:w="11240"/>
          </w:cols>
          <w:pgMar w:left="320" w:top="88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SL Green Realty Corp. (the “Company”) on Form 10-Q as filed with the Securities and Exchange Commission on the date hereof (the “Report”), I, Marc Holliday, Chairman and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Marc Holliday</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 Holliday</w:t>
            </w: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3, 2024</w:t>
      </w:r>
    </w:p>
    <w:p>
      <w:pPr>
        <w:sectPr>
          <w:pgSz w:w="11900" w:h="16838" w:orient="portrait"/>
          <w:cols w:equalWidth="0" w:num="1">
            <w:col w:w="11240"/>
          </w:cols>
          <w:pgMar w:left="320" w:top="88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SL Green Realty Corp. (the “Company”) on Form 10-Q as filed with the Securities and Exchange Commission on the date hereof (the “Report”), I, Matthew J. DiLiberto,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3, 2024</w:t>
      </w:r>
    </w:p>
    <w:p>
      <w:pPr>
        <w:sectPr>
          <w:pgSz w:w="11900" w:h="16838" w:orient="portrait"/>
          <w:cols w:equalWidth="0" w:num="1">
            <w:col w:w="11240"/>
          </w:cols>
          <w:pgMar w:left="320" w:top="88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SL Green Operating Partnership, L.P. (the “Operating Partnership”) on Form 10-Q as filed with the Securities and Exchange Commission on the date hereof (the “Report”), I, Marc Holliday, Chairman and Chief Executive Officer of SL Green Realty Corp, the sole general partner of the Operating Partnership, hereby certify, pursuant to 18 U.S.C. Section 1350, as adopted pursuant to Section 906 of the Sarbanes-Oxley Act of 2002, that:</w:t>
      </w:r>
    </w:p>
    <w:p>
      <w:pPr>
        <w:spacing w:after="0" w:line="207"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40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Operating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Marc Holliday</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 Holliday</w:t>
            </w: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9"/>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SL Green Realty Corp., the</w:t>
            </w:r>
          </w:p>
        </w:tc>
      </w:tr>
      <w:tr>
        <w:trPr>
          <w:trHeight w:val="234"/>
        </w:trPr>
        <w:tc>
          <w:tcPr>
            <w:tcW w:w="7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partner of the Operating Partnership</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3, 2024</w:t>
      </w:r>
    </w:p>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SL Green Operating Partnership, L.P. (the “Operating Partnership”) on Form 10-Q as filed with the Securities and Exchange Commission on the date hereof (the “Report”), I, Matthew J. DiLiberto, Chief Financial Officer of SL Green Realty Corp, the sole general partner of the Operating Partnership, hereby certify, pursuant to 18 U.S.C. Section 1350, as adopted pursuant to Section 906 of the Sarbanes-Oxley Act of 2002, that:</w:t>
      </w:r>
    </w:p>
    <w:p>
      <w:pPr>
        <w:spacing w:after="0" w:line="207"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4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Operating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J. DiLiberto</w:t>
            </w:r>
          </w:p>
        </w:tc>
      </w:tr>
      <w:tr>
        <w:trPr>
          <w:trHeight w:val="2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Matthew J. DiLiberto</w:t>
            </w: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SL Green Realty Corp., the</w:t>
            </w:r>
          </w:p>
        </w:tc>
      </w:tr>
      <w:tr>
        <w:trPr>
          <w:trHeight w:val="234"/>
        </w:trPr>
        <w:tc>
          <w:tcPr>
            <w:tcW w:w="72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partner of the Operating Partnership</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3,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lvl w:ilvl="1">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2"/>
    </w:lvl>
  </w:abstractNum>
  <w:abstractNum w:abstractNumId="8">
    <w:nsid w:val="614FD4A1"/>
    <w:multiLevelType w:val="hybridMultilevel"/>
    <w:lvl w:ilvl="0">
      <w:lvlJc w:val="left"/>
      <w:lvlText w:val="%1."/>
      <w:numFmt w:val="decimal"/>
      <w:start w:val="3"/>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4"/>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0"/>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0"/>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9"/>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0"/>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2"/>
    </w:lvl>
  </w:abstractNum>
  <w:abstractNum w:abstractNumId="34">
    <w:nsid w:val="6DE91B18"/>
    <w:multiLevelType w:val="hybridMultilevel"/>
    <w:lvl w:ilvl="0">
      <w:lvlJc w:val="left"/>
      <w:lvlText w:val="(%1)"/>
      <w:numFmt w:val="decimal"/>
      <w:start w:val="2"/>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9"/>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lowerRoman"/>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01"/>
    </w:lvl>
  </w:abstractNum>
  <w:abstractNum w:abstractNumId="50">
    <w:nsid w:val="23F9C13C"/>
    <w:multiLevelType w:val="hybridMultilevel"/>
    <w:lvl w:ilvl="0">
      <w:lvlJc w:val="left"/>
      <w:lvlText w:val="%1"/>
      <w:numFmt w:val="decimal"/>
      <w:start w:val="104"/>
    </w:lvl>
  </w:abstractNum>
  <w:abstractNum w:abstractNumId="51">
    <w:nsid w:val="649BB77C"/>
    <w:multiLevelType w:val="hybridMultilevel"/>
    <w:lvl w:ilvl="0">
      <w:lvlJc w:val="left"/>
      <w:lvlText w:val="%1."/>
      <w:numFmt w:val="decimal"/>
      <w:start w:val="1"/>
    </w:lvl>
    <w:lvl w:ilvl="1">
      <w:lvlJc w:val="left"/>
      <w:lvlText w:val="(%2)"/>
      <w:numFmt w:val="lowerLetter"/>
      <w:start w:val="1"/>
    </w:lvl>
  </w:abstractNum>
  <w:abstractNum w:abstractNumId="52">
    <w:nsid w:val="275AC794"/>
    <w:multiLevelType w:val="hybridMultilevel"/>
    <w:lvl w:ilvl="0">
      <w:lvlJc w:val="left"/>
      <w:lvlText w:val="%1."/>
      <w:numFmt w:val="decimal"/>
      <w:start w:val="1"/>
    </w:lvl>
    <w:lvl w:ilvl="1">
      <w:lvlJc w:val="left"/>
      <w:lvlText w:val="(%2)"/>
      <w:numFmt w:val="lowerLetter"/>
      <w:start w:val="1"/>
    </w:lvl>
  </w:abstractNum>
  <w:abstractNum w:abstractNumId="53">
    <w:nsid w:val="39386575"/>
    <w:multiLevelType w:val="hybridMultilevel"/>
    <w:lvl w:ilvl="0">
      <w:lvlJc w:val="left"/>
      <w:lvlText w:val="%1."/>
      <w:numFmt w:val="decimal"/>
      <w:start w:val="1"/>
    </w:lvl>
    <w:lvl w:ilvl="1">
      <w:lvlJc w:val="left"/>
      <w:lvlText w:val="(%2)"/>
      <w:numFmt w:val="lowerLetter"/>
      <w:start w:val="1"/>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3" Type="http://schemas.openxmlformats.org/officeDocument/2006/relationships/hyperlink" Target="https://www.sec.gov/Archives/edgar/data/1040971/000110465924010038/tm24491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2024-05-06T05:30:05Z</dcterms:created>
  <dcterms:modified xsi:type="dcterms:W3CDTF">2024-05-06T05:30:05Z</dcterms:modified>
</cp:coreProperties>
</file>