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333-208621</w:t>
      </w:r>
    </w:p>
    <w:p>
      <w:pPr>
        <w:spacing w:after="0" w:line="213" w:lineRule="exact"/>
        <w:rPr>
          <w:sz w:val="24"/>
          <w:szCs w:val="24"/>
          <w:color w:val="auto"/>
        </w:rPr>
      </w:pPr>
    </w:p>
    <w:p>
      <w:pPr>
        <w:ind w:right="100"/>
        <w:spacing w:after="0" w:line="258" w:lineRule="auto"/>
        <w:rPr>
          <w:sz w:val="20"/>
          <w:szCs w:val="20"/>
          <w:color w:val="auto"/>
        </w:rPr>
      </w:pPr>
      <w:r>
        <w:rPr>
          <w:rFonts w:ascii="Arial" w:cs="Arial" w:eastAsia="Arial" w:hAnsi="Arial"/>
          <w:sz w:val="18"/>
          <w:szCs w:val="18"/>
          <w:b w:val="1"/>
          <w:bCs w:val="1"/>
          <w:color w:val="FF4040"/>
        </w:rPr>
        <w:t>This preliminary prospectus supplement relates to an effective registration statement under the Securities Act of 1933, as amended, but the information in this preliminary prospectus supplement is not complete and may be changed. This preliminary prospectus supplement and the accompanying prospectus are not an offer to sell and are not soliciting an offer to buy these securities in any jurisdiction where the offer or sale thereof is not permitted.</w:t>
      </w:r>
    </w:p>
    <w:p>
      <w:pPr>
        <w:spacing w:after="0" w:line="190"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FF4040"/>
        </w:rPr>
        <w:t>SUBJECT TO COMPLETION, DATED JULY 26,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December 18, 2015)</w:t>
      </w:r>
    </w:p>
    <w:p>
      <w:pPr>
        <w:spacing w:after="0" w:line="200"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148590</wp:posOffset>
            </wp:positionV>
            <wp:extent cx="227266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7266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SL Green Operating Partnership, L.P.</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Floating Rate Notes due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400"/>
        <w:spacing w:after="0"/>
        <w:tabs>
          <w:tab w:leader="none" w:pos="6720" w:val="left"/>
        </w:tabs>
        <w:rPr>
          <w:sz w:val="20"/>
          <w:szCs w:val="20"/>
          <w:color w:val="auto"/>
        </w:rPr>
      </w:pPr>
      <w:r>
        <w:rPr>
          <w:rFonts w:ascii="Arial" w:cs="Arial" w:eastAsia="Arial" w:hAnsi="Arial"/>
          <w:sz w:val="18"/>
          <w:szCs w:val="18"/>
          <w:color w:val="auto"/>
        </w:rPr>
        <w:t>SL Green Operating Partnership, L.P., or SL Green OP (the "issuer"), is offering $</w:t>
      </w:r>
      <w:r>
        <w:rPr>
          <w:sz w:val="20"/>
          <w:szCs w:val="20"/>
          <w:color w:val="auto"/>
        </w:rPr>
        <w:tab/>
      </w:r>
      <w:r>
        <w:rPr>
          <w:rFonts w:ascii="Arial" w:cs="Arial" w:eastAsia="Arial" w:hAnsi="Arial"/>
          <w:sz w:val="16"/>
          <w:szCs w:val="16"/>
          <w:color w:val="auto"/>
        </w:rPr>
        <w:t>million aggregate principal amount of its Floating Rate Notes due</w:t>
      </w:r>
    </w:p>
    <w:p>
      <w:pPr>
        <w:spacing w:after="0" w:line="15"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2021 at</w:t>
      </w:r>
      <w:r>
        <w:rPr>
          <w:sz w:val="20"/>
          <w:szCs w:val="20"/>
          <w:color w:val="auto"/>
        </w:rPr>
        <w:tab/>
      </w:r>
      <w:r>
        <w:rPr>
          <w:rFonts w:ascii="Arial" w:cs="Arial" w:eastAsia="Arial" w:hAnsi="Arial"/>
          <w:sz w:val="16"/>
          <w:szCs w:val="16"/>
          <w:color w:val="auto"/>
        </w:rPr>
        <w:t>% of the principal amount of the notes, which we refer to as the "notes."</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ectPr>
          <w:pgSz w:w="11900" w:h="16981" w:orient="portrait"/>
          <w:cols w:equalWidth="0" w:num="1">
            <w:col w:w="11420"/>
          </w:cols>
          <w:pgMar w:left="240" w:top="685" w:right="239" w:bottom="0" w:gutter="0" w:footer="0" w:header="0"/>
        </w:sectPr>
      </w:pPr>
    </w:p>
    <w:p>
      <w:pPr>
        <w:spacing w:after="0" w:line="23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Offering:</w:t>
      </w:r>
    </w:p>
    <w:p>
      <w:pPr>
        <w:spacing w:after="0" w:line="25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ind w:right="500"/>
        <w:spacing w:after="0" w:line="256" w:lineRule="auto"/>
        <w:rPr>
          <w:sz w:val="20"/>
          <w:szCs w:val="20"/>
          <w:color w:val="auto"/>
        </w:rPr>
      </w:pPr>
      <w:r>
        <w:rPr>
          <w:rFonts w:ascii="Arial" w:cs="Arial" w:eastAsia="Arial" w:hAnsi="Arial"/>
          <w:sz w:val="18"/>
          <w:szCs w:val="18"/>
          <w:color w:val="auto"/>
        </w:rPr>
        <w:t>SL Green Realty Corp. ("SL Green") is a self-managed real estate investment trust engaged in the acquisition, development, ownership, management and operation of commercial and residential real estate properties, principally office properties. SL Green operates its business through the issuer. Through its subsidiaries, SL Green owns interests in properties in the New York Metropolitan area, primarily in midtown Manhattan.</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We intend to use the net proceeds from the sale of the notes offered hereby to repay our outstanding 5.00% Senior Notes due 2018 and the balance, if any, for general corporate purposes, which may include, among other things, the repayment of other existing indebtedness.</w:t>
      </w:r>
    </w:p>
    <w:p>
      <w:pPr>
        <w:spacing w:after="0" w:line="133" w:lineRule="exact"/>
        <w:rPr>
          <w:sz w:val="24"/>
          <w:szCs w:val="24"/>
          <w:color w:val="auto"/>
        </w:rPr>
      </w:pPr>
    </w:p>
    <w:p>
      <w:pPr>
        <w:sectPr>
          <w:pgSz w:w="11900" w:h="16981" w:orient="portrait"/>
          <w:cols w:equalWidth="0" w:num="2">
            <w:col w:w="1040" w:space="40"/>
            <w:col w:w="10340"/>
          </w:cols>
          <w:pgMar w:left="240" w:top="685"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The Notes:</w:t>
      </w:r>
    </w:p>
    <w:p>
      <w:pPr>
        <w:spacing w:after="0" w:line="231" w:lineRule="exact"/>
        <w:rPr>
          <w:sz w:val="24"/>
          <w:szCs w:val="24"/>
          <w:color w:val="auto"/>
        </w:rPr>
      </w:pPr>
    </w:p>
    <w:p>
      <w:pPr>
        <w:ind w:left="540"/>
        <w:spacing w:after="0"/>
        <w:tabs>
          <w:tab w:leader="none" w:pos="1060" w:val="left"/>
          <w:tab w:leader="none" w:pos="4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Maturity: The notes will mature on</w:t>
      </w:r>
      <w:r>
        <w:rPr>
          <w:sz w:val="20"/>
          <w:szCs w:val="20"/>
          <w:color w:val="auto"/>
        </w:rPr>
        <w:tab/>
      </w:r>
      <w:r>
        <w:rPr>
          <w:rFonts w:ascii="Arial" w:cs="Arial" w:eastAsia="Arial" w:hAnsi="Arial"/>
          <w:sz w:val="15"/>
          <w:szCs w:val="15"/>
          <w:color w:val="auto"/>
        </w:rPr>
        <w:t>, 2021.</w:t>
      </w:r>
    </w:p>
    <w:p>
      <w:pPr>
        <w:spacing w:after="0" w:line="239" w:lineRule="exact"/>
        <w:rPr>
          <w:sz w:val="24"/>
          <w:szCs w:val="24"/>
          <w:color w:val="auto"/>
        </w:rPr>
      </w:pPr>
    </w:p>
    <w:p>
      <w:pPr>
        <w:ind w:left="540"/>
        <w:spacing w:after="0"/>
        <w:tabs>
          <w:tab w:leader="none" w:pos="1060" w:val="left"/>
          <w:tab w:leader="none" w:pos="9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Interest Payments: The notes will bear interest at a floating rate, reset quarterly, equal to three-month LIBOR plus</w:t>
      </w:r>
      <w:r>
        <w:rPr>
          <w:sz w:val="20"/>
          <w:szCs w:val="20"/>
          <w:color w:val="auto"/>
        </w:rPr>
        <w:tab/>
      </w:r>
      <w:r>
        <w:rPr>
          <w:rFonts w:ascii="Arial" w:cs="Arial" w:eastAsia="Arial" w:hAnsi="Arial"/>
          <w:sz w:val="16"/>
          <w:szCs w:val="16"/>
          <w:color w:val="auto"/>
        </w:rPr>
        <w:t>%. We will pay interest on</w:t>
      </w:r>
    </w:p>
    <w:p>
      <w:pPr>
        <w:spacing w:after="0" w:line="29" w:lineRule="exact"/>
        <w:rPr>
          <w:sz w:val="24"/>
          <w:szCs w:val="24"/>
          <w:color w:val="auto"/>
        </w:rPr>
      </w:pPr>
    </w:p>
    <w:p>
      <w:pPr>
        <w:ind w:left="1080"/>
        <w:spacing w:after="0"/>
        <w:tabs>
          <w:tab w:leader="none" w:pos="4360" w:val="left"/>
          <w:tab w:leader="none" w:pos="5500" w:val="left"/>
          <w:tab w:leader="none" w:pos="6880" w:val="left"/>
          <w:tab w:leader="none" w:pos="9800" w:val="left"/>
        </w:tabs>
        <w:rPr>
          <w:sz w:val="20"/>
          <w:szCs w:val="20"/>
          <w:color w:val="auto"/>
        </w:rPr>
      </w:pPr>
      <w:r>
        <w:rPr>
          <w:rFonts w:ascii="Arial" w:cs="Arial" w:eastAsia="Arial" w:hAnsi="Arial"/>
          <w:sz w:val="18"/>
          <w:szCs w:val="18"/>
          <w:color w:val="auto"/>
        </w:rPr>
        <w:t>the notes quarterly in arrears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5"/>
          <w:szCs w:val="15"/>
          <w:color w:val="auto"/>
        </w:rPr>
        <w:t>, 2018.</w:t>
      </w:r>
    </w:p>
    <w:p>
      <w:pPr>
        <w:spacing w:after="0" w:line="246" w:lineRule="exact"/>
        <w:rPr>
          <w:sz w:val="24"/>
          <w:szCs w:val="24"/>
          <w:color w:val="auto"/>
        </w:rPr>
      </w:pPr>
    </w:p>
    <w:p>
      <w:pPr>
        <w:ind w:left="1080" w:right="100" w:hanging="532"/>
        <w:spacing w:after="0" w:line="306"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notes will be the unsecured senior obligations of the issuer and will be fully and unconditionally guaranteed (the "guarantees") by SL Green and the issuer's wholly-owned subsidiary, Reckson Operating Partnership, L.P., or ROP (together, the "guarantors"). The notes and the guarantees will rank equally with each entity's other senior indebtedness from time to time outstanding.</w:t>
      </w:r>
    </w:p>
    <w:p>
      <w:pPr>
        <w:spacing w:after="0" w:line="161" w:lineRule="exact"/>
        <w:rPr>
          <w:sz w:val="24"/>
          <w:szCs w:val="24"/>
          <w:color w:val="auto"/>
        </w:rPr>
      </w:pPr>
    </w:p>
    <w:p>
      <w:pPr>
        <w:ind w:left="1080" w:right="140" w:hanging="539"/>
        <w:spacing w:after="0" w:line="306" w:lineRule="auto"/>
        <w:tabs>
          <w:tab w:leader="none" w:pos="1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Optional Redemption: Beginning on , 2019 (the first business day after the date that is one year following the original issue date of the notes) and at any time thereafter, we may redeem the notes, in whole but not in part, at a redemption price equal to 100% of the principal amount of the notes, plus accrued and unpaid interest thereon to the redemption date. See "Description of the Notes—Optional Redemption."</w:t>
      </w:r>
    </w:p>
    <w:p>
      <w:pPr>
        <w:spacing w:after="0" w:line="188" w:lineRule="exact"/>
        <w:rPr>
          <w:sz w:val="24"/>
          <w:szCs w:val="24"/>
          <w:color w:val="auto"/>
        </w:rPr>
      </w:pPr>
    </w:p>
    <w:p>
      <w:pPr>
        <w:ind w:left="1080" w:right="2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Denomination: The notes will be issued only in registered form in minimum denominations of $2,000 and integral multiples of $1,000 in excess thereof.</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Listing and Public Market: The notes are a new issue of securities with no established trading market. We do not intend to apply for the notes to be listed on any securities exchange.</w:t>
      </w:r>
    </w:p>
    <w:p>
      <w:pPr>
        <w:spacing w:after="0" w:line="180" w:lineRule="exact"/>
        <w:rPr>
          <w:sz w:val="24"/>
          <w:szCs w:val="24"/>
          <w:color w:val="auto"/>
        </w:rPr>
      </w:pPr>
    </w:p>
    <w:p>
      <w:pPr>
        <w:ind w:right="440" w:firstLine="395"/>
        <w:spacing w:after="0" w:line="275" w:lineRule="auto"/>
        <w:rPr>
          <w:sz w:val="20"/>
          <w:szCs w:val="20"/>
          <w:color w:val="auto"/>
        </w:rPr>
      </w:pPr>
      <w:r>
        <w:rPr>
          <w:rFonts w:ascii="Arial" w:cs="Arial" w:eastAsia="Arial" w:hAnsi="Arial"/>
          <w:sz w:val="18"/>
          <w:szCs w:val="18"/>
          <w:b w:val="1"/>
          <w:bCs w:val="1"/>
          <w:color w:val="auto"/>
        </w:rPr>
        <w:t>Investing in our notes involves risks, which you should consider before investing. See "Risk Factors" beginning on page S-7 of this prospectus supplement, page 4 of the accompanying prospectus and the risk factors incorporated by reference herein.</w:t>
      </w:r>
    </w:p>
    <w:p>
      <w:pPr>
        <w:spacing w:after="0" w:line="174" w:lineRule="exact"/>
        <w:rPr>
          <w:sz w:val="24"/>
          <w:szCs w:val="24"/>
          <w:color w:val="auto"/>
        </w:rPr>
      </w:pPr>
    </w:p>
    <w:p>
      <w:pPr>
        <w:jc w:val="center"/>
        <w:ind w:right="460"/>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w:t>
      </w:r>
    </w:p>
    <w:p>
      <w:pPr>
        <w:sectPr>
          <w:pgSz w:w="11900" w:h="16981" w:orient="portrait"/>
          <w:cols w:equalWidth="0" w:num="1">
            <w:col w:w="11420"/>
          </w:cols>
          <w:pgMar w:left="240" w:top="68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offense.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262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920" w:type="dxa"/>
            <w:vAlign w:val="bottom"/>
            <w:gridSpan w:val="2"/>
          </w:tcPr>
          <w:p>
            <w:pPr>
              <w:ind w:left="360"/>
              <w:spacing w:after="0" w:line="117" w:lineRule="exact"/>
              <w:rPr>
                <w:sz w:val="20"/>
                <w:szCs w:val="20"/>
                <w:color w:val="auto"/>
              </w:rPr>
            </w:pPr>
            <w:r>
              <w:rPr>
                <w:rFonts w:ascii="Arial" w:cs="Arial" w:eastAsia="Arial" w:hAnsi="Arial"/>
                <w:sz w:val="12"/>
                <w:szCs w:val="12"/>
                <w:b w:val="1"/>
                <w:bCs w:val="1"/>
                <w:color w:val="auto"/>
              </w:rPr>
              <w:t>Proceeds to</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2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Public Offering</w:t>
            </w:r>
          </w:p>
        </w:tc>
        <w:tc>
          <w:tcPr>
            <w:tcW w:w="14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Underwriting</w:t>
            </w:r>
          </w:p>
        </w:tc>
        <w:tc>
          <w:tcPr>
            <w:tcW w:w="292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us (before</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jc w:val="right"/>
              <w:ind w:right="513"/>
              <w:spacing w:after="0"/>
              <w:rPr>
                <w:sz w:val="20"/>
                <w:szCs w:val="20"/>
                <w:color w:val="auto"/>
              </w:rPr>
            </w:pPr>
            <w:r>
              <w:rPr>
                <w:rFonts w:ascii="Arial" w:cs="Arial" w:eastAsia="Arial" w:hAnsi="Arial"/>
                <w:sz w:val="14"/>
                <w:szCs w:val="14"/>
                <w:b w:val="1"/>
                <w:bCs w:val="1"/>
                <w:color w:val="auto"/>
              </w:rPr>
              <w:t>Price(1)</w:t>
            </w:r>
          </w:p>
        </w:tc>
        <w:tc>
          <w:tcPr>
            <w:tcW w:w="140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Discount</w:t>
            </w:r>
          </w:p>
        </w:tc>
        <w:tc>
          <w:tcPr>
            <w:tcW w:w="2920" w:type="dxa"/>
            <w:vAlign w:val="bottom"/>
            <w:gridSpan w:val="2"/>
          </w:tcPr>
          <w:p>
            <w:pPr>
              <w:ind w:left="420"/>
              <w:spacing w:after="0"/>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 Note</w:t>
            </w:r>
          </w:p>
        </w:tc>
        <w:tc>
          <w:tcPr>
            <w:tcW w:w="116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jc w:val="right"/>
              <w:ind w:right="533"/>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65"/>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2620" w:type="dxa"/>
            <w:vAlign w:val="bottom"/>
          </w:tcPr>
          <w:p>
            <w:pPr>
              <w:jc w:val="right"/>
              <w:ind w:right="95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0"/>
              <w:spacing w:after="0"/>
              <w:rPr>
                <w:sz w:val="20"/>
                <w:szCs w:val="20"/>
                <w:color w:val="auto"/>
              </w:rPr>
            </w:pPr>
            <w:r>
              <w:rPr>
                <w:rFonts w:ascii="Arial" w:cs="Arial" w:eastAsia="Arial" w:hAnsi="Arial"/>
                <w:sz w:val="18"/>
                <w:szCs w:val="18"/>
                <w:color w:val="auto"/>
              </w:rPr>
              <w:t>$</w:t>
            </w:r>
          </w:p>
        </w:tc>
        <w:tc>
          <w:tcPr>
            <w:tcW w:w="134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rPr>
                <w:sz w:val="20"/>
                <w:szCs w:val="20"/>
                <w:color w:val="auto"/>
              </w:rPr>
            </w:pPr>
            <w:r>
              <w:rPr>
                <w:rFonts w:ascii="Arial" w:cs="Arial" w:eastAsia="Arial" w:hAnsi="Arial"/>
                <w:sz w:val="18"/>
                <w:szCs w:val="18"/>
                <w:color w:val="auto"/>
              </w:rPr>
              <w:t>(1)</w:t>
            </w:r>
          </w:p>
        </w:tc>
        <w:tc>
          <w:tcPr>
            <w:tcW w:w="1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00" w:type="dxa"/>
            <w:vAlign w:val="bottom"/>
            <w:vMerge w:val="continue"/>
          </w:tcPr>
          <w:p>
            <w:pPr>
              <w:spacing w:after="0"/>
              <w:rPr>
                <w:sz w:val="24"/>
                <w:szCs w:val="24"/>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Plus accrued interest, if any, from</w:t>
            </w:r>
          </w:p>
        </w:tc>
        <w:tc>
          <w:tcPr>
            <w:tcW w:w="3780" w:type="dxa"/>
            <w:vAlign w:val="bottom"/>
            <w:gridSpan w:val="2"/>
          </w:tcPr>
          <w:p>
            <w:pPr>
              <w:jc w:val="right"/>
              <w:ind w:right="133"/>
              <w:spacing w:after="0"/>
              <w:rPr>
                <w:sz w:val="20"/>
                <w:szCs w:val="20"/>
                <w:color w:val="auto"/>
              </w:rPr>
            </w:pPr>
            <w:r>
              <w:rPr>
                <w:rFonts w:ascii="Arial" w:cs="Arial" w:eastAsia="Arial" w:hAnsi="Arial"/>
                <w:sz w:val="18"/>
                <w:szCs w:val="18"/>
                <w:color w:val="auto"/>
              </w:rPr>
              <w:t>, 2018 if settlement occurs after that date.</w:t>
            </w: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Pr>
          <w:p>
            <w:pPr>
              <w:spacing w:after="0"/>
              <w:rPr>
                <w:sz w:val="24"/>
                <w:szCs w:val="24"/>
                <w:color w:val="auto"/>
              </w:rPr>
            </w:pPr>
          </w:p>
        </w:tc>
        <w:tc>
          <w:tcPr>
            <w:tcW w:w="4180" w:type="dxa"/>
            <w:vAlign w:val="bottom"/>
            <w:gridSpan w:val="3"/>
          </w:tcPr>
          <w:p>
            <w:pPr>
              <w:ind w:left="100"/>
              <w:spacing w:after="0"/>
              <w:rPr>
                <w:sz w:val="20"/>
                <w:szCs w:val="20"/>
                <w:color w:val="auto"/>
              </w:rPr>
            </w:pPr>
            <w:r>
              <w:rPr>
                <w:rFonts w:ascii="Arial" w:cs="Arial" w:eastAsia="Arial" w:hAnsi="Arial"/>
                <w:sz w:val="18"/>
                <w:szCs w:val="18"/>
                <w:color w:val="auto"/>
                <w:w w:val="90"/>
              </w:rPr>
              <w:t>The underwriters expect to deliver the notes on or about</w:t>
            </w:r>
          </w:p>
        </w:tc>
        <w:tc>
          <w:tcPr>
            <w:tcW w:w="6940" w:type="dxa"/>
            <w:vAlign w:val="bottom"/>
            <w:gridSpan w:val="4"/>
          </w:tcPr>
          <w:p>
            <w:pPr>
              <w:ind w:left="900"/>
              <w:spacing w:after="0"/>
              <w:rPr>
                <w:sz w:val="20"/>
                <w:szCs w:val="20"/>
                <w:color w:val="auto"/>
              </w:rPr>
            </w:pPr>
            <w:r>
              <w:rPr>
                <w:rFonts w:ascii="Arial" w:cs="Arial" w:eastAsia="Arial" w:hAnsi="Arial"/>
                <w:sz w:val="18"/>
                <w:szCs w:val="18"/>
                <w:color w:val="auto"/>
              </w:rPr>
              <w:t>, 2018 only in book-entry form through the facilities of The Depositary Trust</w:t>
            </w:r>
          </w:p>
        </w:tc>
        <w:tc>
          <w:tcPr>
            <w:tcW w:w="0" w:type="dxa"/>
            <w:vAlign w:val="bottom"/>
          </w:tcPr>
          <w:p>
            <w:pPr>
              <w:spacing w:after="0"/>
              <w:rPr>
                <w:sz w:val="1"/>
                <w:szCs w:val="1"/>
                <w:color w:val="auto"/>
              </w:rPr>
            </w:pPr>
          </w:p>
        </w:tc>
      </w:tr>
      <w:tr>
        <w:trPr>
          <w:trHeight w:val="222"/>
        </w:trPr>
        <w:tc>
          <w:tcPr>
            <w:tcW w:w="332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1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tcPr>
          <w:p>
            <w:pPr>
              <w:jc w:val="right"/>
              <w:ind w:right="213"/>
              <w:spacing w:after="0"/>
              <w:rPr>
                <w:sz w:val="20"/>
                <w:szCs w:val="20"/>
                <w:color w:val="auto"/>
              </w:rPr>
            </w:pPr>
            <w:r>
              <w:rPr>
                <w:rFonts w:ascii="Arial" w:cs="Arial" w:eastAsia="Arial" w:hAnsi="Arial"/>
                <w:sz w:val="18"/>
                <w:szCs w:val="18"/>
                <w:i w:val="1"/>
                <w:iCs w:val="1"/>
                <w:color w:val="auto"/>
                <w:w w:val="94"/>
              </w:rPr>
              <w:t>Joint Book-Running Managers</w:t>
            </w: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320" w:type="dxa"/>
            <w:vAlign w:val="bottom"/>
            <w:gridSpan w:val="3"/>
          </w:tcPr>
          <w:p>
            <w:pPr>
              <w:spacing w:after="0"/>
              <w:rPr>
                <w:sz w:val="20"/>
                <w:szCs w:val="20"/>
                <w:color w:val="auto"/>
              </w:rPr>
            </w:pPr>
            <w:r>
              <w:rPr>
                <w:rFonts w:ascii="Arial" w:cs="Arial" w:eastAsia="Arial" w:hAnsi="Arial"/>
                <w:sz w:val="24"/>
                <w:szCs w:val="24"/>
                <w:b w:val="1"/>
                <w:bCs w:val="1"/>
                <w:color w:val="auto"/>
              </w:rPr>
              <w:t>Deutsche Bank Securities</w:t>
            </w:r>
          </w:p>
        </w:tc>
        <w:tc>
          <w:tcPr>
            <w:tcW w:w="1160" w:type="dxa"/>
            <w:vAlign w:val="bottom"/>
          </w:tcPr>
          <w:p>
            <w:pPr>
              <w:spacing w:after="0"/>
              <w:rPr>
                <w:sz w:val="24"/>
                <w:szCs w:val="24"/>
                <w:color w:val="auto"/>
              </w:rPr>
            </w:pPr>
          </w:p>
        </w:tc>
        <w:tc>
          <w:tcPr>
            <w:tcW w:w="4020" w:type="dxa"/>
            <w:vAlign w:val="bottom"/>
            <w:gridSpan w:val="2"/>
          </w:tcPr>
          <w:p>
            <w:pPr>
              <w:jc w:val="right"/>
              <w:ind w:right="540"/>
              <w:spacing w:after="0"/>
              <w:rPr>
                <w:sz w:val="20"/>
                <w:szCs w:val="20"/>
                <w:color w:val="auto"/>
              </w:rPr>
            </w:pPr>
            <w:r>
              <w:rPr>
                <w:rFonts w:ascii="Arial" w:cs="Arial" w:eastAsia="Arial" w:hAnsi="Arial"/>
                <w:sz w:val="24"/>
                <w:szCs w:val="24"/>
                <w:b w:val="1"/>
                <w:bCs w:val="1"/>
                <w:color w:val="auto"/>
              </w:rPr>
              <w:t>BMO Capital Markets</w:t>
            </w:r>
          </w:p>
        </w:tc>
        <w:tc>
          <w:tcPr>
            <w:tcW w:w="1340" w:type="dxa"/>
            <w:vAlign w:val="bottom"/>
          </w:tcPr>
          <w:p>
            <w:pPr>
              <w:spacing w:after="0"/>
              <w:rPr>
                <w:sz w:val="24"/>
                <w:szCs w:val="24"/>
                <w:color w:val="auto"/>
              </w:rPr>
            </w:pPr>
          </w:p>
        </w:tc>
        <w:tc>
          <w:tcPr>
            <w:tcW w:w="1580" w:type="dxa"/>
            <w:vAlign w:val="bottom"/>
          </w:tcPr>
          <w:p>
            <w:pPr>
              <w:ind w:left="160"/>
              <w:spacing w:after="0"/>
              <w:rPr>
                <w:sz w:val="20"/>
                <w:szCs w:val="20"/>
                <w:color w:val="auto"/>
              </w:rPr>
            </w:pPr>
            <w:r>
              <w:rPr>
                <w:rFonts w:ascii="Arial" w:cs="Arial" w:eastAsia="Arial" w:hAnsi="Arial"/>
                <w:sz w:val="24"/>
                <w:szCs w:val="24"/>
                <w:b w:val="1"/>
                <w:bCs w:val="1"/>
                <w:color w:val="auto"/>
                <w:w w:val="91"/>
              </w:rPr>
              <w:t>TD Securities</w:t>
            </w:r>
          </w:p>
        </w:tc>
        <w:tc>
          <w:tcPr>
            <w:tcW w:w="0" w:type="dxa"/>
            <w:vAlign w:val="bottom"/>
          </w:tcPr>
          <w:p>
            <w:pPr>
              <w:spacing w:after="0"/>
              <w:rPr>
                <w:sz w:val="1"/>
                <w:szCs w:val="1"/>
                <w:color w:val="auto"/>
              </w:rPr>
            </w:pPr>
          </w:p>
        </w:tc>
      </w:tr>
      <w:tr>
        <w:trPr>
          <w:trHeight w:val="709"/>
        </w:trPr>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780" w:type="dxa"/>
            <w:vAlign w:val="bottom"/>
            <w:gridSpan w:val="2"/>
          </w:tcPr>
          <w:p>
            <w:pPr>
              <w:jc w:val="right"/>
              <w:ind w:right="33"/>
              <w:spacing w:after="0"/>
              <w:rPr>
                <w:sz w:val="20"/>
                <w:szCs w:val="20"/>
                <w:color w:val="auto"/>
              </w:rPr>
            </w:pPr>
            <w:r>
              <w:rPr>
                <w:rFonts w:ascii="Arial" w:cs="Arial" w:eastAsia="Arial" w:hAnsi="Arial"/>
                <w:sz w:val="18"/>
                <w:szCs w:val="18"/>
                <w:color w:val="auto"/>
                <w:w w:val="98"/>
              </w:rPr>
              <w:t>The date of this prospectus supplement is July</w:t>
            </w:r>
          </w:p>
        </w:tc>
        <w:tc>
          <w:tcPr>
            <w:tcW w:w="1400" w:type="dxa"/>
            <w:vAlign w:val="bottom"/>
          </w:tcPr>
          <w:p>
            <w:pPr>
              <w:jc w:val="right"/>
              <w:ind w:right="740"/>
              <w:spacing w:after="0"/>
              <w:rPr>
                <w:sz w:val="20"/>
                <w:szCs w:val="20"/>
                <w:color w:val="auto"/>
              </w:rPr>
            </w:pPr>
            <w:r>
              <w:rPr>
                <w:rFonts w:ascii="Arial" w:cs="Arial" w:eastAsia="Arial" w:hAnsi="Arial"/>
                <w:sz w:val="18"/>
                <w:szCs w:val="18"/>
                <w:color w:val="auto"/>
              </w:rPr>
              <w:t>, 2018.</w:t>
            </w: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we provide to you that is required to be filed with the Securities and Exchange Commission (the "Commission").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9"/>
          </w:tcPr>
          <w:p>
            <w:pPr>
              <w:jc w:val="center"/>
              <w:ind w:right="2000"/>
              <w:spacing w:after="0"/>
              <w:rPr>
                <w:sz w:val="20"/>
                <w:szCs w:val="20"/>
                <w:color w:val="auto"/>
              </w:rPr>
            </w:pPr>
            <w:r>
              <w:rPr>
                <w:rFonts w:ascii="Arial" w:cs="Arial" w:eastAsia="Arial" w:hAnsi="Arial"/>
                <w:sz w:val="18"/>
                <w:szCs w:val="18"/>
                <w:b w:val="1"/>
                <w:bCs w:val="1"/>
                <w:color w:val="auto"/>
                <w:w w:val="96"/>
              </w:rPr>
              <w:t>TABLE OF CONTENTS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9"/>
          </w:tcPr>
          <w:p>
            <w:pPr>
              <w:jc w:val="center"/>
              <w:ind w:right="2000"/>
              <w:spacing w:after="0"/>
              <w:rPr>
                <w:sz w:val="20"/>
                <w:szCs w:val="20"/>
                <w:color w:val="auto"/>
              </w:rPr>
            </w:pPr>
            <w:r>
              <w:rPr>
                <w:rFonts w:ascii="Arial" w:cs="Arial" w:eastAsia="Arial" w:hAnsi="Arial"/>
                <w:sz w:val="18"/>
                <w:szCs w:val="18"/>
                <w:b w:val="1"/>
                <w:bCs w:val="1"/>
                <w:color w:val="auto"/>
                <w:w w:val="85"/>
              </w:rPr>
              <w:t>Prospectus Supplement</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33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ABOUT THIS PROSPECTUS SUPPLEMENT</w:t>
              </w:r>
            </w:hyperlink>
          </w:p>
        </w:tc>
        <w:tc>
          <w:tcPr>
            <w:tcW w:w="4220" w:type="dxa"/>
            <w:vAlign w:val="bottom"/>
            <w:gridSpan w:val="12"/>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0000EE"/>
            </w:tcBorders>
            <w:gridSpan w:val="3"/>
          </w:tcPr>
          <w:p>
            <w:pPr>
              <w:jc w:val="right"/>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r>
      <w:tr>
        <w:trPr>
          <w:trHeight w:val="196"/>
        </w:trPr>
        <w:tc>
          <w:tcPr>
            <w:tcW w:w="618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CAUTIONARY STATEMENT REGARDING FORWARD LOOKING STATEMENTS</w:t>
              </w:r>
            </w:hyperlink>
          </w:p>
        </w:tc>
        <w:tc>
          <w:tcPr>
            <w:tcW w:w="140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3"/>
          </w:tcPr>
          <w:p>
            <w:pPr>
              <w:jc w:val="right"/>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S-1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3"/>
          </w:tcPr>
          <w:p>
            <w:pPr>
              <w:jc w:val="right"/>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S-7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USE OF PROCEEDS</w:t>
              </w:r>
            </w:hyperlink>
          </w:p>
        </w:tc>
        <w:tc>
          <w:tcPr>
            <w:tcW w:w="6020" w:type="dxa"/>
            <w:vAlign w:val="bottom"/>
            <w:gridSpan w:val="20"/>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78"/>
              </w:rPr>
            </w:pPr>
            <w:hyperlink w:anchor="page17">
              <w:r>
                <w:rPr>
                  <w:rFonts w:ascii="Arial" w:cs="Arial" w:eastAsia="Arial" w:hAnsi="Arial"/>
                  <w:sz w:val="18"/>
                  <w:szCs w:val="18"/>
                  <w:color w:val="0000EE"/>
                  <w:w w:val="78"/>
                </w:rPr>
                <w:t>S-11</w:t>
              </w:r>
            </w:hyperlink>
          </w:p>
        </w:tc>
      </w:tr>
      <w:tr>
        <w:trPr>
          <w:trHeight w:val="196"/>
        </w:trPr>
        <w:tc>
          <w:tcPr>
            <w:tcW w:w="35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RATIOS OF EARNINGS TO FIXED CHARGES</w:t>
              </w:r>
            </w:hyperlink>
          </w:p>
        </w:tc>
        <w:tc>
          <w:tcPr>
            <w:tcW w:w="4040" w:type="dxa"/>
            <w:vAlign w:val="bottom"/>
            <w:gridSpan w:val="9"/>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S-12</w:t>
              </w:r>
            </w:hyperlink>
          </w:p>
        </w:tc>
      </w:tr>
      <w:tr>
        <w:trPr>
          <w:trHeight w:val="196"/>
        </w:trPr>
        <w:tc>
          <w:tcPr>
            <w:tcW w:w="258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CAPITALIZATION OF SL GREEN</w:t>
              </w:r>
            </w:hyperlink>
          </w:p>
        </w:tc>
        <w:tc>
          <w:tcPr>
            <w:tcW w:w="5000" w:type="dxa"/>
            <w:vAlign w:val="bottom"/>
            <w:gridSpan w:val="17"/>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S-13</w:t>
              </w:r>
            </w:hyperlink>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 OF SL GREEN</w:t>
              </w:r>
            </w:hyperlink>
          </w:p>
        </w:tc>
        <w:tc>
          <w:tcPr>
            <w:tcW w:w="1560" w:type="dxa"/>
            <w:vAlign w:val="bottom"/>
            <w:gridSpan w:val="6"/>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S-14</w:t>
              </w:r>
            </w:hyperlink>
          </w:p>
        </w:tc>
      </w:tr>
      <w:tr>
        <w:trPr>
          <w:trHeight w:val="196"/>
        </w:trPr>
        <w:tc>
          <w:tcPr>
            <w:tcW w:w="34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DESCRIPTION OF OTHER INDEBTEDNESS</w:t>
              </w:r>
            </w:hyperlink>
          </w:p>
        </w:tc>
        <w:tc>
          <w:tcPr>
            <w:tcW w:w="120" w:type="dxa"/>
            <w:vAlign w:val="bottom"/>
            <w:tcBorders>
              <w:top w:val="single" w:sz="8" w:color="0000EE"/>
            </w:tcBorders>
          </w:tcPr>
          <w:p>
            <w:pPr>
              <w:spacing w:after="0"/>
              <w:rPr>
                <w:sz w:val="17"/>
                <w:szCs w:val="17"/>
                <w:color w:val="auto"/>
              </w:rPr>
            </w:pPr>
          </w:p>
        </w:tc>
        <w:tc>
          <w:tcPr>
            <w:tcW w:w="4060" w:type="dxa"/>
            <w:vAlign w:val="bottom"/>
            <w:gridSpan w:val="10"/>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5"/>
          </w:tcPr>
          <w:p>
            <w:pPr>
              <w:jc w:val="right"/>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S-18</w:t>
              </w:r>
            </w:hyperlink>
          </w:p>
        </w:tc>
      </w:tr>
      <w:tr>
        <w:trPr>
          <w:trHeight w:val="196"/>
        </w:trPr>
        <w:tc>
          <w:tcPr>
            <w:tcW w:w="24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DESCRIPTION OF THE NOTES</w:t>
              </w:r>
            </w:hyperlink>
          </w:p>
        </w:tc>
        <w:tc>
          <w:tcPr>
            <w:tcW w:w="5160" w:type="dxa"/>
            <w:vAlign w:val="bottom"/>
            <w:gridSpan w:val="18"/>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S-22</w:t>
              </w:r>
            </w:hyperlink>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UNDERWRITING</w:t>
              </w:r>
            </w:hyperlink>
          </w:p>
        </w:tc>
        <w:tc>
          <w:tcPr>
            <w:tcW w:w="1560" w:type="dxa"/>
            <w:vAlign w:val="bottom"/>
            <w:gridSpan w:val="6"/>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S-40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1560" w:type="dxa"/>
            <w:vAlign w:val="bottom"/>
            <w:gridSpan w:val="6"/>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S-45</w:t>
              </w:r>
            </w:hyperlink>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6160" w:type="dxa"/>
            <w:vAlign w:val="bottom"/>
            <w:gridSpan w:val="21"/>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5"/>
          </w:tcPr>
          <w:p>
            <w:pPr>
              <w:jc w:val="right"/>
              <w:spacing w:after="0" w:line="196" w:lineRule="exact"/>
              <w:rPr>
                <w:rFonts w:ascii="Arial" w:cs="Arial" w:eastAsia="Arial" w:hAnsi="Arial"/>
                <w:sz w:val="18"/>
                <w:szCs w:val="18"/>
                <w:color w:val="0000EE"/>
                <w:w w:val="84"/>
              </w:rPr>
            </w:pPr>
            <w:hyperlink w:anchor="page51">
              <w:r>
                <w:rPr>
                  <w:rFonts w:ascii="Arial" w:cs="Arial" w:eastAsia="Arial" w:hAnsi="Arial"/>
                  <w:sz w:val="18"/>
                  <w:szCs w:val="18"/>
                  <w:color w:val="0000EE"/>
                  <w:w w:val="84"/>
                </w:rPr>
                <w:t>S-45</w:t>
              </w:r>
            </w:hyperlink>
          </w:p>
        </w:tc>
      </w:tr>
      <w:tr>
        <w:trPr>
          <w:trHeight w:val="196"/>
        </w:trPr>
        <w:tc>
          <w:tcPr>
            <w:tcW w:w="658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WHERE YOU CAN FIND MORE INFORMATION; INCORPORATION BY REFERENCE</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S-46</w:t>
              </w:r>
            </w:hyperlink>
          </w:p>
        </w:tc>
      </w:tr>
      <w:tr>
        <w:trPr>
          <w:trHeight w:val="66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gridSpan w:val="8"/>
          </w:tcPr>
          <w:p>
            <w:pPr>
              <w:jc w:val="center"/>
              <w:ind w:right="2520"/>
              <w:spacing w:after="0"/>
              <w:rPr>
                <w:sz w:val="20"/>
                <w:szCs w:val="20"/>
                <w:color w:val="auto"/>
              </w:rPr>
            </w:pPr>
            <w:r>
              <w:rPr>
                <w:rFonts w:ascii="Arial" w:cs="Arial" w:eastAsia="Arial" w:hAnsi="Arial"/>
                <w:sz w:val="18"/>
                <w:szCs w:val="18"/>
                <w:b w:val="1"/>
                <w:bCs w:val="1"/>
                <w:color w:val="auto"/>
                <w:w w:val="83"/>
              </w:rPr>
              <w:t>Prospectus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7580" w:type="dxa"/>
            <w:vAlign w:val="bottom"/>
            <w:gridSpan w:val="2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ABOUT THIS PROSPECTUS</w:t>
              </w:r>
            </w:hyperlink>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ii</w:t>
              </w:r>
            </w:hyperlink>
          </w:p>
        </w:tc>
      </w:tr>
      <w:tr>
        <w:trPr>
          <w:trHeight w:val="20"/>
        </w:trPr>
        <w:tc>
          <w:tcPr>
            <w:tcW w:w="218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040" w:type="dxa"/>
            <w:vAlign w:val="bottom"/>
            <w:gridSpan w:val="18"/>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INFORMATION ABOUT SL GREEN REALTY CORP.</w:t>
              </w:r>
            </w:hyperlink>
          </w:p>
        </w:tc>
        <w:tc>
          <w:tcPr>
            <w:tcW w:w="3540" w:type="dxa"/>
            <w:vAlign w:val="bottom"/>
            <w:gridSpan w:val="8"/>
          </w:tcPr>
          <w:p>
            <w:pPr>
              <w:spacing w:after="0"/>
              <w:rPr>
                <w:sz w:val="17"/>
                <w:szCs w:val="17"/>
                <w:color w:val="auto"/>
              </w:rPr>
            </w:pPr>
          </w:p>
        </w:tc>
        <w:tc>
          <w:tcPr>
            <w:tcW w:w="1560" w:type="dxa"/>
            <w:vAlign w:val="bottom"/>
            <w:gridSpan w:val="6"/>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1</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INFORMATION ABOUT SL GREEN OPERATING PARTNERSHIP, L.P.</w:t>
              </w:r>
            </w:hyperlink>
          </w:p>
        </w:tc>
        <w:tc>
          <w:tcPr>
            <w:tcW w:w="2240" w:type="dxa"/>
            <w:vAlign w:val="bottom"/>
            <w:gridSpan w:val="3"/>
          </w:tcPr>
          <w:p>
            <w:pPr>
              <w:spacing w:after="0"/>
              <w:rPr>
                <w:sz w:val="17"/>
                <w:szCs w:val="17"/>
                <w:color w:val="auto"/>
              </w:rPr>
            </w:pPr>
          </w:p>
        </w:tc>
        <w:tc>
          <w:tcPr>
            <w:tcW w:w="1560" w:type="dxa"/>
            <w:vAlign w:val="bottom"/>
            <w:gridSpan w:val="6"/>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2</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tcBorders>
              <w:left w:val="single" w:sz="8" w:color="0000EE"/>
            </w:tcBorders>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INFORMATION ABOUT RECKSON OPERATING PARTNERSHIP, L.P.</w:t>
              </w:r>
            </w:hyperlink>
          </w:p>
        </w:tc>
        <w:tc>
          <w:tcPr>
            <w:tcW w:w="2240" w:type="dxa"/>
            <w:vAlign w:val="bottom"/>
            <w:gridSpan w:val="3"/>
          </w:tcPr>
          <w:p>
            <w:pPr>
              <w:spacing w:after="0"/>
              <w:rPr>
                <w:sz w:val="17"/>
                <w:szCs w:val="17"/>
                <w:color w:val="auto"/>
              </w:rPr>
            </w:pPr>
          </w:p>
        </w:tc>
        <w:tc>
          <w:tcPr>
            <w:tcW w:w="1560" w:type="dxa"/>
            <w:vAlign w:val="bottom"/>
            <w:gridSpan w:val="6"/>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2</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2240" w:type="dxa"/>
            <w:vAlign w:val="bottom"/>
            <w:gridSpan w:val="3"/>
          </w:tcPr>
          <w:p>
            <w:pPr>
              <w:spacing w:after="0"/>
              <w:rPr>
                <w:sz w:val="17"/>
                <w:szCs w:val="17"/>
                <w:color w:val="auto"/>
              </w:rPr>
            </w:pPr>
          </w:p>
        </w:tc>
        <w:tc>
          <w:tcPr>
            <w:tcW w:w="1560" w:type="dxa"/>
            <w:vAlign w:val="bottom"/>
            <w:gridSpan w:val="6"/>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4</w:t>
              </w:r>
            </w:hyperlink>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FORWARD-LOOKING STATEMENTS MAY PROVE INACCURATE</w:t>
              </w:r>
            </w:hyperlink>
          </w:p>
        </w:tc>
        <w:tc>
          <w:tcPr>
            <w:tcW w:w="1560" w:type="dxa"/>
            <w:vAlign w:val="bottom"/>
            <w:gridSpan w:val="6"/>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560" w:type="dxa"/>
            <w:vAlign w:val="bottom"/>
            <w:gridSpan w:val="6"/>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USE OF PROCEEDS</w:t>
              </w:r>
            </w:hyperlink>
          </w:p>
        </w:tc>
        <w:tc>
          <w:tcPr>
            <w:tcW w:w="3520" w:type="dxa"/>
            <w:vAlign w:val="bottom"/>
            <w:gridSpan w:val="16"/>
          </w:tcPr>
          <w:p>
            <w:pPr>
              <w:spacing w:after="0"/>
              <w:rPr>
                <w:sz w:val="17"/>
                <w:szCs w:val="17"/>
                <w:color w:val="auto"/>
              </w:rPr>
            </w:pPr>
          </w:p>
        </w:tc>
        <w:tc>
          <w:tcPr>
            <w:tcW w:w="2500" w:type="dxa"/>
            <w:vAlign w:val="bottom"/>
            <w:gridSpan w:val="4"/>
          </w:tcPr>
          <w:p>
            <w:pPr>
              <w:spacing w:after="0"/>
              <w:rPr>
                <w:sz w:val="17"/>
                <w:szCs w:val="17"/>
                <w:color w:val="auto"/>
              </w:rPr>
            </w:pPr>
          </w:p>
        </w:tc>
        <w:tc>
          <w:tcPr>
            <w:tcW w:w="1560" w:type="dxa"/>
            <w:vAlign w:val="bottom"/>
            <w:gridSpan w:val="6"/>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7</w:t>
              </w:r>
            </w:hyperlink>
          </w:p>
        </w:tc>
      </w:tr>
      <w:tr>
        <w:trPr>
          <w:trHeight w:val="20"/>
        </w:trPr>
        <w:tc>
          <w:tcPr>
            <w:tcW w:w="1560" w:type="dxa"/>
            <w:vAlign w:val="bottom"/>
            <w:gridSpan w:val="6"/>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RATIOS OF EARNINGS TO COMBINED FIXED CHARGES AND PREFERRED STOCK DIVIDENDS</w:t>
              </w:r>
            </w:hyperlink>
          </w:p>
        </w:tc>
        <w:tc>
          <w:tcPr>
            <w:tcW w:w="1560" w:type="dxa"/>
            <w:vAlign w:val="bottom"/>
            <w:gridSpan w:val="6"/>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8</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900" w:type="dxa"/>
            <w:vAlign w:val="bottom"/>
            <w:gridSpan w:val="21"/>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PRICE RANGE OF COMMON STOCK AND DIVIDEND POLICY</w:t>
              </w:r>
            </w:hyperlink>
          </w:p>
        </w:tc>
        <w:tc>
          <w:tcPr>
            <w:tcW w:w="2680" w:type="dxa"/>
            <w:vAlign w:val="bottom"/>
            <w:gridSpan w:val="5"/>
          </w:tcPr>
          <w:p>
            <w:pPr>
              <w:spacing w:after="0"/>
              <w:rPr>
                <w:sz w:val="17"/>
                <w:szCs w:val="17"/>
                <w:color w:val="auto"/>
              </w:rPr>
            </w:pPr>
          </w:p>
        </w:tc>
        <w:tc>
          <w:tcPr>
            <w:tcW w:w="1560" w:type="dxa"/>
            <w:vAlign w:val="bottom"/>
            <w:gridSpan w:val="6"/>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9</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90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COMMON STOCK</w:t>
              </w:r>
            </w:hyperlink>
          </w:p>
        </w:tc>
        <w:tc>
          <w:tcPr>
            <w:tcW w:w="2680" w:type="dxa"/>
            <w:vAlign w:val="bottom"/>
            <w:gridSpan w:val="5"/>
          </w:tcPr>
          <w:p>
            <w:pPr>
              <w:spacing w:after="0"/>
              <w:rPr>
                <w:sz w:val="17"/>
                <w:szCs w:val="17"/>
                <w:color w:val="auto"/>
              </w:rPr>
            </w:pPr>
          </w:p>
        </w:tc>
        <w:tc>
          <w:tcPr>
            <w:tcW w:w="1560" w:type="dxa"/>
            <w:vAlign w:val="bottom"/>
            <w:gridSpan w:val="6"/>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10</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0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DESCRIPTION OF PREFERRED STOCK</w:t>
              </w:r>
            </w:hyperlink>
          </w:p>
        </w:tc>
        <w:tc>
          <w:tcPr>
            <w:tcW w:w="4500" w:type="dxa"/>
            <w:vAlign w:val="bottom"/>
            <w:gridSpan w:val="14"/>
          </w:tcPr>
          <w:p>
            <w:pPr>
              <w:spacing w:after="0"/>
              <w:rPr>
                <w:sz w:val="17"/>
                <w:szCs w:val="17"/>
                <w:color w:val="auto"/>
              </w:rPr>
            </w:pPr>
          </w:p>
        </w:tc>
        <w:tc>
          <w:tcPr>
            <w:tcW w:w="138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12</w:t>
              </w:r>
            </w:hyperlink>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DEPOSITARY SHARES</w:t>
              </w:r>
            </w:hyperlink>
          </w:p>
        </w:tc>
        <w:tc>
          <w:tcPr>
            <w:tcW w:w="1560" w:type="dxa"/>
            <w:vAlign w:val="bottom"/>
            <w:gridSpan w:val="6"/>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19</w:t>
              </w:r>
            </w:hyperlink>
          </w:p>
        </w:tc>
      </w:tr>
      <w:tr>
        <w:trPr>
          <w:trHeight w:val="196"/>
        </w:trPr>
        <w:tc>
          <w:tcPr>
            <w:tcW w:w="32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DESCRIPTION OF WARRANTS</w:t>
              </w:r>
            </w:hyperlink>
          </w:p>
        </w:tc>
        <w:tc>
          <w:tcPr>
            <w:tcW w:w="4340" w:type="dxa"/>
            <w:vAlign w:val="bottom"/>
            <w:gridSpan w:val="13"/>
          </w:tcPr>
          <w:p>
            <w:pPr>
              <w:spacing w:after="0"/>
              <w:rPr>
                <w:sz w:val="17"/>
                <w:szCs w:val="17"/>
                <w:color w:val="auto"/>
              </w:rPr>
            </w:pPr>
          </w:p>
        </w:tc>
        <w:tc>
          <w:tcPr>
            <w:tcW w:w="138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23</w:t>
              </w:r>
            </w:hyperlink>
          </w:p>
        </w:tc>
      </w:tr>
      <w:tr>
        <w:trPr>
          <w:trHeight w:val="20"/>
        </w:trPr>
        <w:tc>
          <w:tcPr>
            <w:tcW w:w="2420" w:type="dxa"/>
            <w:vAlign w:val="bottom"/>
            <w:gridSpan w:val="8"/>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9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DESCRIPTION OF DEBT SECURITIES</w:t>
              </w:r>
            </w:hyperlink>
          </w:p>
        </w:tc>
        <w:tc>
          <w:tcPr>
            <w:tcW w:w="4620" w:type="dxa"/>
            <w:vAlign w:val="bottom"/>
            <w:gridSpan w:val="15"/>
          </w:tcPr>
          <w:p>
            <w:pPr>
              <w:spacing w:after="0"/>
              <w:rPr>
                <w:sz w:val="17"/>
                <w:szCs w:val="17"/>
                <w:color w:val="auto"/>
              </w:rPr>
            </w:pPr>
          </w:p>
        </w:tc>
        <w:tc>
          <w:tcPr>
            <w:tcW w:w="138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24</w:t>
              </w:r>
            </w:hyperlink>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DESCRIPTION OF GUARANTEES OF DEBT SECURITIES</w:t>
              </w:r>
            </w:hyperlink>
          </w:p>
        </w:tc>
        <w:tc>
          <w:tcPr>
            <w:tcW w:w="1560" w:type="dxa"/>
            <w:vAlign w:val="bottom"/>
            <w:gridSpan w:val="6"/>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27</w:t>
              </w:r>
            </w:hyperlink>
          </w:p>
        </w:tc>
      </w:tr>
      <w:tr>
        <w:trPr>
          <w:trHeight w:val="20"/>
        </w:trPr>
        <w:tc>
          <w:tcPr>
            <w:tcW w:w="4260" w:type="dxa"/>
            <w:vAlign w:val="bottom"/>
            <w:gridSpan w:val="19"/>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580" w:type="dxa"/>
            <w:vAlign w:val="bottom"/>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CERTAIN ANTI-TAKEOVER PROVISIONS OF MARYLAND LAW</w:t>
              </w:r>
            </w:hyperlink>
          </w:p>
        </w:tc>
        <w:tc>
          <w:tcPr>
            <w:tcW w:w="1560" w:type="dxa"/>
            <w:vAlign w:val="bottom"/>
            <w:gridSpan w:val="6"/>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28</w:t>
              </w:r>
            </w:hyperlink>
          </w:p>
        </w:tc>
      </w:tr>
      <w:tr>
        <w:trPr>
          <w:trHeight w:val="196"/>
        </w:trPr>
        <w:tc>
          <w:tcPr>
            <w:tcW w:w="5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RESTRICTIONS ON OWNERSHIP OF CAPITAL STOCK</w:t>
              </w:r>
            </w:hyperlink>
          </w:p>
        </w:tc>
        <w:tc>
          <w:tcPr>
            <w:tcW w:w="2500" w:type="dxa"/>
            <w:vAlign w:val="bottom"/>
            <w:gridSpan w:val="4"/>
          </w:tcPr>
          <w:p>
            <w:pPr>
              <w:spacing w:after="0"/>
              <w:rPr>
                <w:sz w:val="17"/>
                <w:szCs w:val="17"/>
                <w:color w:val="auto"/>
              </w:rPr>
            </w:pPr>
          </w:p>
        </w:tc>
        <w:tc>
          <w:tcPr>
            <w:tcW w:w="138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884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56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MATERIAL UNITED STATES FEDERAL INCOME TAX CONSEQUENCES</w:t>
              </w:r>
            </w:hyperlink>
          </w:p>
        </w:tc>
        <w:tc>
          <w:tcPr>
            <w:tcW w:w="33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33</w:t>
              </w:r>
            </w:hyperlink>
          </w:p>
        </w:tc>
      </w:tr>
      <w:tr>
        <w:trPr>
          <w:trHeight w:val="196"/>
        </w:trPr>
        <w:tc>
          <w:tcPr>
            <w:tcW w:w="1140" w:type="dxa"/>
            <w:vAlign w:val="bottom"/>
          </w:tcPr>
          <w:p>
            <w:pPr>
              <w:spacing w:after="0"/>
              <w:rPr>
                <w:sz w:val="17"/>
                <w:szCs w:val="17"/>
                <w:color w:val="auto"/>
              </w:rPr>
            </w:pPr>
          </w:p>
        </w:tc>
        <w:tc>
          <w:tcPr>
            <w:tcW w:w="8960" w:type="dxa"/>
            <w:vAlign w:val="bottom"/>
            <w:gridSpan w:val="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SELLING STOCKHOLDERS</w:t>
              </w:r>
            </w:hyperlink>
          </w:p>
        </w:tc>
        <w:tc>
          <w:tcPr>
            <w:tcW w:w="180" w:type="dxa"/>
            <w:vAlign w:val="bottom"/>
          </w:tcPr>
          <w:p>
            <w:pPr>
              <w:jc w:val="right"/>
              <w:spacing w:after="0" w:line="196" w:lineRule="exact"/>
              <w:rPr>
                <w:rFonts w:ascii="Arial" w:cs="Arial" w:eastAsia="Arial" w:hAnsi="Arial"/>
                <w:sz w:val="18"/>
                <w:szCs w:val="18"/>
                <w:color w:val="0000EE"/>
                <w:w w:val="79"/>
              </w:rPr>
            </w:pPr>
            <w:hyperlink w:anchor="page106">
              <w:r>
                <w:rPr>
                  <w:rFonts w:ascii="Arial" w:cs="Arial" w:eastAsia="Arial" w:hAnsi="Arial"/>
                  <w:sz w:val="18"/>
                  <w:szCs w:val="18"/>
                  <w:color w:val="0000EE"/>
                  <w:w w:val="79"/>
                </w:rPr>
                <w:t>50</w:t>
              </w:r>
            </w:hyperlink>
          </w:p>
        </w:tc>
      </w:tr>
      <w:tr>
        <w:trPr>
          <w:trHeight w:val="196"/>
        </w:trPr>
        <w:tc>
          <w:tcPr>
            <w:tcW w:w="1140" w:type="dxa"/>
            <w:vAlign w:val="bottom"/>
          </w:tcPr>
          <w:p>
            <w:pPr>
              <w:spacing w:after="0"/>
              <w:rPr>
                <w:sz w:val="17"/>
                <w:szCs w:val="17"/>
                <w:color w:val="auto"/>
              </w:rPr>
            </w:pPr>
          </w:p>
        </w:tc>
        <w:tc>
          <w:tcPr>
            <w:tcW w:w="2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PLAN OF DISTRIBUTION</w:t>
              </w:r>
            </w:hyperlink>
          </w:p>
        </w:tc>
        <w:tc>
          <w:tcPr>
            <w:tcW w:w="6800" w:type="dxa"/>
            <w:vAlign w:val="bottom"/>
            <w:gridSpan w:val="3"/>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07">
              <w:r>
                <w:rPr>
                  <w:rFonts w:ascii="Arial" w:cs="Arial" w:eastAsia="Arial" w:hAnsi="Arial"/>
                  <w:sz w:val="18"/>
                  <w:szCs w:val="18"/>
                  <w:color w:val="0000EE"/>
                  <w:w w:val="79"/>
                </w:rPr>
                <w:t>51</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LEGAL MATTERS</w:t>
              </w:r>
            </w:hyperlink>
          </w:p>
        </w:tc>
        <w:tc>
          <w:tcPr>
            <w:tcW w:w="6960" w:type="dxa"/>
            <w:vAlign w:val="bottom"/>
            <w:gridSpan w:val="4"/>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53</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EXPERTS</w:t>
              </w:r>
            </w:hyperlink>
          </w:p>
        </w:tc>
        <w:tc>
          <w:tcPr>
            <w:tcW w:w="660" w:type="dxa"/>
            <w:vAlign w:val="bottom"/>
            <w:tcBorders>
              <w:top w:val="single" w:sz="8" w:color="0000EE"/>
            </w:tcBorders>
          </w:tcPr>
          <w:p>
            <w:pPr>
              <w:spacing w:after="0"/>
              <w:rPr>
                <w:sz w:val="17"/>
                <w:szCs w:val="17"/>
                <w:color w:val="auto"/>
              </w:rPr>
            </w:pPr>
          </w:p>
        </w:tc>
        <w:tc>
          <w:tcPr>
            <w:tcW w:w="7540" w:type="dxa"/>
            <w:vAlign w:val="bottom"/>
            <w:gridSpan w:val="5"/>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53</w:t>
              </w:r>
            </w:hyperlink>
          </w:p>
        </w:tc>
      </w:tr>
      <w:tr>
        <w:trPr>
          <w:trHeight w:val="196"/>
        </w:trPr>
        <w:tc>
          <w:tcPr>
            <w:tcW w:w="1140" w:type="dxa"/>
            <w:vAlign w:val="bottom"/>
          </w:tcPr>
          <w:p>
            <w:pPr>
              <w:spacing w:after="0"/>
              <w:rPr>
                <w:sz w:val="17"/>
                <w:szCs w:val="17"/>
                <w:color w:val="auto"/>
              </w:rPr>
            </w:pPr>
          </w:p>
        </w:tc>
        <w:tc>
          <w:tcPr>
            <w:tcW w:w="65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WHERE YOU CAN FIND MORE INFORMATION; INCORPORATION BY REFERENCE</w:t>
              </w:r>
            </w:hyperlink>
          </w:p>
        </w:tc>
        <w:tc>
          <w:tcPr>
            <w:tcW w:w="23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10">
              <w:r>
                <w:rPr>
                  <w:rFonts w:ascii="Arial" w:cs="Arial" w:eastAsia="Arial" w:hAnsi="Arial"/>
                  <w:sz w:val="18"/>
                  <w:szCs w:val="18"/>
                  <w:color w:val="0000EE"/>
                  <w:w w:val="79"/>
                </w:rPr>
                <w:t>54</w:t>
              </w:r>
            </w:hyperlink>
          </w:p>
        </w:tc>
      </w:tr>
    </w:tbl>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adds to and updates information contained in the accompanying prospectus as well as the documents incorporated by reference into this prospectus supplement. The second part, the accompanying prospectus, gives more general information about securities we may offer from time to time, some of which does not apply to the notes. To the extent any inconsistency or conflict exists between the information included in this prospectus supplement and the information included in the accompanying prospectus or any information incorporated by reference, the information contained in this prospectus supplement updates and supersedes such information. The information incorporated by reference into this prospectus supplement includes important business and financial information about us that is not included in, or delivered with, this prospectus supplement.</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and the accompanying prospectus in making your investment decision. You should also read and consider the information incorporated by reference in this prospectus supplement under the heading "Where You Can Find More Information; Incorporation by Reference," which supersedes the information under the heading "Where You Can Find More Information; Incorporation by Reference" in the accompanying prospectus.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Unless the context requires otherwise, the term "SL Green" refers to SL Green Realty Corp. and not any of its subsidiaries, the term "SL Green OP" refers to SL Green Operating Partnership, L.P. and not any of its subsidiaries and the term "ROP" refers to Reckson Operating Partnership, L.P. and all entities owned or controlled by Reckson Operating Partnership, L.P. Unless the context requires otherwise, the terms "we," "our;" "ours," and "us" refers to SL Green Realty Corp., SL Green Operating Partnership, L.P. and Reckson Operating Partnership, L.P. and their respective subsidiaries on a consolidated basis.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include certain statements that may be deemed to be "forward looking statements" within the meaning of the Private Securities Litigation Reform Act of 1995 and are intended to be covered by the safe harbor provisions thereof. All statements, other than statements of historical facts, included in this prospectus supplement, the accompanying prospectus and the documents incorporated by reference herein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 looking statements. These forward looking statements are based on certain assumptions and analyses made by us in light of our experience and our perception of historical trends, current conditions, expected future developments and other factors we believe are appropriate.</w:t>
      </w:r>
    </w:p>
    <w:p>
      <w:pPr>
        <w:spacing w:after="0" w:line="172"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Forward looking statements are not guarantees of future performance and actual results or developments may differ materially, and we caution you not to place undue reliance on such statements. Forward looking statements are generally identifiable by the use of the words "may," "will," "should," "expect," "anticipate," "estimate," "believe," "intend," "project," "continue," or the negative of these words, or other similar words or terms.</w:t>
      </w:r>
    </w:p>
    <w:p>
      <w:pPr>
        <w:spacing w:after="0" w:line="16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Forward looking statements contained in this prospectus supplement, the accompanying prospectus and the documents incorporated by reference herein are subject to a number of risks and uncertainties that may cause our actual results, performance or achievements to be materially different from future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results, performance or achievements expressed or implied by forward looking statements made by us. These risks and uncertainties include:</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general economic, business and financial conditions, and their effect on the New York City real estate market in particular;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certain geographic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of real estate acquisitions, dispositions, development and redevelopment, including the cost of construction delays and cost overruns;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debt and preferred equity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 and borrowers;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bankruptcy or insolvency of a major tenant or a significant number of smaller tenants or borrowers;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reduced demand for office space, increasing vacancy, and increasing availability of sublease space;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financial covenants in our debt instruments;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 Green's ability to maintain its status as a real estate investment trust, or REIT;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investing through joint venture structures, including the fulfillment by our partners of their financial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threat of terrorist attacks;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insurance coverage at a reasonable cost and the potential for losses in excess of our insurance coverage, including as a result of environmental contamination; and</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and risks to our business, many of which are beyond our control, are described in our filings with the Commission. Except as required by law, we undertake no obligation to publicly update or revise any forward looking statements, whether as a result of future events, new information or otherwise. In light of these risks and uncertainties, the forward looking events and circumstances discussed in this prospectus supplement, the accompanying prospectus and the documents incorporated by reference herein and therein might not occur and actual results, performance or achievement could differ materially from that anticipated or implied in the forward 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207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20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160" w:firstLine="351"/>
        <w:spacing w:after="0" w:line="306" w:lineRule="auto"/>
        <w:rPr>
          <w:sz w:val="20"/>
          <w:szCs w:val="20"/>
          <w:color w:val="auto"/>
        </w:rPr>
      </w:pPr>
      <w:r>
        <w:rPr>
          <w:rFonts w:ascii="Arial" w:cs="Arial" w:eastAsia="Arial" w:hAnsi="Arial"/>
          <w:sz w:val="16"/>
          <w:szCs w:val="16"/>
          <w:i w:val="1"/>
          <w:iCs w:val="1"/>
          <w:color w:val="auto"/>
        </w:rPr>
        <w:t>The following summary highlights selected information contained or incorporated by reference in this prospectus supplement and accompanying prospectus and does not contain all of the information that may be important to you. You should carefully read this entire prospectus supplement and the accompanying prospectus, including the information incorporated by reference, before making a decision to invest in the notes.</w:t>
      </w:r>
    </w:p>
    <w:p>
      <w:pPr>
        <w:spacing w:after="0" w:line="3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SL Green Realty Corp.</w:t>
      </w:r>
    </w:p>
    <w:p>
      <w:pPr>
        <w:spacing w:after="0" w:line="231" w:lineRule="exact"/>
        <w:rPr>
          <w:sz w:val="20"/>
          <w:szCs w:val="20"/>
          <w:color w:val="auto"/>
        </w:rPr>
      </w:pPr>
    </w:p>
    <w:p>
      <w:pPr>
        <w:ind w:left="240" w:right="480" w:firstLine="351"/>
        <w:spacing w:after="0" w:line="332" w:lineRule="auto"/>
        <w:rPr>
          <w:sz w:val="20"/>
          <w:szCs w:val="20"/>
          <w:color w:val="auto"/>
        </w:rPr>
      </w:pPr>
      <w:r>
        <w:rPr>
          <w:rFonts w:ascii="Arial" w:cs="Arial" w:eastAsia="Arial" w:hAnsi="Arial"/>
          <w:sz w:val="16"/>
          <w:szCs w:val="16"/>
          <w:color w:val="auto"/>
        </w:rPr>
        <w:t>SL Green, a Maryland corporation, is a self-managed REIT engaged in the acquisition, development, ownership, management and operation of commercial and residential real estate properties, principally office properties, located in the New York Metropolitan area.</w:t>
      </w:r>
    </w:p>
    <w:p>
      <w:pPr>
        <w:spacing w:after="0" w:line="139" w:lineRule="exact"/>
        <w:rPr>
          <w:sz w:val="20"/>
          <w:szCs w:val="20"/>
          <w:color w:val="auto"/>
        </w:rPr>
      </w:pPr>
    </w:p>
    <w:p>
      <w:pPr>
        <w:ind w:left="240" w:firstLine="342"/>
        <w:spacing w:after="0" w:line="268" w:lineRule="auto"/>
        <w:rPr>
          <w:sz w:val="20"/>
          <w:szCs w:val="20"/>
          <w:color w:val="auto"/>
        </w:rPr>
      </w:pPr>
      <w:r>
        <w:rPr>
          <w:rFonts w:ascii="Arial" w:cs="Arial" w:eastAsia="Arial" w:hAnsi="Arial"/>
          <w:sz w:val="18"/>
          <w:szCs w:val="18"/>
          <w:color w:val="auto"/>
        </w:rPr>
        <w:t>As of March 31, 2018, SL Green owned the following interests in properties in the New York Metropolitan area, primarily in midtown Manhattan. SL Green's investments located outside of Manhattan are referred to as the Suburban properties:</w:t>
      </w:r>
    </w:p>
    <w:p>
      <w:pPr>
        <w:spacing w:after="0" w:line="18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ind w:left="460"/>
              <w:spacing w:after="0"/>
              <w:rPr>
                <w:sz w:val="20"/>
                <w:szCs w:val="20"/>
                <w:color w:val="auto"/>
              </w:rPr>
            </w:pPr>
            <w:r>
              <w:rPr>
                <w:rFonts w:ascii="Arial" w:cs="Arial" w:eastAsia="Arial" w:hAnsi="Arial"/>
                <w:sz w:val="14"/>
                <w:szCs w:val="14"/>
                <w:b w:val="1"/>
                <w:bCs w:val="1"/>
                <w:color w:val="auto"/>
              </w:rPr>
              <w:t>Consolidated</w:t>
            </w: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Unconsolidated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1"/>
                <w:szCs w:val="11"/>
                <w:color w:val="auto"/>
              </w:rPr>
            </w:pPr>
          </w:p>
        </w:tc>
      </w:tr>
      <w:tr>
        <w:trPr>
          <w:trHeight w:val="149"/>
        </w:trPr>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Average</w:t>
            </w:r>
          </w:p>
        </w:tc>
      </w:t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Property Type</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Properties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Square Feet</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Properties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Square Feet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Properties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Square Feet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Occupancy(1)</w:t>
            </w:r>
          </w:p>
        </w:tc>
      </w:tr>
      <w:tr>
        <w:trPr>
          <w:trHeight w:val="27"/>
        </w:trPr>
        <w:tc>
          <w:tcPr>
            <w:tcW w:w="5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35"/>
        </w:trPr>
        <w:tc>
          <w:tcPr>
            <w:tcW w:w="7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7"/>
              </w:rPr>
              <w:t>Commercial:</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72"/>
        </w:trPr>
        <w:tc>
          <w:tcPr>
            <w:tcW w:w="760" w:type="dxa"/>
            <w:vAlign w:val="bottom"/>
            <w:gridSpan w:val="2"/>
          </w:tcPr>
          <w:p>
            <w:pPr>
              <w:spacing w:after="0"/>
              <w:rPr>
                <w:sz w:val="20"/>
                <w:szCs w:val="20"/>
                <w:color w:val="auto"/>
              </w:rPr>
            </w:pPr>
            <w:r>
              <w:rPr>
                <w:rFonts w:ascii="Arial" w:cs="Arial" w:eastAsia="Arial" w:hAnsi="Arial"/>
                <w:sz w:val="14"/>
                <w:szCs w:val="14"/>
                <w:color w:val="auto"/>
              </w:rPr>
              <w:t>Manhattan</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Office</w:t>
            </w: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12,387,091</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12,165,164</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24,552,255</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94.2%</w:t>
            </w:r>
          </w:p>
        </w:tc>
      </w:tr>
      <w:tr>
        <w:trPr>
          <w:trHeight w:val="205"/>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Retail</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302,583</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347,970</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650,553</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94.2%</w:t>
            </w: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right"/>
              <w:ind w:right="120"/>
              <w:spacing w:after="0"/>
              <w:rPr>
                <w:sz w:val="20"/>
                <w:szCs w:val="20"/>
                <w:color w:val="auto"/>
              </w:rPr>
            </w:pPr>
            <w:r>
              <w:rPr>
                <w:rFonts w:ascii="Arial" w:cs="Arial" w:eastAsia="Arial" w:hAnsi="Arial"/>
                <w:sz w:val="14"/>
                <w:szCs w:val="14"/>
                <w:color w:val="auto"/>
                <w:w w:val="87"/>
              </w:rPr>
              <w:t>Development/Redevelopment</w:t>
            </w: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318,985</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416,214</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735,199</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44.4%</w:t>
            </w:r>
          </w:p>
        </w:tc>
      </w:tr>
      <w:tr>
        <w:trPr>
          <w:trHeight w:val="203"/>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Fee Interest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176,530</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176,530</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13,185,189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12,929,348</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26,114,537</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92.8%</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7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Suburban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Office</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20(3)</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3,013,200</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640,000</w:t>
            </w:r>
          </w:p>
        </w:tc>
        <w:tc>
          <w:tcPr>
            <w:tcW w:w="8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22</w:t>
            </w: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3,653,200</w:t>
            </w:r>
          </w:p>
        </w:tc>
        <w:tc>
          <w:tcPr>
            <w:tcW w:w="9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83.1%</w:t>
            </w:r>
          </w:p>
        </w:tc>
      </w:tr>
      <w:tr>
        <w:trPr>
          <w:trHeight w:val="216"/>
        </w:trPr>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Retail</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52,000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r>
      <w:tr>
        <w:trPr>
          <w:trHeight w:val="216"/>
        </w:trPr>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7"/>
              </w:rPr>
              <w:t>Development/Redevelopment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3,066,200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640,000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3,706,200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83.3%</w:t>
            </w:r>
          </w:p>
        </w:tc>
      </w:tr>
      <w:tr>
        <w:trPr>
          <w:trHeight w:val="131"/>
        </w:trPr>
        <w:tc>
          <w:tcPr>
            <w:tcW w:w="760" w:type="dxa"/>
            <w:vAlign w:val="bottom"/>
            <w:gridSpan w:val="2"/>
          </w:tcPr>
          <w:p>
            <w:pPr>
              <w:spacing w:after="0" w:line="131"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6"/>
              </w:rPr>
              <w:t>commercial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9"/>
        </w:trPr>
        <w:tc>
          <w:tcPr>
            <w:tcW w:w="76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9"/>
              </w:rPr>
              <w:t>properties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55</w:t>
            </w:r>
          </w:p>
        </w:tc>
        <w:tc>
          <w:tcPr>
            <w:tcW w:w="26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16,251,389</w:t>
            </w: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27</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13,569,348</w:t>
            </w: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82</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29,820,737</w:t>
            </w:r>
          </w:p>
        </w:tc>
        <w:tc>
          <w:tcPr>
            <w:tcW w:w="9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91.6%</w:t>
            </w:r>
          </w:p>
        </w:tc>
      </w:tr>
      <w:tr>
        <w:trPr>
          <w:trHeight w:val="142"/>
        </w:trPr>
        <w:tc>
          <w:tcPr>
            <w:tcW w:w="7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3"/>
              </w:rPr>
              <w:t>Residential:</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Manhattan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Residential</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472,105</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2,156,751</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2,628,856</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88.9%</w:t>
            </w:r>
          </w:p>
        </w:tc>
      </w:tr>
      <w:tr>
        <w:trPr>
          <w:trHeight w:val="149"/>
        </w:trPr>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Suburban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Residential</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31"/>
        </w:trPr>
        <w:tc>
          <w:tcPr>
            <w:tcW w:w="760" w:type="dxa"/>
            <w:vAlign w:val="bottom"/>
            <w:gridSpan w:val="2"/>
          </w:tcPr>
          <w:p>
            <w:pPr>
              <w:spacing w:after="0" w:line="131"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49"/>
        </w:trPr>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residential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9"/>
        </w:trPr>
        <w:tc>
          <w:tcPr>
            <w:tcW w:w="76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9"/>
              </w:rPr>
              <w:t>properties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472,105</w:t>
            </w: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2,156,751</w:t>
            </w: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2,628,856</w:t>
            </w:r>
          </w:p>
        </w:tc>
        <w:tc>
          <w:tcPr>
            <w:tcW w:w="9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88.9%</w:t>
            </w:r>
          </w:p>
        </w:tc>
      </w:tr>
      <w:tr>
        <w:trPr>
          <w:trHeight w:val="138"/>
        </w:trPr>
        <w:tc>
          <w:tcPr>
            <w:tcW w:w="7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59"/>
        </w:trPr>
        <w:tc>
          <w:tcPr>
            <w:tcW w:w="76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portfolio</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16,723,494</w:t>
            </w: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37</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15,726,099</w:t>
            </w: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95</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32,449,593</w:t>
            </w:r>
          </w:p>
        </w:tc>
        <w:tc>
          <w:tcPr>
            <w:tcW w:w="9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91.4%</w:t>
            </w: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9"/>
        </w:trPr>
        <w:tc>
          <w:tcPr>
            <w:tcW w:w="5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92" w:lineRule="exact"/>
        <w:rPr>
          <w:sz w:val="20"/>
          <w:szCs w:val="20"/>
          <w:color w:val="auto"/>
        </w:rPr>
      </w:pPr>
    </w:p>
    <w:p>
      <w:pPr>
        <w:ind w:left="1880" w:right="80" w:hanging="544"/>
        <w:spacing w:after="0" w:line="239" w:lineRule="auto"/>
        <w:tabs>
          <w:tab w:leader="none" w:pos="1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spacing w:after="0" w:line="111" w:lineRule="exact"/>
        <w:rPr>
          <w:rFonts w:ascii="Arial" w:cs="Arial" w:eastAsia="Arial" w:hAnsi="Arial"/>
          <w:sz w:val="14"/>
          <w:szCs w:val="14"/>
          <w:color w:val="auto"/>
        </w:rPr>
      </w:pPr>
    </w:p>
    <w:p>
      <w:pPr>
        <w:ind w:left="1880" w:right="40" w:hanging="544"/>
        <w:spacing w:after="0" w:line="230" w:lineRule="auto"/>
        <w:tabs>
          <w:tab w:leader="none" w:pos="1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March 31, 2018, SL Green owned a building at 315 West 33rd Street, also known as The Olivia, that was comprised of approximately 270,132 square feet of retail space and approximately 222,855 square feet of residential space. For the purpose of this prospectus supplement, we have included this building in the number of retail properties we own. However, we have included only the retail square footage in the retail approximate square footage, and have listed the balance of the square footage as residential square footage.</w:t>
      </w:r>
    </w:p>
    <w:p>
      <w:pPr>
        <w:spacing w:after="0" w:line="112" w:lineRule="exact"/>
        <w:rPr>
          <w:rFonts w:ascii="Arial" w:cs="Arial" w:eastAsia="Arial" w:hAnsi="Arial"/>
          <w:sz w:val="14"/>
          <w:szCs w:val="14"/>
          <w:color w:val="auto"/>
        </w:rPr>
      </w:pPr>
    </w:p>
    <w:p>
      <w:pPr>
        <w:ind w:left="1880" w:right="240" w:hanging="544"/>
        <w:spacing w:after="0" w:line="239" w:lineRule="auto"/>
        <w:tabs>
          <w:tab w:leader="none" w:pos="1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properties at 115-117 Stevens Avenue in Valhalla, New York, and 1-6 International Drive in Rye Brook, New York, which are classified as held for sale at March 31, 2018. These assets were sold in May 2018 and July 2018, respectively.</w:t>
      </w:r>
    </w:p>
    <w:p>
      <w:pPr>
        <w:spacing w:after="0" w:line="195" w:lineRule="exact"/>
        <w:rPr>
          <w:sz w:val="20"/>
          <w:szCs w:val="20"/>
          <w:color w:val="auto"/>
        </w:rPr>
      </w:pPr>
    </w:p>
    <w:p>
      <w:pPr>
        <w:ind w:left="240" w:right="400" w:firstLine="342"/>
        <w:spacing w:after="0" w:line="259" w:lineRule="auto"/>
        <w:rPr>
          <w:sz w:val="20"/>
          <w:szCs w:val="20"/>
          <w:color w:val="auto"/>
        </w:rPr>
      </w:pPr>
      <w:r>
        <w:rPr>
          <w:rFonts w:ascii="Arial" w:cs="Arial" w:eastAsia="Arial" w:hAnsi="Arial"/>
          <w:sz w:val="18"/>
          <w:szCs w:val="18"/>
          <w:color w:val="auto"/>
        </w:rPr>
        <w:t>As of March 31, 2018, SL Green held debt and preferred equity investments with a book value of $2.1 billion, including $0.1 billion of debt and preferred equity investments and other financing receivables that are included in balance sheet line items other than the Debt and Preferred Equity Investments line item.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05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10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SL Green Operating Partnership, L.P.</w:t>
      </w:r>
    </w:p>
    <w:p>
      <w:pPr>
        <w:spacing w:after="0" w:line="231" w:lineRule="exact"/>
        <w:rPr>
          <w:sz w:val="20"/>
          <w:szCs w:val="20"/>
          <w:color w:val="auto"/>
        </w:rPr>
      </w:pPr>
    </w:p>
    <w:p>
      <w:pPr>
        <w:jc w:val="both"/>
        <w:ind w:left="240" w:right="80" w:firstLine="351"/>
        <w:spacing w:after="0" w:line="259" w:lineRule="auto"/>
        <w:rPr>
          <w:sz w:val="20"/>
          <w:szCs w:val="20"/>
          <w:color w:val="auto"/>
        </w:rPr>
      </w:pPr>
      <w:r>
        <w:rPr>
          <w:rFonts w:ascii="Arial" w:cs="Arial" w:eastAsia="Arial" w:hAnsi="Arial"/>
          <w:sz w:val="18"/>
          <w:szCs w:val="18"/>
          <w:color w:val="auto"/>
        </w:rPr>
        <w:t>SL Green is the sole managing general partner of the issuer, SL Green OP. Substantially all of SL Green's assets are held by, and all of its operations are conducted through, SL Green OP. As of March 31, 2018, SL Green owned 94.98% of the economic interests in the issuer and noncontrolling investors held, in the aggregate, a 5.02% limited partnership interest in the issuer.</w:t>
      </w: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Reckson Operating Partnership, L.P.</w:t>
      </w:r>
    </w:p>
    <w:p>
      <w:pPr>
        <w:spacing w:after="0" w:line="231" w:lineRule="exact"/>
        <w:rPr>
          <w:sz w:val="20"/>
          <w:szCs w:val="20"/>
          <w:color w:val="auto"/>
        </w:rPr>
      </w:pPr>
    </w:p>
    <w:p>
      <w:pPr>
        <w:jc w:val="both"/>
        <w:ind w:left="240" w:right="160" w:firstLine="351"/>
        <w:spacing w:after="0" w:line="306" w:lineRule="auto"/>
        <w:rPr>
          <w:sz w:val="20"/>
          <w:szCs w:val="20"/>
          <w:color w:val="auto"/>
        </w:rPr>
      </w:pPr>
      <w:r>
        <w:rPr>
          <w:rFonts w:ascii="Arial" w:cs="Arial" w:eastAsia="Arial" w:hAnsi="Arial"/>
          <w:sz w:val="16"/>
          <w:szCs w:val="16"/>
          <w:color w:val="auto"/>
        </w:rPr>
        <w:t>ROP is primarily engaged in the acquisition, ownership, management and operation of commercial and residential real estate properties, principally office properties, and also owns land for future development located in the New York Metropolitan area. ROP commenced operations on June 2, 1995. A wholly-owned subsidiary of SL Green OP is the sole general partner of ROP. SL Green OP is the sole limited partner of ROP.</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March 31, 2018, ROP owned the following interests in commercial office properties in the New York Metropolitan area, primarily in midtown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Manhattan. ROP's investments located outside of Manhattan are referred to as the Suburban assets:</w:t>
      </w:r>
    </w:p>
    <w:p>
      <w:pPr>
        <w:spacing w:after="0" w:line="20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Number of</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2260" w:type="dxa"/>
            <w:vAlign w:val="bottom"/>
          </w:tcPr>
          <w:p>
            <w:pPr>
              <w:ind w:left="1000"/>
              <w:spacing w:after="0"/>
              <w:rPr>
                <w:sz w:val="20"/>
                <w:szCs w:val="20"/>
                <w:color w:val="auto"/>
              </w:rPr>
            </w:pPr>
            <w:r>
              <w:rPr>
                <w:rFonts w:ascii="Arial" w:cs="Arial" w:eastAsia="Arial" w:hAnsi="Arial"/>
                <w:sz w:val="14"/>
                <w:szCs w:val="14"/>
                <w:b w:val="1"/>
                <w:bCs w:val="1"/>
                <w:color w:val="auto"/>
              </w:rPr>
              <w:t>Type</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Properties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Square Feet</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Occupancy(1)</w:t>
            </w: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2580" w:type="dxa"/>
            <w:vAlign w:val="bottom"/>
            <w:gridSpan w:val="2"/>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Commercial:</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80" w:type="dxa"/>
            <w:vAlign w:val="bottom"/>
            <w:gridSpan w:val="3"/>
          </w:tcPr>
          <w:p>
            <w:pPr>
              <w:ind w:left="180"/>
              <w:spacing w:after="0"/>
              <w:rPr>
                <w:sz w:val="20"/>
                <w:szCs w:val="20"/>
                <w:color w:val="auto"/>
              </w:rPr>
            </w:pPr>
            <w:r>
              <w:rPr>
                <w:rFonts w:ascii="Arial" w:cs="Arial" w:eastAsia="Arial" w:hAnsi="Arial"/>
                <w:sz w:val="18"/>
                <w:szCs w:val="18"/>
                <w:color w:val="auto"/>
              </w:rPr>
              <w:t>Manhattan</w:t>
            </w: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Office(2)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8,303,245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Retail(3)(4)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364,816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w w:val="93"/>
              </w:rPr>
              <w:t>Development/Redevelopment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160,000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Fee Interest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176,530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9,004,591</w:t>
            </w:r>
          </w:p>
        </w:tc>
        <w:tc>
          <w:tcPr>
            <w:tcW w:w="160" w:type="dxa"/>
            <w:vAlign w:val="bottom"/>
            <w:vMerge w:val="continue"/>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Suburban</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2,150,400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2,202,400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ind w:left="360"/>
              <w:spacing w:after="0"/>
              <w:rPr>
                <w:sz w:val="20"/>
                <w:szCs w:val="20"/>
                <w:color w:val="auto"/>
              </w:rPr>
            </w:pPr>
            <w:r>
              <w:rPr>
                <w:rFonts w:ascii="Arial" w:cs="Arial" w:eastAsia="Arial" w:hAnsi="Arial"/>
                <w:sz w:val="18"/>
                <w:szCs w:val="18"/>
                <w:color w:val="auto"/>
              </w:rPr>
              <w:t>Total commercial properties</w:t>
            </w: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11,206,991</w:t>
            </w:r>
          </w:p>
        </w:tc>
        <w:tc>
          <w:tcPr>
            <w:tcW w:w="160" w:type="dxa"/>
            <w:vAlign w:val="bottom"/>
            <w:vMerge w:val="continue"/>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0"/>
        </w:trPr>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Residential:</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Arial" w:cs="Arial" w:eastAsia="Arial" w:hAnsi="Arial"/>
                <w:sz w:val="18"/>
                <w:szCs w:val="18"/>
                <w:color w:val="auto"/>
              </w:rPr>
              <w:t>Manhattan</w:t>
            </w:r>
          </w:p>
        </w:tc>
        <w:tc>
          <w:tcPr>
            <w:tcW w:w="16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Residential(3)</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222,855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portfolio</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11,429,846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hanging="544"/>
        <w:spacing w:after="0" w:line="259" w:lineRule="auto"/>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spacing w:after="0" w:line="207" w:lineRule="exact"/>
        <w:rPr>
          <w:rFonts w:ascii="Arial" w:cs="Arial" w:eastAsia="Arial" w:hAnsi="Arial"/>
          <w:sz w:val="18"/>
          <w:szCs w:val="18"/>
          <w:color w:val="auto"/>
        </w:rPr>
      </w:pPr>
    </w:p>
    <w:p>
      <w:pPr>
        <w:ind w:left="1880" w:hanging="544"/>
        <w:spacing w:after="0"/>
        <w:tabs>
          <w:tab w:leader="none" w:pos="1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one unconsolidated joint venture property at 919 Third Avenue comprised of approximately 1,454,000 square feet.</w:t>
      </w:r>
    </w:p>
    <w:p>
      <w:pPr>
        <w:spacing w:after="0" w:line="261" w:lineRule="exact"/>
        <w:rPr>
          <w:rFonts w:ascii="Arial" w:cs="Arial" w:eastAsia="Arial" w:hAnsi="Arial"/>
          <w:sz w:val="16"/>
          <w:szCs w:val="16"/>
          <w:color w:val="auto"/>
        </w:rPr>
      </w:pPr>
    </w:p>
    <w:p>
      <w:pPr>
        <w:ind w:left="1880" w:right="140" w:hanging="544"/>
        <w:spacing w:after="0" w:line="255" w:lineRule="auto"/>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March 31, 2018, ROP owned a building at 315 West 33rd Street, also known as The Olivia, that was comprised of approximately 270,132 square feet of retail space and approximately 222,855 square feet of residential space. For the purpose of this prospectus supplement, we have included this building in the number of retail properties we own. However, we have included only the retail square footage in the retail approximate square footage, and have listed the balance of the square footage as residential square footage.</w:t>
      </w:r>
    </w:p>
    <w:p>
      <w:pPr>
        <w:spacing w:after="0" w:line="223" w:lineRule="exact"/>
        <w:rPr>
          <w:rFonts w:ascii="Arial" w:cs="Arial" w:eastAsia="Arial" w:hAnsi="Arial"/>
          <w:sz w:val="18"/>
          <w:szCs w:val="18"/>
          <w:color w:val="auto"/>
        </w:rPr>
      </w:pPr>
    </w:p>
    <w:p>
      <w:pPr>
        <w:ind w:left="1880" w:hanging="544"/>
        <w:spacing w:after="0"/>
        <w:tabs>
          <w:tab w:leader="none" w:pos="18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two unconsolidated joint venture retail properties at 131-137 Spring Street comprised of approximately 68,342 square feet.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508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80" w:right="240" w:hanging="544"/>
        <w:spacing w:after="0" w:line="332" w:lineRule="auto"/>
        <w:tabs>
          <w:tab w:leader="none" w:pos="1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the properties at 115-117 Stevens Avenue in Valhalla, New York, and 1-6 International Drive in Rye Brook, New York, which are classified as held for sale at March 31, 2018. These assets were sold in May 2018 and July 2018, respectively.</w:t>
      </w:r>
    </w:p>
    <w:p>
      <w:pPr>
        <w:spacing w:after="0" w:line="139" w:lineRule="exact"/>
        <w:rPr>
          <w:sz w:val="20"/>
          <w:szCs w:val="20"/>
          <w:color w:val="auto"/>
        </w:rPr>
      </w:pPr>
    </w:p>
    <w:p>
      <w:pPr>
        <w:jc w:val="both"/>
        <w:ind w:left="240" w:firstLine="342"/>
        <w:spacing w:after="0" w:line="259" w:lineRule="auto"/>
        <w:rPr>
          <w:sz w:val="20"/>
          <w:szCs w:val="20"/>
          <w:color w:val="auto"/>
        </w:rPr>
      </w:pPr>
      <w:r>
        <w:rPr>
          <w:rFonts w:ascii="Arial" w:cs="Arial" w:eastAsia="Arial" w:hAnsi="Arial"/>
          <w:sz w:val="18"/>
          <w:szCs w:val="18"/>
          <w:color w:val="auto"/>
        </w:rPr>
        <w:t>As of March 31, 2018, ROP held debt and preferred equity investments with a book value of $1.9 billion, including $0.1 billion of debt and preferred equity investments and other financing receivables that are included in other balance sheet line items other than the Debt and Preferred Equity Investments line item.</w:t>
      </w: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Headquarters</w:t>
      </w:r>
    </w:p>
    <w:p>
      <w:pPr>
        <w:spacing w:after="0" w:line="231" w:lineRule="exact"/>
        <w:rPr>
          <w:sz w:val="20"/>
          <w:szCs w:val="20"/>
          <w:color w:val="auto"/>
        </w:rPr>
      </w:pPr>
    </w:p>
    <w:p>
      <w:pPr>
        <w:ind w:left="240" w:right="40" w:firstLine="351"/>
        <w:spacing w:after="0" w:line="256" w:lineRule="auto"/>
        <w:rPr>
          <w:sz w:val="20"/>
          <w:szCs w:val="20"/>
          <w:color w:val="auto"/>
        </w:rPr>
      </w:pPr>
      <w:r>
        <w:rPr>
          <w:rFonts w:ascii="Arial" w:cs="Arial" w:eastAsia="Arial" w:hAnsi="Arial"/>
          <w:sz w:val="18"/>
          <w:szCs w:val="18"/>
          <w:color w:val="auto"/>
        </w:rPr>
        <w:t>SL Green's, SL Green OP's and ROP's principal executive offices are located in midtown Manhattan at 420 Lexington Avenue, New York, New York 10170. We can be contacted at (212) 594-2700. SL Green maintains a website at www.slgreen.com. The information contained on or connected to SL Green's website is not incorporated by reference into, and you must not consider the information to be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301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730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firstLine="351"/>
        <w:spacing w:after="0" w:line="268" w:lineRule="auto"/>
        <w:rPr>
          <w:sz w:val="20"/>
          <w:szCs w:val="20"/>
          <w:color w:val="auto"/>
        </w:rPr>
      </w:pPr>
      <w:r>
        <w:rPr>
          <w:rFonts w:ascii="Arial" w:cs="Arial" w:eastAsia="Arial" w:hAnsi="Arial"/>
          <w:sz w:val="18"/>
          <w:szCs w:val="18"/>
          <w:i w:val="1"/>
          <w:iCs w:val="1"/>
          <w:color w:val="auto"/>
        </w:rPr>
        <w:t>The following is a brief summary of certain terms of this offering. For a more complete description of the terms of notes, see "Description of the Notes" in this prospectus supplement and "Description of Debt Securities" in the accompanying prospectus.</w:t>
      </w:r>
    </w:p>
    <w:p>
      <w:pPr>
        <w:spacing w:after="0" w:line="186"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4820" w:type="dxa"/>
            <w:vAlign w:val="bottom"/>
            <w:gridSpan w:val="5"/>
          </w:tcPr>
          <w:p>
            <w:pPr>
              <w:ind w:left="1300"/>
              <w:spacing w:after="0"/>
              <w:rPr>
                <w:sz w:val="20"/>
                <w:szCs w:val="20"/>
                <w:color w:val="auto"/>
              </w:rPr>
            </w:pPr>
            <w:r>
              <w:rPr>
                <w:rFonts w:ascii="Arial" w:cs="Arial" w:eastAsia="Arial" w:hAnsi="Arial"/>
                <w:sz w:val="18"/>
                <w:szCs w:val="18"/>
                <w:color w:val="auto"/>
              </w:rPr>
              <w:t>SL Green Operating Partnership, L.P.</w:t>
            </w:r>
          </w:p>
        </w:tc>
        <w:tc>
          <w:tcPr>
            <w:tcW w:w="680" w:type="dxa"/>
            <w:vAlign w:val="bottom"/>
          </w:tcPr>
          <w:p>
            <w:pPr>
              <w:spacing w:after="0"/>
              <w:rPr>
                <w:sz w:val="19"/>
                <w:szCs w:val="19"/>
                <w:color w:val="auto"/>
              </w:rPr>
            </w:pP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rPr>
              <w:t>Guarantors</w:t>
            </w:r>
          </w:p>
        </w:tc>
        <w:tc>
          <w:tcPr>
            <w:tcW w:w="4820" w:type="dxa"/>
            <w:vAlign w:val="bottom"/>
            <w:gridSpan w:val="5"/>
          </w:tcPr>
          <w:p>
            <w:pPr>
              <w:ind w:left="1300"/>
              <w:spacing w:after="0"/>
              <w:rPr>
                <w:sz w:val="20"/>
                <w:szCs w:val="20"/>
                <w:color w:val="auto"/>
              </w:rPr>
            </w:pPr>
            <w:r>
              <w:rPr>
                <w:rFonts w:ascii="Arial" w:cs="Arial" w:eastAsia="Arial" w:hAnsi="Arial"/>
                <w:sz w:val="18"/>
                <w:szCs w:val="18"/>
                <w:color w:val="auto"/>
                <w:w w:val="93"/>
              </w:rPr>
              <w:t>SL Green Realty Corp. and Reckson Operating</w:t>
            </w:r>
          </w:p>
        </w:tc>
        <w:tc>
          <w:tcPr>
            <w:tcW w:w="680" w:type="dxa"/>
            <w:vAlign w:val="bottom"/>
          </w:tcPr>
          <w:p>
            <w:pPr>
              <w:spacing w:after="0"/>
              <w:rPr>
                <w:sz w:val="24"/>
                <w:szCs w:val="24"/>
                <w:color w:val="auto"/>
              </w:rPr>
            </w:pPr>
          </w:p>
        </w:tc>
      </w:tr>
      <w:tr>
        <w:trPr>
          <w:trHeight w:val="222"/>
        </w:trPr>
        <w:tc>
          <w:tcPr>
            <w:tcW w:w="3240" w:type="dxa"/>
            <w:vAlign w:val="bottom"/>
          </w:tcPr>
          <w:p>
            <w:pPr>
              <w:spacing w:after="0"/>
              <w:rPr>
                <w:sz w:val="19"/>
                <w:szCs w:val="19"/>
                <w:color w:val="auto"/>
              </w:rPr>
            </w:pPr>
          </w:p>
        </w:tc>
        <w:tc>
          <w:tcPr>
            <w:tcW w:w="2700" w:type="dxa"/>
            <w:vAlign w:val="bottom"/>
            <w:gridSpan w:val="3"/>
          </w:tcPr>
          <w:p>
            <w:pPr>
              <w:ind w:left="1300"/>
              <w:spacing w:after="0"/>
              <w:rPr>
                <w:sz w:val="20"/>
                <w:szCs w:val="20"/>
                <w:color w:val="auto"/>
              </w:rPr>
            </w:pPr>
            <w:r>
              <w:rPr>
                <w:rFonts w:ascii="Arial" w:cs="Arial" w:eastAsia="Arial" w:hAnsi="Arial"/>
                <w:sz w:val="18"/>
                <w:szCs w:val="18"/>
                <w:color w:val="auto"/>
              </w:rPr>
              <w:t>Partnership, L.P.</w:t>
            </w: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rPr>
              <w:t>Securities Offered</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c>
          <w:tcPr>
            <w:tcW w:w="3840" w:type="dxa"/>
            <w:vAlign w:val="bottom"/>
            <w:gridSpan w:val="5"/>
          </w:tcPr>
          <w:p>
            <w:pPr>
              <w:ind w:left="180"/>
              <w:spacing w:after="0"/>
              <w:rPr>
                <w:sz w:val="20"/>
                <w:szCs w:val="20"/>
                <w:color w:val="auto"/>
              </w:rPr>
            </w:pPr>
            <w:r>
              <w:rPr>
                <w:rFonts w:ascii="Arial" w:cs="Arial" w:eastAsia="Arial" w:hAnsi="Arial"/>
                <w:sz w:val="18"/>
                <w:szCs w:val="18"/>
                <w:color w:val="auto"/>
                <w:w w:val="89"/>
              </w:rPr>
              <w:t>million aggregate principal amount of Floating Rate</w:t>
            </w:r>
          </w:p>
        </w:tc>
      </w:tr>
      <w:tr>
        <w:trPr>
          <w:trHeight w:val="222"/>
        </w:trPr>
        <w:tc>
          <w:tcPr>
            <w:tcW w:w="3240" w:type="dxa"/>
            <w:vAlign w:val="bottom"/>
          </w:tcPr>
          <w:p>
            <w:pPr>
              <w:spacing w:after="0"/>
              <w:rPr>
                <w:sz w:val="19"/>
                <w:szCs w:val="19"/>
                <w:color w:val="auto"/>
              </w:rPr>
            </w:pPr>
          </w:p>
        </w:tc>
        <w:tc>
          <w:tcPr>
            <w:tcW w:w="2700" w:type="dxa"/>
            <w:vAlign w:val="bottom"/>
            <w:gridSpan w:val="3"/>
          </w:tcPr>
          <w:p>
            <w:pPr>
              <w:ind w:left="1300"/>
              <w:spacing w:after="0"/>
              <w:rPr>
                <w:sz w:val="20"/>
                <w:szCs w:val="20"/>
                <w:color w:val="auto"/>
              </w:rPr>
            </w:pPr>
            <w:r>
              <w:rPr>
                <w:rFonts w:ascii="Arial" w:cs="Arial" w:eastAsia="Arial" w:hAnsi="Arial"/>
                <w:sz w:val="18"/>
                <w:szCs w:val="18"/>
                <w:color w:val="auto"/>
              </w:rPr>
              <w:t>Notes due 2021.</w:t>
            </w: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Maturity Date</w:t>
            </w:r>
          </w:p>
        </w:tc>
        <w:tc>
          <w:tcPr>
            <w:tcW w:w="3340" w:type="dxa"/>
            <w:vAlign w:val="bottom"/>
            <w:gridSpan w:val="4"/>
          </w:tcPr>
          <w:p>
            <w:pPr>
              <w:ind w:left="1300"/>
              <w:spacing w:after="0"/>
              <w:rPr>
                <w:sz w:val="20"/>
                <w:szCs w:val="20"/>
                <w:color w:val="auto"/>
              </w:rPr>
            </w:pPr>
            <w:r>
              <w:rPr>
                <w:rFonts w:ascii="Arial" w:cs="Arial" w:eastAsia="Arial" w:hAnsi="Arial"/>
                <w:sz w:val="18"/>
                <w:szCs w:val="18"/>
                <w:color w:val="auto"/>
              </w:rPr>
              <w:t>The notes will mature on</w:t>
            </w:r>
          </w:p>
        </w:tc>
        <w:tc>
          <w:tcPr>
            <w:tcW w:w="1480" w:type="dxa"/>
            <w:vAlign w:val="bottom"/>
          </w:tcPr>
          <w:p>
            <w:pPr>
              <w:jc w:val="right"/>
              <w:ind w:right="752"/>
              <w:spacing w:after="0"/>
              <w:rPr>
                <w:sz w:val="20"/>
                <w:szCs w:val="20"/>
                <w:color w:val="auto"/>
              </w:rPr>
            </w:pPr>
            <w:r>
              <w:rPr>
                <w:rFonts w:ascii="Arial" w:cs="Arial" w:eastAsia="Arial" w:hAnsi="Arial"/>
                <w:sz w:val="18"/>
                <w:szCs w:val="18"/>
                <w:color w:val="auto"/>
              </w:rPr>
              <w:t>, 2021.</w:t>
            </w:r>
          </w:p>
        </w:tc>
        <w:tc>
          <w:tcPr>
            <w:tcW w:w="680" w:type="dxa"/>
            <w:vAlign w:val="bottom"/>
          </w:tcPr>
          <w:p>
            <w:pPr>
              <w:spacing w:after="0"/>
              <w:rPr>
                <w:sz w:val="24"/>
                <w:szCs w:val="24"/>
                <w:color w:val="auto"/>
              </w:rPr>
            </w:pP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4820" w:type="dxa"/>
            <w:vAlign w:val="bottom"/>
            <w:gridSpan w:val="5"/>
          </w:tcPr>
          <w:p>
            <w:pPr>
              <w:ind w:left="1300"/>
              <w:spacing w:after="0"/>
              <w:rPr>
                <w:sz w:val="20"/>
                <w:szCs w:val="20"/>
                <w:color w:val="auto"/>
              </w:rPr>
            </w:pPr>
            <w:r>
              <w:rPr>
                <w:rFonts w:ascii="Arial" w:cs="Arial" w:eastAsia="Arial" w:hAnsi="Arial"/>
                <w:sz w:val="18"/>
                <w:szCs w:val="18"/>
                <w:color w:val="auto"/>
                <w:w w:val="87"/>
              </w:rPr>
              <w:t>The notes will bear interest at a floating rate, reset</w:t>
            </w:r>
          </w:p>
        </w:tc>
        <w:tc>
          <w:tcPr>
            <w:tcW w:w="68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4820" w:type="dxa"/>
            <w:vAlign w:val="bottom"/>
            <w:gridSpan w:val="5"/>
          </w:tcPr>
          <w:p>
            <w:pPr>
              <w:ind w:left="1300"/>
              <w:spacing w:after="0"/>
              <w:rPr>
                <w:sz w:val="20"/>
                <w:szCs w:val="20"/>
                <w:color w:val="auto"/>
              </w:rPr>
            </w:pPr>
            <w:r>
              <w:rPr>
                <w:rFonts w:ascii="Arial" w:cs="Arial" w:eastAsia="Arial" w:hAnsi="Arial"/>
                <w:sz w:val="18"/>
                <w:szCs w:val="18"/>
                <w:color w:val="auto"/>
              </w:rPr>
              <w:t>quarterly, equal to three-month LIBOR plus</w:t>
            </w:r>
          </w:p>
        </w:tc>
        <w:tc>
          <w:tcPr>
            <w:tcW w:w="680" w:type="dxa"/>
            <w:vAlign w:val="bottom"/>
          </w:tcPr>
          <w:p>
            <w:pPr>
              <w:spacing w:after="0"/>
              <w:rPr>
                <w:sz w:val="20"/>
                <w:szCs w:val="20"/>
                <w:color w:val="auto"/>
              </w:rPr>
            </w:pPr>
            <w:r>
              <w:rPr>
                <w:rFonts w:ascii="Arial" w:cs="Arial" w:eastAsia="Arial" w:hAnsi="Arial"/>
                <w:sz w:val="18"/>
                <w:szCs w:val="18"/>
                <w:color w:val="auto"/>
              </w:rPr>
              <w:t>%. We</w:t>
            </w:r>
          </w:p>
        </w:tc>
      </w:tr>
      <w:tr>
        <w:trPr>
          <w:trHeight w:val="216"/>
        </w:trPr>
        <w:tc>
          <w:tcPr>
            <w:tcW w:w="3240" w:type="dxa"/>
            <w:vAlign w:val="bottom"/>
          </w:tcPr>
          <w:p>
            <w:pPr>
              <w:spacing w:after="0"/>
              <w:rPr>
                <w:sz w:val="18"/>
                <w:szCs w:val="18"/>
                <w:color w:val="auto"/>
              </w:rPr>
            </w:pPr>
          </w:p>
        </w:tc>
        <w:tc>
          <w:tcPr>
            <w:tcW w:w="4820" w:type="dxa"/>
            <w:vAlign w:val="bottom"/>
            <w:gridSpan w:val="5"/>
          </w:tcPr>
          <w:p>
            <w:pPr>
              <w:ind w:left="1300"/>
              <w:spacing w:after="0"/>
              <w:rPr>
                <w:sz w:val="20"/>
                <w:szCs w:val="20"/>
                <w:color w:val="auto"/>
              </w:rPr>
            </w:pPr>
            <w:r>
              <w:rPr>
                <w:rFonts w:ascii="Arial" w:cs="Arial" w:eastAsia="Arial" w:hAnsi="Arial"/>
                <w:sz w:val="18"/>
                <w:szCs w:val="18"/>
                <w:color w:val="auto"/>
                <w:w w:val="91"/>
              </w:rPr>
              <w:t>will pay interest on the notes quarterly in arrears</w:t>
            </w:r>
          </w:p>
        </w:tc>
        <w:tc>
          <w:tcPr>
            <w:tcW w:w="6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on</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52"/>
              <w:spacing w:after="0"/>
              <w:rPr>
                <w:sz w:val="20"/>
                <w:szCs w:val="20"/>
                <w:color w:val="auto"/>
              </w:rPr>
            </w:pPr>
            <w:r>
              <w:rPr>
                <w:rFonts w:ascii="Arial" w:cs="Arial" w:eastAsia="Arial" w:hAnsi="Arial"/>
                <w:sz w:val="18"/>
                <w:szCs w:val="18"/>
                <w:color w:val="auto"/>
                <w:w w:val="78"/>
              </w:rPr>
              <w:t>,</w:t>
            </w:r>
          </w:p>
        </w:tc>
        <w:tc>
          <w:tcPr>
            <w:tcW w:w="640" w:type="dxa"/>
            <w:vAlign w:val="bottom"/>
          </w:tcPr>
          <w:p>
            <w:pPr>
              <w:ind w:left="240"/>
              <w:spacing w:after="0"/>
              <w:rPr>
                <w:sz w:val="20"/>
                <w:szCs w:val="20"/>
                <w:color w:val="auto"/>
              </w:rPr>
            </w:pPr>
            <w:r>
              <w:rPr>
                <w:rFonts w:ascii="Arial" w:cs="Arial" w:eastAsia="Arial" w:hAnsi="Arial"/>
                <w:sz w:val="18"/>
                <w:szCs w:val="18"/>
                <w:color w:val="auto"/>
              </w:rPr>
              <w:t>and</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w w:val="99"/>
              </w:rPr>
              <w:t>of each year, beginning</w:t>
            </w:r>
          </w:p>
        </w:tc>
      </w:tr>
      <w:tr>
        <w:trPr>
          <w:trHeight w:val="222"/>
        </w:trPr>
        <w:tc>
          <w:tcPr>
            <w:tcW w:w="3240" w:type="dxa"/>
            <w:vAlign w:val="bottom"/>
          </w:tcPr>
          <w:p>
            <w:pPr>
              <w:spacing w:after="0"/>
              <w:rPr>
                <w:sz w:val="19"/>
                <w:szCs w:val="19"/>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on</w:t>
            </w:r>
          </w:p>
        </w:tc>
        <w:tc>
          <w:tcPr>
            <w:tcW w:w="740" w:type="dxa"/>
            <w:vAlign w:val="bottom"/>
          </w:tcPr>
          <w:p>
            <w:pPr>
              <w:ind w:left="260"/>
              <w:spacing w:after="0"/>
              <w:rPr>
                <w:sz w:val="20"/>
                <w:szCs w:val="20"/>
                <w:color w:val="auto"/>
              </w:rPr>
            </w:pPr>
            <w:r>
              <w:rPr>
                <w:rFonts w:ascii="Arial" w:cs="Arial" w:eastAsia="Arial" w:hAnsi="Arial"/>
                <w:sz w:val="18"/>
                <w:szCs w:val="18"/>
                <w:color w:val="auto"/>
                <w:w w:val="83"/>
              </w:rPr>
              <w:t>, 2018.</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rPr>
              <w:t>Guarantees</w:t>
            </w:r>
          </w:p>
        </w:tc>
        <w:tc>
          <w:tcPr>
            <w:tcW w:w="5500" w:type="dxa"/>
            <w:vAlign w:val="bottom"/>
            <w:gridSpan w:val="6"/>
          </w:tcPr>
          <w:p>
            <w:pPr>
              <w:ind w:left="1300"/>
              <w:spacing w:after="0"/>
              <w:rPr>
                <w:sz w:val="20"/>
                <w:szCs w:val="20"/>
                <w:color w:val="auto"/>
              </w:rPr>
            </w:pPr>
            <w:r>
              <w:rPr>
                <w:rFonts w:ascii="Arial" w:cs="Arial" w:eastAsia="Arial" w:hAnsi="Arial"/>
                <w:sz w:val="18"/>
                <w:szCs w:val="18"/>
                <w:color w:val="auto"/>
                <w:w w:val="91"/>
              </w:rPr>
              <w:t>The Notes will be fully and unconditionally guaranteed on</w:t>
            </w:r>
          </w:p>
        </w:tc>
      </w:tr>
      <w:tr>
        <w:trPr>
          <w:trHeight w:val="222"/>
        </w:trPr>
        <w:tc>
          <w:tcPr>
            <w:tcW w:w="3240" w:type="dxa"/>
            <w:vAlign w:val="bottom"/>
          </w:tcPr>
          <w:p>
            <w:pPr>
              <w:spacing w:after="0"/>
              <w:rPr>
                <w:sz w:val="19"/>
                <w:szCs w:val="19"/>
                <w:color w:val="auto"/>
              </w:rPr>
            </w:pPr>
          </w:p>
        </w:tc>
        <w:tc>
          <w:tcPr>
            <w:tcW w:w="4820" w:type="dxa"/>
            <w:vAlign w:val="bottom"/>
            <w:gridSpan w:val="5"/>
          </w:tcPr>
          <w:p>
            <w:pPr>
              <w:ind w:left="1300"/>
              <w:spacing w:after="0"/>
              <w:rPr>
                <w:sz w:val="20"/>
                <w:szCs w:val="20"/>
                <w:color w:val="auto"/>
              </w:rPr>
            </w:pPr>
            <w:r>
              <w:rPr>
                <w:rFonts w:ascii="Arial" w:cs="Arial" w:eastAsia="Arial" w:hAnsi="Arial"/>
                <w:sz w:val="18"/>
                <w:szCs w:val="18"/>
                <w:color w:val="auto"/>
                <w:w w:val="88"/>
              </w:rPr>
              <w:t>a senior, unsecured basis by SL Green and ROP.</w:t>
            </w:r>
          </w:p>
        </w:tc>
        <w:tc>
          <w:tcPr>
            <w:tcW w:w="680" w:type="dxa"/>
            <w:vAlign w:val="bottom"/>
          </w:tcPr>
          <w:p>
            <w:pPr>
              <w:spacing w:after="0"/>
              <w:rPr>
                <w:sz w:val="19"/>
                <w:szCs w:val="19"/>
                <w:color w:val="auto"/>
              </w:rPr>
            </w:pP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rPr>
              <w:t>Priority</w:t>
            </w:r>
          </w:p>
        </w:tc>
        <w:tc>
          <w:tcPr>
            <w:tcW w:w="5500" w:type="dxa"/>
            <w:vAlign w:val="bottom"/>
            <w:gridSpan w:val="6"/>
          </w:tcPr>
          <w:p>
            <w:pPr>
              <w:ind w:left="1300"/>
              <w:spacing w:after="0"/>
              <w:rPr>
                <w:sz w:val="20"/>
                <w:szCs w:val="20"/>
                <w:color w:val="auto"/>
              </w:rPr>
            </w:pPr>
            <w:r>
              <w:rPr>
                <w:rFonts w:ascii="Arial" w:cs="Arial" w:eastAsia="Arial" w:hAnsi="Arial"/>
                <w:sz w:val="18"/>
                <w:szCs w:val="18"/>
                <w:color w:val="auto"/>
                <w:w w:val="93"/>
              </w:rPr>
              <w:t>The notes will be the senior unsecured obligations of the</w:t>
            </w:r>
          </w:p>
        </w:tc>
      </w:tr>
      <w:tr>
        <w:trPr>
          <w:trHeight w:val="222"/>
        </w:trPr>
        <w:tc>
          <w:tcPr>
            <w:tcW w:w="3240" w:type="dxa"/>
            <w:vAlign w:val="bottom"/>
          </w:tcPr>
          <w:p>
            <w:pPr>
              <w:spacing w:after="0"/>
              <w:rPr>
                <w:sz w:val="19"/>
                <w:szCs w:val="19"/>
                <w:color w:val="auto"/>
              </w:rPr>
            </w:pPr>
          </w:p>
        </w:tc>
        <w:tc>
          <w:tcPr>
            <w:tcW w:w="5500" w:type="dxa"/>
            <w:vAlign w:val="bottom"/>
            <w:gridSpan w:val="6"/>
          </w:tcPr>
          <w:p>
            <w:pPr>
              <w:ind w:left="1300"/>
              <w:spacing w:after="0"/>
              <w:rPr>
                <w:sz w:val="20"/>
                <w:szCs w:val="20"/>
                <w:color w:val="auto"/>
              </w:rPr>
            </w:pPr>
            <w:r>
              <w:rPr>
                <w:rFonts w:ascii="Arial" w:cs="Arial" w:eastAsia="Arial" w:hAnsi="Arial"/>
                <w:sz w:val="18"/>
                <w:szCs w:val="18"/>
                <w:color w:val="auto"/>
                <w:w w:val="93"/>
              </w:rPr>
              <w:t>issuer, ranking pari passu with all of the issuer's existing</w:t>
            </w:r>
          </w:p>
        </w:tc>
      </w:tr>
    </w:tbl>
    <w:p>
      <w:pPr>
        <w:ind w:left="5880"/>
        <w:spacing w:after="0"/>
        <w:rPr>
          <w:sz w:val="20"/>
          <w:szCs w:val="20"/>
          <w:color w:val="auto"/>
        </w:rPr>
      </w:pPr>
      <w:r>
        <w:rPr>
          <w:rFonts w:ascii="Arial" w:cs="Arial" w:eastAsia="Arial" w:hAnsi="Arial"/>
          <w:sz w:val="18"/>
          <w:szCs w:val="18"/>
          <w:color w:val="auto"/>
        </w:rPr>
        <w:t>and future senior indebtedness and senior to all of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issuer's existing and future subordinated indebtedness.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guarantees will be the senior unsecured obligations of SL</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Green and ROP, ranking pari passu with all of such entities'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existing and future senior indebtedness and senior to all of</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such entities' existing and future subordinated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indebtedness. As of March 31, 2018, SL Green and SL</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Green OP had approximately $3.0 billion aggregate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amount of unsecured senior indebtedness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ROP had approximately $0.9 billion aggregate principal</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amount of unsecured senior indebtedness outstanding.</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notes and the guarantees will effectively be junior to</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all of SL Green's, SL Green OP's and ROP's respective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existing and future secured indebtedness to the extent of</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value of the assets securing such indebtedness. As of</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March 31, 2018, SL Green and its consolidated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subsidiaries, including SL Green OP and ROP, had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outstanding approximately $2.5 billion of secured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indebtedness (including SL Green OP's share of</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consolidated joint venture secured indebtedness of</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approximately $0.1 billion).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131" w:right="9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39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4396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The notes and the guarantees will be structurally</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1"/>
              </w:rPr>
              <w:t>subordinated to all existing and future indebtedness of SL</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2"/>
              </w:rPr>
              <w:t>Green's subsidiaries (other than SL Green OP and ROP)</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88"/>
              </w:rPr>
              <w:t>and the subsidiaries of SL Green OP (other than ROP) and</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ROP. As of March 31, 2018, the total outstanding</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indebtedness of SL Green OP and its consolidated</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4"/>
              </w:rPr>
              <w:t>subsidiaries was approximately $5.5 billion and the total</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6"/>
              </w:rPr>
              <w:t>outstanding indebtedness of ROP and its consolidated</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subsidiaries was approximately $1.3 billion. See</w:t>
            </w:r>
          </w:p>
        </w:tc>
      </w:tr>
      <w:tr>
        <w:trPr>
          <w:trHeight w:val="222"/>
        </w:trPr>
        <w:tc>
          <w:tcPr>
            <w:tcW w:w="3860" w:type="dxa"/>
            <w:vAlign w:val="bottom"/>
          </w:tcPr>
          <w:p>
            <w:pPr>
              <w:spacing w:after="0"/>
              <w:rPr>
                <w:sz w:val="19"/>
                <w:szCs w:val="19"/>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"Description of Other Indebtedness."</w:t>
            </w:r>
          </w:p>
        </w:tc>
      </w:tr>
      <w:tr>
        <w:trPr>
          <w:trHeight w:val="426"/>
        </w:trPr>
        <w:tc>
          <w:tcPr>
            <w:tcW w:w="3860" w:type="dxa"/>
            <w:vAlign w:val="bottom"/>
          </w:tcPr>
          <w:p>
            <w:pPr>
              <w:spacing w:after="0"/>
              <w:rPr>
                <w:sz w:val="20"/>
                <w:szCs w:val="20"/>
                <w:color w:val="auto"/>
              </w:rPr>
            </w:pPr>
            <w:r>
              <w:rPr>
                <w:rFonts w:ascii="Arial" w:cs="Arial" w:eastAsia="Arial" w:hAnsi="Arial"/>
                <w:sz w:val="18"/>
                <w:szCs w:val="18"/>
                <w:color w:val="auto"/>
              </w:rPr>
              <w:t>Optional Redemption</w:t>
            </w:r>
          </w:p>
        </w:tc>
        <w:tc>
          <w:tcPr>
            <w:tcW w:w="2060" w:type="dxa"/>
            <w:vAlign w:val="bottom"/>
          </w:tcPr>
          <w:p>
            <w:pPr>
              <w:ind w:left="680"/>
              <w:spacing w:after="0"/>
              <w:rPr>
                <w:sz w:val="20"/>
                <w:szCs w:val="20"/>
                <w:color w:val="auto"/>
              </w:rPr>
            </w:pPr>
            <w:r>
              <w:rPr>
                <w:rFonts w:ascii="Arial" w:cs="Arial" w:eastAsia="Arial" w:hAnsi="Arial"/>
                <w:sz w:val="18"/>
                <w:szCs w:val="18"/>
                <w:color w:val="auto"/>
              </w:rPr>
              <w:t>Beginning on</w:t>
            </w:r>
          </w:p>
        </w:tc>
        <w:tc>
          <w:tcPr>
            <w:tcW w:w="2820" w:type="dxa"/>
            <w:vAlign w:val="bottom"/>
          </w:tcPr>
          <w:p>
            <w:pPr>
              <w:ind w:left="280"/>
              <w:spacing w:after="0"/>
              <w:rPr>
                <w:sz w:val="20"/>
                <w:szCs w:val="20"/>
                <w:color w:val="auto"/>
              </w:rPr>
            </w:pPr>
            <w:r>
              <w:rPr>
                <w:rFonts w:ascii="Arial" w:cs="Arial" w:eastAsia="Arial" w:hAnsi="Arial"/>
                <w:sz w:val="18"/>
                <w:szCs w:val="18"/>
                <w:color w:val="auto"/>
                <w:w w:val="92"/>
              </w:rPr>
              <w:t>, 2019 (the first business day after</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89"/>
              </w:rPr>
              <w:t>the date that is one year following the original issue date of</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1"/>
              </w:rPr>
              <w:t>the notes) and at any time thereafter, we may redeem the</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0"/>
              </w:rPr>
              <w:t>notes, in whole but not in part, at a redemption price equal</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0"/>
              </w:rPr>
              <w:t>to 100% of the principal amount of the notes, plus accrued</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3"/>
              </w:rPr>
              <w:t>and unpaid interest thereon to the redemption date. See</w:t>
            </w:r>
          </w:p>
        </w:tc>
      </w:tr>
      <w:tr>
        <w:trPr>
          <w:trHeight w:val="222"/>
        </w:trPr>
        <w:tc>
          <w:tcPr>
            <w:tcW w:w="3860" w:type="dxa"/>
            <w:vAlign w:val="bottom"/>
          </w:tcPr>
          <w:p>
            <w:pPr>
              <w:spacing w:after="0"/>
              <w:rPr>
                <w:sz w:val="19"/>
                <w:szCs w:val="19"/>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"Description of the Notes—Optional Redemption."</w:t>
            </w:r>
          </w:p>
        </w:tc>
      </w:tr>
      <w:tr>
        <w:trPr>
          <w:trHeight w:val="426"/>
        </w:trPr>
        <w:tc>
          <w:tcPr>
            <w:tcW w:w="3860" w:type="dxa"/>
            <w:vAlign w:val="bottom"/>
          </w:tcPr>
          <w:p>
            <w:pPr>
              <w:spacing w:after="0"/>
              <w:rPr>
                <w:sz w:val="20"/>
                <w:szCs w:val="20"/>
                <w:color w:val="auto"/>
              </w:rPr>
            </w:pPr>
            <w:r>
              <w:rPr>
                <w:rFonts w:ascii="Arial" w:cs="Arial" w:eastAsia="Arial" w:hAnsi="Arial"/>
                <w:sz w:val="18"/>
                <w:szCs w:val="18"/>
                <w:color w:val="auto"/>
              </w:rPr>
              <w:t>Certain Covenants</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7"/>
              </w:rPr>
              <w:t>The Indenture (as defined below) governing the notes</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8"/>
              </w:rPr>
              <w:t>contains covenants that, among other things, limit SL</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1"/>
              </w:rPr>
              <w:t>Green OP's and its subsidiaries' (including ROP) ability to</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0"/>
              </w:rPr>
              <w:t>incur additional debt and encumber assets. The Indenture</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0"/>
              </w:rPr>
              <w:t>contains no limitation on the incurrence of indebtedness of</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SL Green. These covenants are subject to important</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8"/>
              </w:rPr>
              <w:t>exceptions and qualifications. See "Description of the</w:t>
            </w:r>
          </w:p>
        </w:tc>
      </w:tr>
      <w:tr>
        <w:trPr>
          <w:trHeight w:val="222"/>
        </w:trPr>
        <w:tc>
          <w:tcPr>
            <w:tcW w:w="3860" w:type="dxa"/>
            <w:vAlign w:val="bottom"/>
          </w:tcPr>
          <w:p>
            <w:pPr>
              <w:spacing w:after="0"/>
              <w:rPr>
                <w:sz w:val="19"/>
                <w:szCs w:val="19"/>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Notes—Certain Covenants."</w:t>
            </w:r>
          </w:p>
        </w:tc>
      </w:tr>
      <w:tr>
        <w:trPr>
          <w:trHeight w:val="426"/>
        </w:trPr>
        <w:tc>
          <w:tcPr>
            <w:tcW w:w="3860" w:type="dxa"/>
            <w:vAlign w:val="bottom"/>
          </w:tcPr>
          <w:p>
            <w:pPr>
              <w:spacing w:after="0"/>
              <w:rPr>
                <w:sz w:val="20"/>
                <w:szCs w:val="20"/>
                <w:color w:val="auto"/>
              </w:rPr>
            </w:pPr>
            <w:r>
              <w:rPr>
                <w:rFonts w:ascii="Arial" w:cs="Arial" w:eastAsia="Arial" w:hAnsi="Arial"/>
                <w:sz w:val="18"/>
                <w:szCs w:val="18"/>
                <w:color w:val="auto"/>
              </w:rPr>
              <w:t>Form and Denomination</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3"/>
              </w:rPr>
              <w:t>The notes will be issued in denominations of $2,000 and</w:t>
            </w:r>
          </w:p>
        </w:tc>
      </w:tr>
      <w:tr>
        <w:trPr>
          <w:trHeight w:val="222"/>
        </w:trPr>
        <w:tc>
          <w:tcPr>
            <w:tcW w:w="3860" w:type="dxa"/>
            <w:vAlign w:val="bottom"/>
          </w:tcPr>
          <w:p>
            <w:pPr>
              <w:spacing w:after="0"/>
              <w:rPr>
                <w:sz w:val="19"/>
                <w:szCs w:val="19"/>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rPr>
              <w:t>any integral multiple of $1,000 in excess thereof.</w:t>
            </w:r>
          </w:p>
        </w:tc>
      </w:tr>
      <w:tr>
        <w:trPr>
          <w:trHeight w:val="426"/>
        </w:trPr>
        <w:tc>
          <w:tcPr>
            <w:tcW w:w="3860" w:type="dxa"/>
            <w:vAlign w:val="bottom"/>
          </w:tcPr>
          <w:p>
            <w:pPr>
              <w:spacing w:after="0"/>
              <w:rPr>
                <w:sz w:val="20"/>
                <w:szCs w:val="20"/>
                <w:color w:val="auto"/>
              </w:rPr>
            </w:pPr>
            <w:r>
              <w:rPr>
                <w:rFonts w:ascii="Arial" w:cs="Arial" w:eastAsia="Arial" w:hAnsi="Arial"/>
                <w:sz w:val="18"/>
                <w:szCs w:val="18"/>
                <w:color w:val="auto"/>
              </w:rPr>
              <w:t>Absence of Established Market for the Notes</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88"/>
              </w:rPr>
              <w:t>The notes are a new issue of securities with no established</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1"/>
              </w:rPr>
              <w:t>trading market. There can be no assurance regarding any</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88"/>
              </w:rPr>
              <w:t>future development of a trading market for the notes, or the</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89"/>
              </w:rPr>
              <w:t>ability of holders of the notes to sell their notes at all, or the</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89"/>
              </w:rPr>
              <w:t>price at which such holders may be able to sell their notes.</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3"/>
              </w:rPr>
              <w:t>If such a market were to develop, the notes may trade at</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7"/>
              </w:rPr>
              <w:t>prices that are higher or lower than their initial offering</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7"/>
              </w:rPr>
              <w:t>price, depending on many factors, including prevailing</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0"/>
              </w:rPr>
              <w:t>interest rates, our operating results and financial condition</w:t>
            </w:r>
          </w:p>
        </w:tc>
      </w:tr>
      <w:tr>
        <w:trPr>
          <w:trHeight w:val="216"/>
        </w:trPr>
        <w:tc>
          <w:tcPr>
            <w:tcW w:w="3860" w:type="dxa"/>
            <w:vAlign w:val="bottom"/>
          </w:tcPr>
          <w:p>
            <w:pPr>
              <w:spacing w:after="0"/>
              <w:rPr>
                <w:sz w:val="18"/>
                <w:szCs w:val="18"/>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2"/>
              </w:rPr>
              <w:t>and the market for similar securities. We do not intend to</w:t>
            </w:r>
          </w:p>
        </w:tc>
      </w:tr>
      <w:tr>
        <w:trPr>
          <w:trHeight w:val="222"/>
        </w:trPr>
        <w:tc>
          <w:tcPr>
            <w:tcW w:w="3860" w:type="dxa"/>
            <w:vAlign w:val="bottom"/>
          </w:tcPr>
          <w:p>
            <w:pPr>
              <w:spacing w:after="0"/>
              <w:rPr>
                <w:sz w:val="19"/>
                <w:szCs w:val="19"/>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89"/>
              </w:rPr>
              <w:t>apply for the notes to be listed on any securities exchange.</w:t>
            </w:r>
          </w:p>
        </w:tc>
      </w:tr>
      <w:tr>
        <w:trPr>
          <w:trHeight w:val="426"/>
        </w:trPr>
        <w:tc>
          <w:tcPr>
            <w:tcW w:w="3860" w:type="dxa"/>
            <w:vAlign w:val="bottom"/>
          </w:tcPr>
          <w:p>
            <w:pPr>
              <w:spacing w:after="0"/>
              <w:rPr>
                <w:sz w:val="20"/>
                <w:szCs w:val="20"/>
                <w:color w:val="auto"/>
              </w:rPr>
            </w:pPr>
            <w:r>
              <w:rPr>
                <w:rFonts w:ascii="Arial" w:cs="Arial" w:eastAsia="Arial" w:hAnsi="Arial"/>
                <w:sz w:val="18"/>
                <w:szCs w:val="18"/>
                <w:color w:val="auto"/>
              </w:rPr>
              <w:t>Use of Proceeds</w:t>
            </w: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89"/>
              </w:rPr>
              <w:t>We estimate that the net proceeds from this offering will be</w:t>
            </w:r>
          </w:p>
        </w:tc>
      </w:tr>
      <w:tr>
        <w:trPr>
          <w:trHeight w:val="216"/>
        </w:trPr>
        <w:tc>
          <w:tcPr>
            <w:tcW w:w="3860" w:type="dxa"/>
            <w:vAlign w:val="bottom"/>
          </w:tcPr>
          <w:p>
            <w:pPr>
              <w:spacing w:after="0"/>
              <w:rPr>
                <w:sz w:val="18"/>
                <w:szCs w:val="18"/>
                <w:color w:val="auto"/>
              </w:rPr>
            </w:pPr>
          </w:p>
        </w:tc>
        <w:tc>
          <w:tcPr>
            <w:tcW w:w="2060" w:type="dxa"/>
            <w:vAlign w:val="bottom"/>
          </w:tcPr>
          <w:p>
            <w:pPr>
              <w:ind w:left="680"/>
              <w:spacing w:after="0"/>
              <w:rPr>
                <w:sz w:val="20"/>
                <w:szCs w:val="20"/>
                <w:color w:val="auto"/>
              </w:rPr>
            </w:pPr>
            <w:r>
              <w:rPr>
                <w:rFonts w:ascii="Arial" w:cs="Arial" w:eastAsia="Arial" w:hAnsi="Arial"/>
                <w:sz w:val="18"/>
                <w:szCs w:val="18"/>
                <w:color w:val="auto"/>
              </w:rPr>
              <w:t>approximately $</w:t>
            </w:r>
          </w:p>
        </w:tc>
        <w:tc>
          <w:tcPr>
            <w:tcW w:w="2820" w:type="dxa"/>
            <w:vAlign w:val="bottom"/>
          </w:tcPr>
          <w:p>
            <w:pPr>
              <w:ind w:left="220"/>
              <w:spacing w:after="0"/>
              <w:rPr>
                <w:sz w:val="20"/>
                <w:szCs w:val="20"/>
                <w:color w:val="auto"/>
              </w:rPr>
            </w:pPr>
            <w:r>
              <w:rPr>
                <w:rFonts w:ascii="Arial" w:cs="Arial" w:eastAsia="Arial" w:hAnsi="Arial"/>
                <w:sz w:val="18"/>
                <w:szCs w:val="18"/>
                <w:color w:val="auto"/>
              </w:rPr>
              <w:t>million after deducting the</w:t>
            </w:r>
          </w:p>
        </w:tc>
      </w:tr>
      <w:tr>
        <w:trPr>
          <w:trHeight w:val="222"/>
        </w:trPr>
        <w:tc>
          <w:tcPr>
            <w:tcW w:w="3860" w:type="dxa"/>
            <w:vAlign w:val="bottom"/>
          </w:tcPr>
          <w:p>
            <w:pPr>
              <w:spacing w:after="0"/>
              <w:rPr>
                <w:sz w:val="19"/>
                <w:szCs w:val="19"/>
                <w:color w:val="auto"/>
              </w:rPr>
            </w:pPr>
          </w:p>
        </w:tc>
        <w:tc>
          <w:tcPr>
            <w:tcW w:w="4880" w:type="dxa"/>
            <w:vAlign w:val="bottom"/>
            <w:gridSpan w:val="2"/>
          </w:tcPr>
          <w:p>
            <w:pPr>
              <w:ind w:left="680"/>
              <w:spacing w:after="0"/>
              <w:rPr>
                <w:sz w:val="20"/>
                <w:szCs w:val="20"/>
                <w:color w:val="auto"/>
              </w:rPr>
            </w:pPr>
            <w:r>
              <w:rPr>
                <w:rFonts w:ascii="Arial" w:cs="Arial" w:eastAsia="Arial" w:hAnsi="Arial"/>
                <w:sz w:val="18"/>
                <w:szCs w:val="18"/>
                <w:color w:val="auto"/>
                <w:w w:val="90"/>
              </w:rPr>
              <w:t>underwriting discount and our estimated expenses related</w:t>
            </w:r>
          </w:p>
        </w:tc>
      </w:tr>
    </w:tbl>
    <w:p>
      <w:pPr>
        <w:ind w:left="5880"/>
        <w:spacing w:after="0"/>
        <w:rPr>
          <w:sz w:val="20"/>
          <w:szCs w:val="20"/>
          <w:color w:val="auto"/>
        </w:rPr>
      </w:pPr>
      <w:r>
        <w:rPr>
          <w:rFonts w:ascii="Arial" w:cs="Arial" w:eastAsia="Arial" w:hAnsi="Arial"/>
          <w:sz w:val="16"/>
          <w:szCs w:val="16"/>
          <w:color w:val="auto"/>
        </w:rPr>
        <w:t>to the offering. We intend to use the net proceeds from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sale of the notes offered hereby to repay our outstanding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5.00% Senior Notes due 2018 and the balance, if any, for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general corporate purposes, which may include, among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other things, the repayment of other existing indebtedness.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55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w w:val="88"/>
              </w:rPr>
              <w:t>Material United States Federal Income Tax Consequences</w:t>
            </w:r>
          </w:p>
        </w:tc>
        <w:tc>
          <w:tcPr>
            <w:tcW w:w="592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You should consult your tax advisor with respect to the</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U.S. federal income tax consequences of owning the notes</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in light of your own particular situation and with respect to</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any tax consequences arising under the laws of any state,</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local, foreign or other taxing jurisdiction. See "Material</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United States Federal Income Tax Consequences" in the</w:t>
            </w:r>
          </w:p>
        </w:tc>
      </w:tr>
      <w:tr>
        <w:trPr>
          <w:trHeight w:val="222"/>
        </w:trPr>
        <w:tc>
          <w:tcPr>
            <w:tcW w:w="5500" w:type="dxa"/>
            <w:vAlign w:val="bottom"/>
            <w:tcBorders>
              <w:left w:val="single" w:sz="8" w:color="auto"/>
            </w:tcBorders>
          </w:tcPr>
          <w:p>
            <w:pPr>
              <w:spacing w:after="0"/>
              <w:rPr>
                <w:sz w:val="19"/>
                <w:szCs w:val="19"/>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accompanying prospectus.</w:t>
            </w:r>
          </w:p>
        </w:tc>
      </w:tr>
      <w:tr>
        <w:trPr>
          <w:trHeight w:val="426"/>
        </w:trPr>
        <w:tc>
          <w:tcPr>
            <w:tcW w:w="5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Investment in the notes involves risks. You should carefully</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consider the information in the sections entitled "Risk</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Factors" in this prospectus supplement, the accompanying</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prospectus, in the Annual Report on Form 10-K for the</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fiscal year ended December 31, 2017 of SL Green and SL</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Green OP, the Annual Report on Form 10-K for the fiscal</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year ended December 31, 2017 of ROP, and all the other</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information included or incorporated by reference in this</w:t>
            </w:r>
          </w:p>
        </w:tc>
      </w:tr>
      <w:tr>
        <w:trPr>
          <w:trHeight w:val="216"/>
        </w:trPr>
        <w:tc>
          <w:tcPr>
            <w:tcW w:w="5500" w:type="dxa"/>
            <w:vAlign w:val="bottom"/>
            <w:tcBorders>
              <w:left w:val="single" w:sz="8" w:color="auto"/>
            </w:tcBorders>
          </w:tcPr>
          <w:p>
            <w:pPr>
              <w:spacing w:after="0"/>
              <w:rPr>
                <w:sz w:val="18"/>
                <w:szCs w:val="18"/>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prospectus supplement and the accompanying prospectus</w:t>
            </w:r>
          </w:p>
        </w:tc>
      </w:tr>
      <w:tr>
        <w:trPr>
          <w:trHeight w:val="222"/>
        </w:trPr>
        <w:tc>
          <w:tcPr>
            <w:tcW w:w="5500" w:type="dxa"/>
            <w:vAlign w:val="bottom"/>
            <w:tcBorders>
              <w:left w:val="single" w:sz="8" w:color="auto"/>
            </w:tcBorders>
          </w:tcPr>
          <w:p>
            <w:pPr>
              <w:spacing w:after="0"/>
              <w:rPr>
                <w:sz w:val="19"/>
                <w:szCs w:val="19"/>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before buying any notes.</w:t>
            </w:r>
          </w:p>
        </w:tc>
      </w:tr>
      <w:tr>
        <w:trPr>
          <w:trHeight w:val="432"/>
        </w:trPr>
        <w:tc>
          <w:tcPr>
            <w:tcW w:w="5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Trustee</w:t>
            </w: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The Bank of New York Mellon.</w:t>
            </w:r>
          </w:p>
        </w:tc>
      </w:tr>
      <w:tr>
        <w:trPr>
          <w:trHeight w:val="426"/>
        </w:trPr>
        <w:tc>
          <w:tcPr>
            <w:tcW w:w="5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Governing Law</w:t>
            </w: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The notes will be governed by, and the Indenture is</w:t>
            </w:r>
          </w:p>
        </w:tc>
      </w:tr>
      <w:tr>
        <w:trPr>
          <w:trHeight w:val="222"/>
        </w:trPr>
        <w:tc>
          <w:tcPr>
            <w:tcW w:w="5500" w:type="dxa"/>
            <w:vAlign w:val="bottom"/>
            <w:tcBorders>
              <w:left w:val="single" w:sz="8" w:color="auto"/>
            </w:tcBorders>
          </w:tcPr>
          <w:p>
            <w:pPr>
              <w:spacing w:after="0"/>
              <w:rPr>
                <w:sz w:val="19"/>
                <w:szCs w:val="19"/>
                <w:color w:val="auto"/>
              </w:rPr>
            </w:pPr>
          </w:p>
        </w:tc>
        <w:tc>
          <w:tcPr>
            <w:tcW w:w="59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governed by, the laws of the State of New York.</w:t>
            </w:r>
          </w:p>
        </w:tc>
      </w:tr>
      <w:tr>
        <w:trPr>
          <w:trHeight w:val="228"/>
        </w:trPr>
        <w:tc>
          <w:tcPr>
            <w:tcW w:w="5500" w:type="dxa"/>
            <w:vAlign w:val="bottom"/>
            <w:tcBorders>
              <w:left w:val="single" w:sz="8" w:color="auto"/>
              <w:bottom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19"/>
                <w:szCs w:val="19"/>
                <w:color w:val="auto"/>
              </w:rPr>
            </w:pPr>
          </w:p>
        </w:tc>
      </w:tr>
      <w:tr>
        <w:trPr>
          <w:trHeight w:val="427"/>
        </w:trPr>
        <w:tc>
          <w:tcPr>
            <w:tcW w:w="5500" w:type="dxa"/>
            <w:vAlign w:val="bottom"/>
          </w:tcPr>
          <w:p>
            <w:pPr>
              <w:spacing w:after="0"/>
              <w:rPr>
                <w:sz w:val="24"/>
                <w:szCs w:val="24"/>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S-6</w:t>
            </w:r>
          </w:p>
        </w:tc>
      </w:tr>
      <w:tr>
        <w:trPr>
          <w:trHeight w:val="228"/>
        </w:trPr>
        <w:tc>
          <w:tcPr>
            <w:tcW w:w="550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An investment in the notes involves a high degree of risk. Before deciding to purchase any notes, you should carefully consider the risks and uncertainties set forth below and the risks and uncertainties incorporated by reference in this prospectus supplement and the accompanying prospectus, including the information included under "Risk Factors" in SL Green's and SL Green OP's Annual Report on Form 10-K for the year ended December 31, 2017, in ROP's Annual Report on Form 10-K for the year ended December 31, 2017, and in other documents that we subsequently file with the SEC. These risks and uncertainties are not the only ones facing us. There may be other risks that a prospective investor should consider that are relevant to that investor's own particular circumstances or generally.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of the Notes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level of indebtedness could adversely affect our operations and effectively reduce the amount of funds available for other business purposes, including our ability to make payments of principal and interest on the notes.</w:t>
      </w:r>
    </w:p>
    <w:p>
      <w:pPr>
        <w:spacing w:after="0" w:line="186"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We have a substantial amount of outstanding indebtedness, a large portion of which is due and payable prior to the maturity of the notes offered hereby. As of March 31, 2018, SL Green OP's total consolidated indebtedness was approximately $5.5 billion (inclusive of ROP's approximately $1.3 billion of indebtedness). SL Green OP's level of indebtedness could reduce funds available for additional acquisitions, capital expenditures or other business purposes, impact its ratings, restrict its respective financial and operating flexibility or create competitive disadvantages compared to other companies with lower debt levels.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ability to make payments of principal and interest on our indebtedness, including the notes, depends upon our future performance, which will be subject to general economic conditions and financial, business and other factors affecting our consolidated operations, many of which are beyond our control. If we are unable to generate sufficient cash flow from operations in the future to service our respective debt and meet our other cash requirements, we may be required, among other things:</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refinance or restructure all or a portion of our respective indebtedness, including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sell selected assets or businesses;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capital or operating expenditures.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Such measures might not be sufficient to enable us to service our debt and meet our other cash requirements, including the notes. In addition, any such financing, refinancing or sale of assets might not be available at all or on economically favorable terms.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bear additional risks because they have a floating rate.</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notes bear interest at a floating rate, and accordingly carry significant risks not associated with conventional fixed rate debt securities. These risks include fluctuation of the interest rates and the possibility that you will receive an amount of interest that is lower than expected. We have no control over a number of matters, including economic, financial and political events, that are important in determining the existence, magnitude and longevity of these risks and their results.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amount of interest payable on the notes is set only once per quarter based on the three-month LIBOR rate on the interest determination date, which rate may fluctuate substantially.</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Historically, the level of the three-month LIBOR has experienced significant fluctuations. You should note that historical levels, fluctuations and trends of the three-month LIBOR rate are not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necessarily indicative of future levels, fluctuations and/or trends. Any historical upward or downward trend in the three-month LIBOR rate is not an indication that the three-month LIBOR rate is more or less likely to increase or decrease at any time during a floating rate interest period, and you should not take the historical levels of the three-month LIBOR rate as an indication of its future performance. You should further note that although the actual three-month LIBOR rate on an interest payment date or at other times during an interest period may be higher than the three-month LIBOR rate on the applicable interest determination date, you will not benefit from the three-month LIBOR rate at any time other than on the interest determination date for such interest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relating to the LIBOR calculation method and the potential phasing out of LIBOR after 2021 may adversely affect the value of the notes.</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July 27, 2017, the UK Financial Conduct Authority ("FCA") announced that it will no longer persuade or compel banks to submit rates for the calculation of the LIBOR rates after 2021 and that market participants should not rely on LIBOR being available after 2021 (the "FCA Announcement"). It is not possible to predict the effect of the FCA Announcement, any changes in the methods pursuant to which the LIBOR rates are determined and any other reforms to LIBOR, including to the rules promulgated by the FCA in relation thereto, that will be enacted in the United Kingdom and elsewhere, which may adversely affect the trading market for LIBOR-based securities, including the notes, result in the phasing out of LIBOR as a reference rate for securities, or both. In addition, any changes announced by the FCA (including the FCA Announcement), ICE Benchmark Administration Limited as independent administrator of LIBOR or any other successor governance or oversight body, or future changes adopted by such body, in the method pursuant to which the LIBOR rates are determined may result in a sudden or prolonged increase or decrease in the reported LIBOR rates. If that were to occur, the level of interest payments and the value of the notes may be materially affected. Further, uncertainty as to the extent and manner in which the United Kingdom government's recommendations following its review of LIBOR in September 2012 will continue to be adopted and the timing of such changes may adversely affect the current trading market for LIBOR based securities and the value of the notes.</w:t>
      </w:r>
    </w:p>
    <w:p>
      <w:pPr>
        <w:spacing w:after="0" w:line="18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Pursuant to the terms of the notes, if LIBOR were to be permanently discontinued, the calculation agent will use an alternative reference rate that is consistent with accepted market practice at the time, as described in "Description of Notes—Payment of Interest," which could result in an interest rate that is different from what would have otherwise been calculated using LIBOR and could materially affect the value of the notes. Any such change in the calculation of the interest rate on notes may result in U.S. federal income tax or other tax consequences to holders or beneficial owners of the notes.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Since the notes are unsecured, your right to receive payments on the notes is effectively subordinated to all of our existing and future secured debt, and since the notes are not guaranteed by all of our subsidiaries, structurally subordinated to all existing and future liabilities of our subsidiaries that are not guarantors of the notes.</w:t>
      </w:r>
    </w:p>
    <w:p>
      <w:pPr>
        <w:spacing w:after="0" w:line="19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notes and the guarantees are unsecured, senior obligations that rank equal in right of payment with all of SL Green's, SL Green OP's and ROP's existing and future senior debt. However, the notes and the guarantees are effectively junior to all of SL Green's, SL Green OP's and ROP's secured debt to the extent of the value of the assets securing that debt. The Indenture governing the notes does not place any limitation on the amount of secured or unsecured senior indebtedness that SL Green may incur and, in certain circumstances, permits the release of ROP's guarantee of the notes. See "Description of the Notes—The Guarantees." As of March 31, 2018, SL Green and its consolidated subsidiaries, including SL Green OP and ROP, had outstanding approximately $2.5 billion of secured indebtedness (including SL Green OP's share of consolidated joint venture secured indebtedness of approximately $0.1 billion). In any liquidation, dissolution, bankruptcy or other similar proceeding,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holders of SL Green's, SL Green OP's or ROP's secured debt may assert rights against any assets securing such debt in order to receive full payment of their debt before those assets may be used to pay the holders of the notes. In such an event, SL Green, SL Green OP or ROP may not have sufficient assets remaining for the repayment in full of any or all of the notes. In addition, the notes and the guarantees are structurally subordinated to all current and future obligations, including subordinated indebtedness and trade payables of SL Green's subsidiaries, other than SL Green OP and other than ROP, for so long as ROP guarantees the notes. The notes are also structurally subordinated to guarantees of SL Green OP's debt by SL Green OP's subsidiaries other than ROP.</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void guarantees and require holders of Notes to return payments received from a guarantor.</w:t>
      </w:r>
    </w:p>
    <w:p>
      <w:pPr>
        <w:spacing w:after="0" w:line="186"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SL Green and ROP will guarantee the obligations under the Notes. The issuance of the guarantee may be subject to review under federal and state laws if a bankruptcy, liquidation or reorganization case or a lawsuit, including in circumstances in which bankruptcy is not involved, were commenced at some future date by, or on behalf of, the unpaid creditors of the guarantor. Under the federal bankruptcy laws and comparable provisions of state fraudulent transfer, insolvency, fictitious indebtedness and similar laws, a court may void or otherwise decline to enforce a guarantor's guarantee or may subordinate the notes or such guarantee to the guarantor's existing and future indebtedness, if, among other things, the guarantor, at the time it incurred the indebtedness evidenced by its guarantee:</w:t>
      </w:r>
    </w:p>
    <w:p>
      <w:pPr>
        <w:spacing w:after="0" w:line="167"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in exchange for its issuance of the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was engaged in a business or transaction, or was about to engage in a business or transaction, for which its remaining assets constituted unreasonably small capital;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matured.</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fictitious indebtedness laws of some states, the presence of the above-listed factors is not required for a guarantee to be invalidated. A court would likely find that a guarantor did not receive reasonably equivalent value or fair consideration in exchange for such guarantee if such guarantor did not substantially benefit directly or indirectly from the issuance of such guarantee. The measures of insolvency for purposes of these fraudulent transfer, insolvency and similar laws vary depending upon the law applied in any proceeding to determine whether a fraudulent transfer has occurred. Generally, however, a guarantor, as applicable, would be considered insolvent if:</w:t>
      </w:r>
    </w:p>
    <w:p>
      <w:pPr>
        <w:spacing w:after="0" w:line="224"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its debts, including contingent and unliquidated liabilities, was greater than the fair saleable value of its assets;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liability on its existing debts, including contingent and unliquidated liabilities, as they become absolute and mature;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court might also void the guarantee, without regard to the above factors, if the court found that the guarantor entered into its guarantee with the actual or deemed intent to hinder, delay or defraud its creditors.</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To the extent a court voids the guarantee as a fraudulent transfer or holds the guarantee unenforceable or voidable for any other reason, holders of the notes would no longer have a claim against such guarantor. In addition, the court might direct holders of the notes to repay any amounts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already received from a guarantor. If the court were to void SL Green or ROP's guarantee, we cannot assure you that funds would be available to pay the notes.</w:t>
      </w: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There is no established trading market for the notes, which could limit their market price or the ability to sell them for an amount equal to or higher than their initial offering price.</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notes are a new issue of securities with no established trading market. As a result, we cannot provide any assurances that a market will develop for the notes or that you will be able to sell your notes. We do not intend to apply for the notes to be listed on any securities exchange or to arrange for the notes to be quoted on any quotation system. If any of the notes are traded after their initial issuance, they may trade at a discount from their initial offering price. Future trading prices of the notes will depend on many factors, including prevailing interest rates, the market for similar securities, general economic conditions and our financial condition, performance and prospects.</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limited covenants in the Indenture governing the notes and the terms of the notes will not provide protection against significant events that could adversely impact your investment in the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governing the notes does not:</w:t>
      </w:r>
    </w:p>
    <w:p>
      <w:pPr>
        <w:spacing w:after="0" w:line="239" w:lineRule="exact"/>
        <w:rPr>
          <w:sz w:val="20"/>
          <w:szCs w:val="20"/>
          <w:color w:val="auto"/>
        </w:rPr>
      </w:pPr>
    </w:p>
    <w:p>
      <w:pPr>
        <w:jc w:val="both"/>
        <w:ind w:left="1080" w:right="380" w:hanging="532"/>
        <w:spacing w:after="0" w:line="370"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require us to maintain any financial ratios or specific levels of net worth, revenues, income, cash flow or liquidity and, accordingly, does not protect holders of the notes in the event that we experience significant adverse changes in our financial condition or results of operations; or</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ability of SL Green to incur additional indebtedness; or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prohibit us in certain circumstances from entering into a reorganization, restructuring, merger or similar transaction that may adversely affect the holder of the notes.</w:t>
      </w:r>
    </w:p>
    <w:p>
      <w:pPr>
        <w:spacing w:after="0" w:line="186"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When evaluating the terms of the notes, you should be aware that the terms of the Indenture and the notes will not restrict our ability to engage in, or otherwise be a party to, a variety of corporate transactions, circumstances and events that could have an adverse impact on your investment in the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ratings of our indebtedness may not reflect all risks of your investment in the notes.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credit ratings of our indebtedness are an assessment by rating agencies of our ability to pay our debts when due. Consequently, real or anticipated changes in any of the credit ratings of our indebtedness will generally affect the market value of the notes. These credit ratings may not reflect the potential impact of risks relating to structure or marketing of the notes. Agency ratings are not a recommendation to buy, sell or hold any security and may be revised or withdrawn at any time by the issuing organization. Each agency's rating should be evaluated independently of any other agency's rating.</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estimate that the net proceeds from this offering will be approximately $ million after deducting the underwriting discount and our estimated expenses related to the offering. We intend to use the net proceeds from the sale of the notes offered hereby to repay our outstanding 5.00% Senior Notes due 2018 and the balance, if any, for general corporate purposes, which may include, among other things, the repayment of other existing indebtedness.</w:t>
      </w:r>
    </w:p>
    <w:p>
      <w:pPr>
        <w:spacing w:after="0" w:line="16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RATIOS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ratios of earnings to fixed charges for SL Green, SL Green OP and ROP, respectively:</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Three Months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2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gridSpan w:val="5"/>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2018</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SL Green</w:t>
            </w: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2.61x</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2.66x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2.36x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1.89x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2.26x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SL Green OP</w:t>
            </w: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2.61x</w:t>
            </w:r>
          </w:p>
        </w:tc>
        <w:tc>
          <w:tcPr>
            <w:tcW w:w="520" w:type="dxa"/>
            <w:vAlign w:val="bottom"/>
          </w:tcPr>
          <w:p>
            <w:pPr>
              <w:ind w:left="120"/>
              <w:spacing w:after="0"/>
              <w:rPr>
                <w:sz w:val="20"/>
                <w:szCs w:val="20"/>
                <w:color w:val="auto"/>
              </w:rPr>
            </w:pPr>
            <w:r>
              <w:rPr>
                <w:rFonts w:ascii="Arial" w:cs="Arial" w:eastAsia="Arial" w:hAnsi="Arial"/>
                <w:sz w:val="18"/>
                <w:szCs w:val="18"/>
                <w:color w:val="auto"/>
                <w:w w:val="86"/>
              </w:rPr>
              <w:t>2.66x</w:t>
            </w:r>
          </w:p>
        </w:tc>
        <w:tc>
          <w:tcPr>
            <w:tcW w:w="16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2.36x</w:t>
            </w:r>
          </w:p>
        </w:tc>
        <w:tc>
          <w:tcPr>
            <w:tcW w:w="16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1.89x</w:t>
            </w:r>
          </w:p>
        </w:tc>
        <w:tc>
          <w:tcPr>
            <w:tcW w:w="16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6"/>
              </w:rPr>
              <w:t>2.26x</w:t>
            </w:r>
          </w:p>
        </w:tc>
        <w:tc>
          <w:tcPr>
            <w:tcW w:w="1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1.36x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ROP</w:t>
            </w: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4.71x</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3.95x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3.47x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3.04x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2.82x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2.36x</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ratio of earnings to combined fixed charges and preferred stock dividends was computed by dividing earnings by fixed charges. For the purpose of calculating the ratios, earnings have been calculated by adding fixed charges to income from continuing operations before adjustment for noncontrolling interests plus distributions from unconsolidated joint ventures, excluding gains or losses from sale of property, purchase price fair value adjustments, gains and losses one equity investment and the cumulative effect of changes in accounting principles. With respect to SL Green, fixed charges and preferred stock dividends consist of interest expense including the amortization of debt issuance costs, rental expense deemed to represent interest expense and preferred dividends paid on its 7.625% Series C, its 7.875% Series D (prior to their respective redemptions or repurchases) and its 6.50% Series I cumulative redeemable Preferred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 OF SL GREEN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SL Green's capitalization as of March 31, 2018 on a historical basis and on an as adjusted basis to reflect the issuance and sale</w:t>
      </w:r>
    </w:p>
    <w:p>
      <w:pPr>
        <w:spacing w:after="0" w:line="50"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of $ million aggregate principal amount of the notes offered hereby and the use of proceeds described herein. The information set forth in the following table should be read in conjunction with the consolidated financial statements and notes thereto in SL Green's Annual Report on Form 10-K for the year ended December 31, 2017, which is incorporated herein by reference.</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As of March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7"/>
              </w:rPr>
              <w:t>Historical</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2"/>
              </w:rPr>
              <w:t>As Adjusted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360"/>
              <w:spacing w:after="0" w:line="142" w:lineRule="exact"/>
              <w:rPr>
                <w:sz w:val="20"/>
                <w:szCs w:val="20"/>
                <w:color w:val="auto"/>
              </w:rPr>
            </w:pPr>
            <w:r>
              <w:rPr>
                <w:rFonts w:ascii="Arial" w:cs="Arial" w:eastAsia="Arial" w:hAnsi="Arial"/>
                <w:sz w:val="14"/>
                <w:szCs w:val="14"/>
                <w:b w:val="1"/>
                <w:bCs w:val="1"/>
                <w:color w:val="auto"/>
                <w:w w:val="86"/>
              </w:rPr>
              <w:t>(unaudited,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288,808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Mortgages and other loans payable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2,433,994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Revolving credit facility(1)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Term loan and senior unsecured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2,888,242</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w w:val="90"/>
              </w:rPr>
              <w:t>Junior subordinate deferrable interest debentures held by trusts that issued trust preferred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ind w:left="520"/>
              <w:spacing w:after="0"/>
              <w:rPr>
                <w:sz w:val="20"/>
                <w:szCs w:val="20"/>
                <w:color w:val="auto"/>
              </w:rPr>
            </w:pPr>
            <w:r>
              <w:rPr>
                <w:rFonts w:ascii="Arial" w:cs="Arial" w:eastAsia="Arial" w:hAnsi="Arial"/>
                <w:sz w:val="18"/>
                <w:szCs w:val="18"/>
                <w:color w:val="auto"/>
              </w:rPr>
              <w:t>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Liabilities related to assets held for sale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5,422,278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in SL Green OP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SL Green stockholders' equity (number of shares 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6.500% Series I Cumulative Redeemable Preferred Stock, $0.01 par value; 9,200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and outstanding on a historical and as adjusted basis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w w:val="94"/>
              </w:rPr>
              <w:t>Common Stock, $0.01 par value; 160,000 shares authorized and 99,422 (including 1,055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w w:val="91"/>
              </w:rPr>
              <w:t>shares held in treasury) issued and outstanding at March 31, 2018, on a historical and as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adjusted basis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4,776,594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1,583,833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Treasury stock at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(124,049)</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SL Green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6,487,785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Non-controlling interests in other partnerships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6,537,629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12,435,714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4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March 31, 2018, approximately $1.5 billion was available to draw under SL Green's, SL Green OP's and ROP's revolving credit facility (the "Credit Facility"). See "Description of Other Indebtedness."</w:t>
      </w:r>
    </w:p>
    <w:p>
      <w:pPr>
        <w:spacing w:after="0" w:line="212" w:lineRule="exact"/>
        <w:rPr>
          <w:rFonts w:ascii="Arial" w:cs="Arial" w:eastAsia="Arial" w:hAnsi="Arial"/>
          <w:sz w:val="18"/>
          <w:szCs w:val="18"/>
          <w:color w:val="auto"/>
        </w:rPr>
      </w:pPr>
    </w:p>
    <w:p>
      <w:pPr>
        <w:ind w:left="1680" w:right="36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 million aggregate principal amount of Floating Rate Notes due 2021 offered hereby as well as the use of proceeds thereof to repay our 5.00% Senior Notes due 2018.</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SELECTED FINANCIAL DATA OF SL GREEN</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table sets forth SL Green's selected financial data and should be read in conjunction with SL Green's Financial Statements and notes thereto included in Item 1, "Financial Statements" and Item 2, "Management's Discussion and Analysis of Financial Condition and Results of Operations" in SL Green's Financial Statements and notes thereto included in SL Green's Quarterly Report on</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10-Q for the quarter ended March 31, 2018 and Annual Report on Form 10-K for the fiscal year ended December 31,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gridSpan w:val="11"/>
            <w:vMerge w:val="restart"/>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960" w:type="dxa"/>
            <w:vAlign w:val="bottom"/>
            <w:gridSpan w:val="3"/>
          </w:tcPr>
          <w:p>
            <w:pPr>
              <w:ind w:left="1140"/>
              <w:spacing w:after="0" w:line="142" w:lineRule="exact"/>
              <w:rPr>
                <w:sz w:val="20"/>
                <w:szCs w:val="20"/>
                <w:color w:val="auto"/>
              </w:rPr>
            </w:pPr>
            <w:r>
              <w:rPr>
                <w:rFonts w:ascii="Arial" w:cs="Arial" w:eastAsia="Arial" w:hAnsi="Arial"/>
                <w:sz w:val="14"/>
                <w:szCs w:val="14"/>
                <w:b w:val="1"/>
                <w:bCs w:val="1"/>
                <w:color w:val="auto"/>
              </w:rPr>
              <w:t>Operating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301,695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377,381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1,511,473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1,863,981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1,662,829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gridSpan w:val="3"/>
          </w:tcPr>
          <w:p>
            <w:pPr>
              <w:ind w:left="11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301,624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Ground rent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32,834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Amortization of deferred finance costs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27,348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560,887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Transaction related costs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general and administrative</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gridSpan w:val="3"/>
          </w:tcPr>
          <w:p>
            <w:pPr>
              <w:ind w:left="114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1,346,445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1,868,599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1,585,568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in net income from unconsolidated joint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ventures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Equity in net gain on sale of interest 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unconsolidated joint venture/real estate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(6,440)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 fair value adjustment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(Loss) gain on sale of real estate,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175,974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sale of investment in marketable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Depreciable real estate reserves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(56,272)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(178,520)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(10,387)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(19,226)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early extinguishment of debt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gridSpan w:val="3"/>
          </w:tcPr>
          <w:p>
            <w:pPr>
              <w:ind w:left="11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278,911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gridSpan w:val="3"/>
          </w:tcPr>
          <w:p>
            <w:pPr>
              <w:ind w:left="11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278,911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317,459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income attributable to noncontrolling interests in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the Operating Partnership</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91"/>
              </w:rPr>
              <w:t>Net income attributable to noncontrolling interests 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other partnerships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(15,843)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unit distributions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gridSpan w:val="3"/>
          </w:tcPr>
          <w:p>
            <w:pPr>
              <w:ind w:left="1140"/>
              <w:spacing w:after="0"/>
              <w:rPr>
                <w:sz w:val="20"/>
                <w:szCs w:val="20"/>
                <w:color w:val="auto"/>
              </w:rPr>
            </w:pPr>
            <w:r>
              <w:rPr>
                <w:rFonts w:ascii="Arial" w:cs="Arial" w:eastAsia="Arial" w:hAnsi="Arial"/>
                <w:sz w:val="18"/>
                <w:szCs w:val="18"/>
                <w:color w:val="auto"/>
              </w:rPr>
              <w:t>Net income attributable to SL Green</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284,084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preferred stock dividends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960" w:type="dxa"/>
            <w:vAlign w:val="bottom"/>
            <w:gridSpan w:val="3"/>
          </w:tcPr>
          <w:p>
            <w:pPr>
              <w:ind w:left="1140"/>
              <w:spacing w:after="0" w:line="201" w:lineRule="exact"/>
              <w:rPr>
                <w:sz w:val="20"/>
                <w:szCs w:val="20"/>
                <w:color w:val="auto"/>
              </w:rPr>
            </w:pPr>
            <w:r>
              <w:rPr>
                <w:rFonts w:ascii="Arial" w:cs="Arial" w:eastAsia="Arial" w:hAnsi="Arial"/>
                <w:sz w:val="18"/>
                <w:szCs w:val="18"/>
                <w:color w:val="auto"/>
              </w:rPr>
              <w:t>Net income attributable to SL Green common</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stockholders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101,766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86,424</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234,946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269,132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Net income per common share—Basic</w:t>
            </w:r>
          </w:p>
        </w:tc>
        <w:tc>
          <w:tcPr>
            <w:tcW w:w="18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140"/>
              <w:spacing w:after="0"/>
              <w:rPr>
                <w:sz w:val="20"/>
                <w:szCs w:val="20"/>
                <w:color w:val="auto"/>
              </w:rPr>
            </w:pPr>
            <w:r>
              <w:rPr>
                <w:rFonts w:ascii="Arial" w:cs="Arial" w:eastAsia="Arial" w:hAnsi="Arial"/>
                <w:sz w:val="18"/>
                <w:szCs w:val="18"/>
                <w:color w:val="auto"/>
              </w:rPr>
              <w:t>Net income per common share—Diluted</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0.8125</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0.775</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3.1375</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140"/>
              <w:spacing w:after="0"/>
              <w:rPr>
                <w:sz w:val="20"/>
                <w:szCs w:val="20"/>
                <w:color w:val="auto"/>
              </w:rPr>
            </w:pPr>
            <w:r>
              <w:rPr>
                <w:rFonts w:ascii="Arial" w:cs="Arial" w:eastAsia="Arial" w:hAnsi="Arial"/>
                <w:sz w:val="18"/>
                <w:szCs w:val="18"/>
                <w:color w:val="auto"/>
                <w:w w:val="89"/>
              </w:rPr>
              <w:t>Basic weighted average common shares outstanding</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90,520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100,643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98,571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100,185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99,345</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60" w:type="dxa"/>
            <w:vAlign w:val="bottom"/>
          </w:tcPr>
          <w:p>
            <w:pPr>
              <w:spacing w:after="0"/>
              <w:rPr>
                <w:sz w:val="16"/>
                <w:szCs w:val="16"/>
                <w:color w:val="auto"/>
              </w:rPr>
            </w:pPr>
          </w:p>
        </w:tc>
        <w:tc>
          <w:tcPr>
            <w:tcW w:w="3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Diluted weighted average common shares and</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share equivalents outstanding</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103,734</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ind w:left="1140"/>
              <w:spacing w:after="0"/>
              <w:rPr>
                <w:sz w:val="20"/>
                <w:szCs w:val="20"/>
                <w:color w:val="auto"/>
              </w:rPr>
            </w:pPr>
            <w:r>
              <w:rPr>
                <w:rFonts w:ascii="Arial" w:cs="Arial" w:eastAsia="Arial" w:hAnsi="Arial"/>
                <w:sz w:val="18"/>
                <w:szCs w:val="18"/>
                <w:color w:val="auto"/>
              </w:rPr>
              <w:t>Commercial real estate, before accumulated</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depreciation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8,773,179</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10,206,122</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10,206,122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12,743,332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16,681,602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13,380,870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13,982,904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13,982,904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15,857,787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19,727,646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91"/>
              </w:rPr>
              <w:t>Mortgages and other loans payable, revolving credit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w w:val="91"/>
              </w:rPr>
              <w:t>facility, term loan and senior unsecured notes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trust preferred securities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5,422,236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5,855,132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5,855,132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6,481,666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10,275,453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Noncontrolling interests in the operating partnership</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424,206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6,537,629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6,589,454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6,589,454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7,750,911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7,719,317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S-15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2340" w:type="dxa"/>
            <w:vAlign w:val="bottom"/>
            <w:gridSpan w:val="8"/>
            <w:vMerge w:val="restart"/>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900" w:type="dxa"/>
            <w:vAlign w:val="bottom"/>
            <w:gridSpan w:val="2"/>
          </w:tcPr>
          <w:p>
            <w:pPr>
              <w:jc w:val="right"/>
              <w:ind w:right="232"/>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2340" w:type="dxa"/>
            <w:vAlign w:val="bottom"/>
            <w:tcBorders>
              <w:bottom w:val="single" w:sz="8" w:color="auto"/>
            </w:tcBorders>
            <w:gridSpan w:val="8"/>
            <w:vMerge w:val="continue"/>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Other Data</w:t>
            </w:r>
          </w:p>
        </w:tc>
        <w:tc>
          <w:tcPr>
            <w:tcW w:w="500" w:type="dxa"/>
            <w:vAlign w:val="bottom"/>
          </w:tcPr>
          <w:p>
            <w:pPr>
              <w:spacing w:after="0"/>
              <w:rPr>
                <w:sz w:val="12"/>
                <w:szCs w:val="12"/>
                <w:color w:val="auto"/>
              </w:rPr>
            </w:pPr>
          </w:p>
        </w:tc>
        <w:tc>
          <w:tcPr>
            <w:tcW w:w="9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2"/>
                <w:szCs w:val="12"/>
                <w:color w:val="auto"/>
              </w:rPr>
            </w:pPr>
          </w:p>
        </w:tc>
        <w:tc>
          <w:tcPr>
            <w:tcW w:w="8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8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3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Funds from operations available to all</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stockholders(1)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157,690</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165,894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667,294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869,855</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661,825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94,546</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113,149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548,373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634,714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investment activities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456,002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2,122,570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(2,265,911)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(422,309)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38,813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(681,077)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(2,733,240)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1,713,417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84" w:lineRule="auto"/>
        <w:tabs>
          <w:tab w:leader="none" w:pos="1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FFO is a widely recognized non-GAAP measure of REIT performance. We compute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subsequently amended, defines FFO as net income (loss) (computed in accordance with Generally Accepted Accounting Principles, or GAAP), excluding gains (or losses) from sales of properties, debt restructurings and real estate related impairment charges,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bonuses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 reconciliation of FFO to net income computed in accordance with GAAP (i) in respect of the interim period ended March 31, 2018 and 2017 and (ii) in respect of the years ended December 31, 2017, 2016 and 2015 is provided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Ended March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1"/>
        </w:trPr>
        <w:tc>
          <w:tcPr>
            <w:tcW w:w="116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SL Green common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101,766</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234,946</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269,132</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Add: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560,887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w w:val="91"/>
              </w:rPr>
              <w:t>Discontinued operations depreciation adjustments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 depreciation and noncontrolling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adjustments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34,226</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w w:val="98"/>
              </w:rPr>
              <w:t>Net income (loss) attributable to noncontrolling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(17,015)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(11,706)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17,780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26,408</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(Loss) gain on sale of real estate,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238,116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190,096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net gain on sale of interest in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unconsolidated joint venture/real estate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Purchase price fair value adjustment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40,078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on non-rental real estate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Depreciable real estate reserves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(56,272)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(178,520)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(10,387)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(19,226)</w:t>
            </w:r>
          </w:p>
        </w:tc>
        <w:tc>
          <w:tcPr>
            <w:tcW w:w="1100" w:type="dxa"/>
            <w:vAlign w:val="bottom"/>
          </w:tcPr>
          <w:p>
            <w:pPr>
              <w:spacing w:after="0"/>
              <w:rPr>
                <w:sz w:val="18"/>
                <w:szCs w:val="18"/>
                <w:color w:val="auto"/>
              </w:rPr>
            </w:pPr>
          </w:p>
        </w:tc>
      </w:tr>
      <w:tr>
        <w:trPr>
          <w:trHeight w:val="201"/>
        </w:trPr>
        <w:tc>
          <w:tcPr>
            <w:tcW w:w="116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Funds from Operations attributable to SL Green</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common stockholders and noncontrolling interests</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157,690</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165,894</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667,294</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869,855</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661,825</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4980" w:type="dxa"/>
            <w:vAlign w:val="bottom"/>
            <w:gridSpan w:val="2"/>
          </w:tcPr>
          <w:p>
            <w:pPr>
              <w:ind w:left="1140"/>
              <w:spacing w:after="0"/>
              <w:rPr>
                <w:sz w:val="20"/>
                <w:szCs w:val="20"/>
                <w:color w:val="auto"/>
              </w:rPr>
            </w:pPr>
            <w:r>
              <w:rPr>
                <w:rFonts w:ascii="Arial" w:cs="Arial" w:eastAsia="Arial" w:hAnsi="Arial"/>
                <w:sz w:val="18"/>
                <w:szCs w:val="18"/>
                <w:color w:val="auto"/>
              </w:rPr>
              <w:t>Cash flows provided by operating activities</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634,714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526,484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flows (used in) provided by investing activities</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456,002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2,122,570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(2,265,911)</w:t>
            </w: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flows used in by financing activities</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(422,309)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38,813</w:t>
            </w:r>
          </w:p>
        </w:tc>
        <w:tc>
          <w:tcPr>
            <w:tcW w:w="100" w:type="dxa"/>
            <w:vAlign w:val="bottom"/>
          </w:tcPr>
          <w:p>
            <w:pPr>
              <w:spacing w:after="0"/>
              <w:rPr>
                <w:sz w:val="19"/>
                <w:szCs w:val="19"/>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(681,077)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(2,733,240)</w:t>
            </w:r>
          </w:p>
        </w:tc>
        <w:tc>
          <w:tcPr>
            <w:tcW w:w="2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1,713,417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S-17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Credit Facility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SL Green and SL Green OP are parties to a credit facility that was originally entered into in November 2012 and subsequently amended in March 2014,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November 2014, January 2015, July 2015 and November 2017 (as amended, the "Credit Facility"). As of March 31, 2018, the Credit Facility consists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billion revolving credit facility (the "revolving credit facility"), a $1.3 billion term loan facility (the "Term Loan A"), and a $200.0 million term loan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Loan B", and together with Term Loan A, the "term loan facilities"). We also have an option, subject to customary conditions, to increase the capacity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Credit Facility to $4.5 billion at any time prior to the maturity dates for the revolving credit facility and term loans without the consent of the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by obtaining additional commitments from financial institutions, which may include one or more of the existing lenders. The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matures on March 31, 2022 with an as-of-right extension through March 31, 2023. Term Loan A and Term Loan B mature on March 31, 2023 and November 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2024, respectively.</w:t>
      </w:r>
    </w:p>
    <w:p>
      <w:pPr>
        <w:spacing w:after="0" w:line="219"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of March 31, 2018, the Credit Facility bore interest at a spread over 30-day LIBOR ranging from (i) 82.5 basis points to 155 basis points for loans under the revolving credit facility, (ii) 90 basis points to 175 basis points for loans under Term Loan A, and (iii) 150 basis points to 245 basis points for loans under Term Loan B, in each case based on the credit rating assigned to the senior unsecured long term indebtedness of SL Green. At March 31, 2018, the applicable spread was 100 basis points for revolving credit facility, 110 basis points for Term Loan A, and 165 basis points for Term Loan B. We are required to pay quarterly in arrears a 12.5 to 30 basis point facility fee on the total commitments under the revolving credit facility based on the credit rating assigned to the senior unsecured long term indebtedness of SL Green. As of March 31, 2018, the facility fee was 20 basis points.</w:t>
      </w:r>
    </w:p>
    <w:p>
      <w:pPr>
        <w:spacing w:after="0" w:line="174"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March 31, 2018, we had $11.8 million of outstanding letters of credit and zero drawn under the revolving credit facility and $1.5 billion outstanding under the term loan facilities, with total undrawn capacity of $1.5 billion under the Credit Facility.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SL Green and SL Green OP are borrowers jointly and severally obligated under the Credit Facility. ROP is a guarantor under the Credit Facility.</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terms of the Credit Facility include certain restrictions and covenants which limit, among other things, the ability to pay dividends, making certain types of investments, the incurrence of additional indebtedness, the incurrence of liens and the entry into negative pledge agreements and the disposition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As of March 31, 2018, we were in compliance with all covenants under the Credit Facility.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Reckson Operating Partnership, L.P., SL Green Realty Corp. and SL Green Operating Partnership, L.P.</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4.50% Senior Notes due 2022</w:t>
      </w:r>
    </w:p>
    <w:p>
      <w:pPr>
        <w:spacing w:after="0" w:line="231"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As of March 31, 2018, we had $304.9 million aggregate principal amount of our 4.50% senior unsecured notes due 2022 outstanding under the indenture, dated as of August 5, 2011, as amended by the first supplemental indenture, dated as of August 5, 2011, and the second supplemental indenture, dated as of November 15, 2012, each by and among SL Green, SL Green OP and ROP, as co-obligors, and The Bank of New York Mellon, as trustee (the "4.50% Senior Notes").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4.50% Senior Notes mature on December 1, 2022. The 4.50% Senior Notes bear interest at a rate of 4.50% per annum, computed on the basis of a 360-day year composed of twelve 30-day months and payable on June 1 and December 1 of each year.</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4.50% Senior Notes are the unsecured unsubordinated obligations of SL Green, SL Green OP and ROP and rank equally with each entity's existing and future unsubordinated indebtedness, including the notes. We have the option to redeem all or a part of the 4.50% Senior Notes, at any time or from time to time, at a redemption price equal to 100% of the principal amount of the 4.50% Senior Notes redeemed, plus a "make-whole" premium, and accrued and unpaid interest, if any, to the applicable redemption date.</w:t>
      </w:r>
    </w:p>
    <w:p>
      <w:pPr>
        <w:spacing w:after="0" w:line="197"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indenture governing the 4.50%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March 31, 2018, we were in compliance with all such covenants.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5.00% Senior Notes due 2018</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of March 31, 2018, we had $250.0 million aggregate principal amount of our 5.00% senior unsecured notes due 2018 outstanding under the indenture, dated as of August 5, 2011, as amended by the first supplemental indenture, dated as of August 5, 2011, each by and among SL Green, SL Green OP and ROP, as co-obligors, and The Bank of New York Mellon, as trustee (the "5.00% Senior Notes").</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5.00% Senior Notes mature on August 15, 2018. The 5.00% Senior Notes bear interest at a rate of 5.00% per annum, computed on the basis of a 360-day year composed of twelve 30-day months and payable on February 15 and August 15 of each year.</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5.00% Senior Notes are the unsecured unsubordinated obligations of ROP, SL Green and SL Green OP and rank equally with each entity's existing and future unsubordinated indebtedness, including the notes. We have the option to redeem all or a part of the 5.00% Senior Notes, at any time or from time to time, at a redemption price equal to 100% of the principal amount of the 5.00% Senior Notes redeemed, plus a "make-whole" premium, and accrued and unpaid interest, if any, to the applicable redemption date.</w:t>
      </w:r>
    </w:p>
    <w:p>
      <w:pPr>
        <w:spacing w:after="0" w:line="197"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indenture governing the 5.00%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March 31, 2018, we were in compliance with all such covenants.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this offering to repay all of the outstanding 5.00% Senior Notes. See "Use of Proceeds."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7.75% Senior Notes due 2020</w:t>
      </w:r>
    </w:p>
    <w:p>
      <w:pPr>
        <w:spacing w:after="0" w:line="231"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As of March 31, 2018, we had $250.0 million aggregate principal amount of our 7.75% senior unsecured notes due 2020 outstanding under the indenture, dated as of March 16, 2010, by and among SL Green, SL Green OP and ROP, as co-obligors, and The Bank of New York Mellon, as trustee (the "7.75% Senior Notes").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7.75% Senior Notes mature on March 15, 2020. The 7.75% Senior Notes bear interest at a rate of 7.75% per annum, computed on the basis of a 360-day year composed of twelve 30-day months and payable on March 15 and September 15 of each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7.75% Senior Notes are the unsecured unsubordinated obligations of ROP, SL Green and SL Green OP and rank equally with each entity's existing and future unsubordinated indebtedness, including the notes. We have the option to redeem all or a part of the 7.75% Senior Notes, at any time or from time to time, at a redemption price equal to 100% of the principal amount of the 7.75% Senior Notes redeemed, plus a "make-whole" premium, and accrued and unpaid interest, if any, to the applicable redemption date.</w:t>
      </w:r>
    </w:p>
    <w:p>
      <w:pPr>
        <w:spacing w:after="0" w:line="197"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indenture governing the 7.75%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March 31, 2018, we were in compliance with all such covenants.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4.27% Senior Notes due 2025</w:t>
      </w:r>
    </w:p>
    <w:p>
      <w:pPr>
        <w:spacing w:after="0" w:line="231" w:lineRule="exact"/>
        <w:rPr>
          <w:sz w:val="20"/>
          <w:szCs w:val="20"/>
          <w:color w:val="auto"/>
        </w:rPr>
      </w:pPr>
    </w:p>
    <w:p>
      <w:pPr>
        <w:jc w:val="both"/>
        <w:ind w:right="280" w:firstLine="341"/>
        <w:spacing w:after="0" w:line="306" w:lineRule="auto"/>
        <w:rPr>
          <w:sz w:val="20"/>
          <w:szCs w:val="20"/>
          <w:color w:val="auto"/>
        </w:rPr>
      </w:pPr>
      <w:r>
        <w:rPr>
          <w:rFonts w:ascii="Arial" w:cs="Arial" w:eastAsia="Arial" w:hAnsi="Arial"/>
          <w:sz w:val="16"/>
          <w:szCs w:val="16"/>
          <w:color w:val="auto"/>
        </w:rPr>
        <w:t>As of March 31, 2018, we had $100.0 million aggregate principal amount of our 4.27% senior unsecured notes due 2025 outstanding (the "4.27% Senior Notes"). The 4.27% Senior Notes were issued to certain institutional investors on a private placement basis on December 17, 2015 pursuant to a note purchase agreement by and among ROP, SL Green and SL Green OP, as co-obligors, and such institutional investors, dated as of November 10, 2015.</w:t>
      </w:r>
    </w:p>
    <w:p>
      <w:pPr>
        <w:spacing w:after="0" w:line="16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4.27% Senior Notes mature on December 17, 2025. The 4.27% Senior Notes bear interest at a rate of 4.27% per annum, computed on the basis of a 360-day year composed of twelve 30-day months and payable on June 17 and December 17 of each year.</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4.27% Senior Notes are the unsecured unsubordinated obligations of ROP, SL Green and SL Green OP and rank equally with each entity's existing and future unsubordinated indebtedness, including the notes. We have the option to redeem all or a part of the 4.27% Senior Notes, at any time or from time to time, at a redemption price equal to 100% of the principal amount of the 4.27% Senior Notes redeemed, plus a "make-whole" premium, and accrued and unpaid interest, if any, to the applicable redemption date.</w:t>
      </w:r>
    </w:p>
    <w:p>
      <w:pPr>
        <w:spacing w:after="0" w:line="197"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purchase agreement relating to the 4.27% Senior Notes contains covenants that, among other things, restrict the ability of ROP and its subsidiaries' to incur additional indebtedness and encumber assets. These covenants are subject to a number of important limitations and exceptions. SL Green and SL Green OP are not subject to such restrictions. As of March 31, 2018, we were in compliance with all such covenants.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 Green Operating Partnership, L.P.</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3.250% Senior Notes due 2022</w:t>
      </w:r>
    </w:p>
    <w:p>
      <w:pPr>
        <w:spacing w:after="0" w:line="231"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As of March 31, 2018, SL Green OP had $499.5 million aggregate principal amount of its 3.250% Senior Notes due 2022 outstanding, under the indenture, dated as of October 5, 2017 (the "base indenture"), by and between SL Green OP and The Bank of New York Mellon, as trustee, as amended by the first supplemental indenture thereto, dated October 5, 2017, by and among SL Green OP, as issuer, SL Green and ROP, as guarantors, and the trustee (the "3.250% Senior Notes"). The notes offered hereby will also be issued under the base indenture, as supplemented by a second supplemental indenture.</w:t>
      </w:r>
    </w:p>
    <w:p>
      <w:pPr>
        <w:spacing w:after="0" w:line="167"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3.250% Senior Notes mature on October 15, 2022. The 3.250% Senior Notes bear interest at a rate of 3.250% per annum, computed on the basis of a 360-day year composed of twelve 30-day months and payable on April 15 and October 15 of each year, beginning on April 15, 2018.</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305" w:lineRule="auto"/>
        <w:rPr>
          <w:sz w:val="20"/>
          <w:szCs w:val="20"/>
          <w:color w:val="auto"/>
        </w:rPr>
      </w:pPr>
      <w:r>
        <w:rPr>
          <w:rFonts w:ascii="Arial" w:cs="Arial" w:eastAsia="Arial" w:hAnsi="Arial"/>
          <w:sz w:val="15"/>
          <w:szCs w:val="15"/>
          <w:color w:val="auto"/>
        </w:rPr>
        <w:t>The 3.250% Senior Notes and the related guarantees are the unsecured unsubordinated obligations of SL Green OP and SL Green and ROP, respectively, and rank equally with such entities' existing and future unsubordinated indebtedness, including the notes. SL Green OP has the option to redeem all or a part of the</w:t>
      </w:r>
    </w:p>
    <w:p>
      <w:pPr>
        <w:ind w:right="20"/>
        <w:spacing w:after="0" w:line="261" w:lineRule="auto"/>
        <w:rPr>
          <w:sz w:val="20"/>
          <w:szCs w:val="20"/>
          <w:color w:val="auto"/>
        </w:rPr>
      </w:pPr>
      <w:r>
        <w:rPr>
          <w:rFonts w:ascii="Arial" w:cs="Arial" w:eastAsia="Arial" w:hAnsi="Arial"/>
          <w:sz w:val="18"/>
          <w:szCs w:val="18"/>
          <w:color w:val="auto"/>
        </w:rPr>
        <w:t>3.250% Senior Notes, at any time or from time to time, at a redemption price equal to 100% of the principal amount of the 3.250% Senior Notes redeemed, plus a "make-whole" premium, and accrued and unpaid interest, if any, to the applicable redemption date.</w:t>
      </w:r>
    </w:p>
    <w:p>
      <w:pPr>
        <w:spacing w:after="0" w:line="192"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indenture governing the 3.250% Senior Notes contains covenants that, among other things, limit SL Green OP and its subsidiaries' (including ROP's) ability to incur additional indebtedness and encumber assets. The Indenture contains no limitation on the incurrence of indebtedness by SL Green. These covenants are subject to a number of important limitations and exceptions. As of March 31, 2018, we were in compliance with all such covenants.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Junior Subordinated Deferrable Interest Debentures due 2035</w:t>
      </w:r>
    </w:p>
    <w:p>
      <w:pPr>
        <w:spacing w:after="0" w:line="23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of March 31, 2018, SL Green OP had $100.0 million aggregate principal amount of its junior subordinated deferrable interest debentures due 2035 (the "Junior Subordinated Debentures") outstanding. The Junior Subordinated Debentures mature in July 2035. The Junior Subordinated Debentures bear interest at a fixed rate of 5.61% for the period from June 2005 to July 2015 and thereafter, the interest rate will float at three month LIBOR plus 1.25%. The Junior Subordinated Debentures are redeemable, at the option of SL Green OP, in whole or in part, with no prepayment premium any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Financing</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of December 31, 2017, our total mortgage debt (excluding our share of joint venture mortgage debt of approximately $4.2 billion) consisted of approximately $2.4 billion of fixed rate debt, including swapped variable rate debt, with an effective weighted average interest rate of approximately 4.78% and $0.5 billion of variable rate debt with an effective weighted average interest rate of approximately 3.28%.</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notes will be issued under the indenture, dated as of October 5, 2017 (the "base indenture"), entered into between SL Green OP and The Bank of New York Mellon, as trustee (the "Trustee"), as supplemented by a second supplemental indenture to be entered into by SL Green OP, as issuer, SL Green and ROP, as guarantors, and the Trustee (the "second supplemental indenture," and together with the base indenture, the "Indenture"). The following is a summary of the material provisions of the Indenture. It does not include all of the provisions of the Indenture. We urge you to read the Indenture because it defines your rights. The terms of the notes include those stated in the Indenture and those made part of the Indenture by reference to the Trust Indenture Act of 1939 (the "Trust Indenture Act"). The base indenture was filed as Exhibit 4.1 to the Current Report on Form 8-K filed by SL Green, SL Green OP and ROP on October 5, 2017. The second supplemental indenture setting forth the terms of the notes will be filed as an exhibit to a Current Report on Form 8-K to be filed by SL Green, SL Green OP and ROP with the SEC within four business days of the closing of this offering. You can find definitions of certain capitalized terms relating to the notes as used in the Indenture in this section.</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description of the terms of the notes offered by this prospectus supplement supplements the description of the general terms and provisions of the notes set forth in the accompanying prospectus. You should carefully read this prospectus supplement and the accompanying prospectus to understand fully the terms of the notes. All of the information set forth below is qualified in its entirety by the explanation set forth in the accompanying prospectus, which describes certain general terms and provisions of the debt securities that may be issued under the Indenture from time to time. In the event of any inconsistency between the terms of the notes contained in this prospectus supplement and in the section entitled "Description of Debt Securities" beginning on page 24 of the accompanying prospectus, the terms contained in this prospectus supplement will control with respect to the notes.</w:t>
      </w:r>
    </w:p>
    <w:p>
      <w:pPr>
        <w:spacing w:after="0" w:line="174" w:lineRule="exact"/>
        <w:rPr>
          <w:sz w:val="20"/>
          <w:szCs w:val="20"/>
          <w:color w:val="auto"/>
        </w:rPr>
      </w:pPr>
    </w:p>
    <w:p>
      <w:pPr>
        <w:ind w:right="40" w:firstLine="341"/>
        <w:spacing w:after="0" w:line="335" w:lineRule="auto"/>
        <w:rPr>
          <w:sz w:val="20"/>
          <w:szCs w:val="20"/>
          <w:color w:val="auto"/>
        </w:rPr>
      </w:pPr>
      <w:r>
        <w:rPr>
          <w:rFonts w:ascii="Arial" w:cs="Arial" w:eastAsia="Arial" w:hAnsi="Arial"/>
          <w:sz w:val="15"/>
          <w:szCs w:val="15"/>
          <w:color w:val="auto"/>
        </w:rPr>
        <w:t>As used in this section, references to the Operating Partnership and SL Green OP, refer only to SL Green Operating Partnership, L.P. and not any of its subsidiaries, references to "we" and "us" refer to SL Green, SL Green OP and ROP and references to the "guarantors" refer to SL Green and ROP and not any of their respective subsidiaries. Capitalized terms not otherwise defined herein shall have the meanings given to them in the notes or the Indenture, as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be direct, unsecured senior obligations of SL Green OP;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be guaranteed by SL Green and ROP (each a "guarantor");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rank equally with all of the existing and future unsecured senior indebtedness of the issuer and the guarantors;</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 be effectively junior to mortgages and other secured indebtedness of the issuer and the guarantors (to the extent of the collateral securing the same) and structurally subordinated to all liabilities, whether secured or unsecured, and preferred interests of the subsidiaries of SL Green, SL Green OP and ROP (other than SL Green OP and ROP).</w:t>
      </w:r>
    </w:p>
    <w:p>
      <w:pPr>
        <w:spacing w:after="0" w:line="194"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As of March 31, 2018, SL Green OP and its consolidated subsidiaries had outstanding approximately $3.0 billion of unsecured senior indebtedness and approximately $2.5 billion of secured indebtedness (including SL Green OP's share of consolidated joint venture secured indebtedness of approximately $0.1 billion).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20" w:firstLine="341"/>
        <w:spacing w:after="0" w:line="268" w:lineRule="auto"/>
        <w:rPr>
          <w:sz w:val="20"/>
          <w:szCs w:val="20"/>
          <w:color w:val="auto"/>
        </w:rPr>
      </w:pPr>
      <w:r>
        <w:rPr>
          <w:rFonts w:ascii="Arial" w:cs="Arial" w:eastAsia="Arial" w:hAnsi="Arial"/>
          <w:sz w:val="18"/>
          <w:szCs w:val="18"/>
          <w:color w:val="auto"/>
        </w:rPr>
        <w:t>As of March 31, 2018, ROP and its consolidated subsidiaries had outstanding approximately $0.9 billion of unsecured senior indebtedness and approximately $0.4 billion of secured indebtedness.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SL Green OP and its subsidiaries may incur additional indebtedness, including secured indebtedness, subject to the provisions described in this prospectus supplement under "—Certain Covenants—Limitations on Incurrence of Debt." Neither SL Green nor SL Green OP's unconsolidated joint ventures are subject to those limitations.</w:t>
      </w:r>
    </w:p>
    <w:p>
      <w:pPr>
        <w:sectPr>
          <w:pgSz w:w="11900" w:h="16838" w:orient="portrait"/>
          <w:cols w:equalWidth="0" w:num="1">
            <w:col w:w="11400"/>
          </w:cols>
          <w:pgMar w:left="240" w:top="131" w:right="25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notes will initially be limited to the aggregate principal amount of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million and will mature 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 2021, unless we exercise our</w:t>
      </w:r>
    </w:p>
    <w:p>
      <w:pPr>
        <w:spacing w:after="0" w:line="49" w:lineRule="exact"/>
        <w:rPr>
          <w:sz w:val="20"/>
          <w:szCs w:val="20"/>
          <w:color w:val="auto"/>
        </w:rPr>
      </w:pPr>
    </w:p>
    <w:p>
      <w:pPr>
        <w:sectPr>
          <w:pgSz w:w="11900" w:h="16838" w:orient="portrait"/>
          <w:cols w:equalWidth="0" w:num="3">
            <w:col w:w="5420" w:space="580"/>
            <w:col w:w="2200" w:space="720"/>
            <w:col w:w="2480"/>
          </w:cols>
          <w:pgMar w:left="240" w:top="131" w:right="259" w:bottom="1440" w:gutter="0" w:footer="0" w:header="0"/>
          <w:type w:val="continuous"/>
        </w:sectPr>
      </w:pPr>
    </w:p>
    <w:p>
      <w:pPr>
        <w:spacing w:after="0"/>
        <w:rPr>
          <w:sz w:val="20"/>
          <w:szCs w:val="20"/>
          <w:color w:val="auto"/>
        </w:rPr>
      </w:pPr>
      <w:r>
        <w:rPr>
          <w:rFonts w:ascii="Arial" w:cs="Arial" w:eastAsia="Arial" w:hAnsi="Arial"/>
          <w:sz w:val="15"/>
          <w:szCs w:val="15"/>
          <w:color w:val="auto"/>
        </w:rPr>
        <w:t>option to redeem the notes prior to that date.</w:t>
      </w:r>
    </w:p>
    <w:p>
      <w:pPr>
        <w:sectPr>
          <w:pgSz w:w="11900" w:h="16838" w:orient="portrait"/>
          <w:cols w:equalWidth="0" w:num="1">
            <w:col w:w="11400"/>
          </w:cols>
          <w:pgMar w:left="240" w:top="131" w:right="259" w:bottom="1440" w:gutter="0" w:footer="0" w:header="0"/>
          <w:type w:val="continuous"/>
        </w:sectPr>
      </w:pPr>
    </w:p>
    <w:p>
      <w:pPr>
        <w:spacing w:after="0" w:line="253"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without the consent of the holders of the notes, issue additional notes of the same or a different series from time to time in the future in an unlimited aggregate principal amount; provided, that if any such additional notes are not fungible with the notes offered hereby (or any other tranche of additional notes) for U.S. federal income tax purposes, then such additional notes will have different CUSIP numbers than the notes offered hereby (and any such other tranche of additional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Guarantees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of SL Green and ROP will guarantee SL Green OP's obligations under the notes, including the due and punctual payment of principal of and premium, if any, and interest on the notes, whether at stated maturity, upon acceleration, upon redemption or otherwise. The guarantees of the notes will be a senior unsecured obligation of SL Green and ROP, respectively, and will rank equally in right of payment with all other existing and future senior unsecured indebtedness and guarantees of SL Green and ROP, respectively. The guarantees of the notes will be effectively junior to mortgages and other secured indebtedness of SL Green and ROP (to the extent of the collateral securing the same) and structurally subordinated to all liabilities, whether secured or unsecured, and preferred interests of the subsidiaries of SL Green and ROP (or than SL Green OP and ROP). See "Risk Factors—Risks Related to the Offering of the Notes —Federal and state statutes allow courts, under specific circumstances, to void guarantees and require holders of notes to return payments received from a guarantor."</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ROP's guarantee will be released:</w:t>
      </w:r>
    </w:p>
    <w:p>
      <w:pPr>
        <w:spacing w:after="0" w:line="225" w:lineRule="exact"/>
        <w:rPr>
          <w:sz w:val="20"/>
          <w:szCs w:val="20"/>
          <w:color w:val="auto"/>
        </w:rPr>
      </w:pPr>
    </w:p>
    <w:p>
      <w:pPr>
        <w:ind w:left="540" w:right="280" w:firstLine="359"/>
        <w:spacing w:after="0" w:line="259" w:lineRule="auto"/>
        <w:tabs>
          <w:tab w:leader="none" w:pos="12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ROP's assets (including by way of merger or consolidation) to an entity that is not (either before or after giving effort to such transaction) SL Green, SL Green OP or one of their subsidiaries, if the sale or other disposition does not violate the "Merger, Consolidation or Sale" provisions of the Indenture;</w:t>
      </w:r>
    </w:p>
    <w:p>
      <w:pPr>
        <w:spacing w:after="0" w:line="194" w:lineRule="exact"/>
        <w:rPr>
          <w:rFonts w:ascii="Arial" w:cs="Arial" w:eastAsia="Arial" w:hAnsi="Arial"/>
          <w:sz w:val="18"/>
          <w:szCs w:val="18"/>
          <w:color w:val="auto"/>
        </w:rPr>
      </w:pPr>
    </w:p>
    <w:p>
      <w:pPr>
        <w:ind w:left="540" w:right="80" w:firstLine="359"/>
        <w:spacing w:after="0" w:line="259" w:lineRule="auto"/>
        <w:tabs>
          <w:tab w:leader="none" w:pos="12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the capital stock of ROP to a Person that is not (either before or after giving effect to such transition) SL Green, SL Green OP or one of their subsidiaries, if the sale or other disposition does not violate the "Merger, Consolidation or Sale" provisions of the Indenture;</w:t>
      </w:r>
    </w:p>
    <w:p>
      <w:pPr>
        <w:spacing w:after="0" w:line="194"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Indenture as provided below under the caption "—Discharge, Defeasance and Covenant Defeasance"; or</w:t>
      </w:r>
    </w:p>
    <w:p>
      <w:pPr>
        <w:spacing w:after="0" w:line="185" w:lineRule="exact"/>
        <w:rPr>
          <w:rFonts w:ascii="Arial" w:cs="Arial" w:eastAsia="Arial" w:hAnsi="Arial"/>
          <w:sz w:val="18"/>
          <w:szCs w:val="18"/>
          <w:color w:val="auto"/>
        </w:rPr>
      </w:pPr>
    </w:p>
    <w:p>
      <w:pPr>
        <w:ind w:left="540" w:right="260" w:firstLine="359"/>
        <w:spacing w:after="0" w:line="268" w:lineRule="auto"/>
        <w:tabs>
          <w:tab w:leader="none" w:pos="12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contemporaneous release of ROP's obligations under the Credit Facility and all other indebtedness for borrowed money of ROP, SL Green or SL Green OP.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"—Merger, Consolidation or Sale—ROP."</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SL Green's guarantee will be released upon defeasance or satisfaction and discharge of the Indenture as provided below under the caption "—Discharge, Defeasance and Covenant Defeasance."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does not limit SL Green's ability to incur additional indebtedness, including secured indebtedness. In addition, SL Green OP and its subsidiaries may incur additional indebtedness, including secured indebtedness, subject to the provisions described in this prospectus supplement applicable to the Operating Partnership and its subsidiaries under "—Certain Covenants—Limitations on Incurrence of Debt." SL Green OP's unconsolidated joint ventures are not subject to those limitations.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Interest</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notes will bear interest at a floating rate of interest payable in U.S. dollars, reset quarterly, equal to three-month LIBOR as determined on the applicable Interest Determination Date plus %, as described in greater detail below.</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per annum interest rate on the notes for the period from the original issue date to but not including the first Interest Payment Date, which will</w:t>
      </w:r>
    </w:p>
    <w:p>
      <w:pPr>
        <w:spacing w:after="0" w:line="38" w:lineRule="exact"/>
        <w:rPr>
          <w:sz w:val="20"/>
          <w:szCs w:val="20"/>
          <w:color w:val="auto"/>
        </w:rPr>
      </w:pPr>
    </w:p>
    <w:p>
      <w:pPr>
        <w:spacing w:after="0"/>
        <w:tabs>
          <w:tab w:leader="none" w:pos="1200" w:val="left"/>
          <w:tab w:leader="none" w:pos="5560" w:val="left"/>
        </w:tabs>
        <w:rPr>
          <w:sz w:val="20"/>
          <w:szCs w:val="20"/>
          <w:color w:val="auto"/>
        </w:rPr>
      </w:pPr>
      <w:r>
        <w:rPr>
          <w:rFonts w:ascii="Arial" w:cs="Arial" w:eastAsia="Arial" w:hAnsi="Arial"/>
          <w:sz w:val="18"/>
          <w:szCs w:val="18"/>
          <w:color w:val="auto"/>
        </w:rPr>
        <w:t>be</w:t>
      </w:r>
      <w:r>
        <w:rPr>
          <w:sz w:val="20"/>
          <w:szCs w:val="20"/>
          <w:color w:val="auto"/>
        </w:rPr>
        <w:tab/>
      </w:r>
      <w:r>
        <w:rPr>
          <w:rFonts w:ascii="Arial" w:cs="Arial" w:eastAsia="Arial" w:hAnsi="Arial"/>
          <w:sz w:val="18"/>
          <w:szCs w:val="18"/>
          <w:color w:val="auto"/>
        </w:rPr>
        <w:t>, 2018, will be equal to three-month LIBOR on</w:t>
      </w:r>
      <w:r>
        <w:rPr>
          <w:sz w:val="20"/>
          <w:szCs w:val="20"/>
          <w:color w:val="auto"/>
        </w:rPr>
        <w:tab/>
      </w:r>
      <w:r>
        <w:rPr>
          <w:rFonts w:ascii="Arial" w:cs="Arial" w:eastAsia="Arial" w:hAnsi="Arial"/>
          <w:sz w:val="15"/>
          <w:szCs w:val="15"/>
          <w:color w:val="auto"/>
        </w:rPr>
        <w:t>, 2018 (expected to be the second London Business Day preceding the original</w:t>
      </w:r>
    </w:p>
    <w:p>
      <w:pPr>
        <w:spacing w:after="0" w:line="9"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issue date), plus</w:t>
      </w:r>
      <w:r>
        <w:rPr>
          <w:sz w:val="20"/>
          <w:szCs w:val="20"/>
          <w:color w:val="auto"/>
        </w:rPr>
        <w:tab/>
      </w:r>
      <w:r>
        <w:rPr>
          <w:rFonts w:ascii="Arial" w:cs="Arial" w:eastAsia="Arial" w:hAnsi="Arial"/>
          <w:sz w:val="15"/>
          <w:szCs w:val="15"/>
          <w:color w:val="auto"/>
        </w:rPr>
        <w:t>basis points (the "Initial Interest Rate"). Following the initial Interest Period, the per annum interest rate on the notes for each subsequent</w:t>
      </w:r>
    </w:p>
    <w:p>
      <w:pPr>
        <w:spacing w:after="0" w:line="9" w:lineRule="exact"/>
        <w:rPr>
          <w:sz w:val="20"/>
          <w:szCs w:val="20"/>
          <w:color w:val="auto"/>
        </w:rPr>
      </w:pPr>
    </w:p>
    <w:p>
      <w:pPr>
        <w:spacing w:after="0"/>
        <w:tabs>
          <w:tab w:leader="none" w:pos="8560" w:val="left"/>
        </w:tabs>
        <w:rPr>
          <w:sz w:val="20"/>
          <w:szCs w:val="20"/>
          <w:color w:val="auto"/>
        </w:rPr>
      </w:pPr>
      <w:r>
        <w:rPr>
          <w:rFonts w:ascii="Arial" w:cs="Arial" w:eastAsia="Arial" w:hAnsi="Arial"/>
          <w:sz w:val="18"/>
          <w:szCs w:val="18"/>
          <w:color w:val="auto"/>
        </w:rPr>
        <w:t>Interest Period will be equal to three-month LIBOR as determined on the related Interest Determination Date, plus</w:t>
      </w:r>
      <w:r>
        <w:rPr>
          <w:sz w:val="20"/>
          <w:szCs w:val="20"/>
          <w:color w:val="auto"/>
        </w:rPr>
        <w:tab/>
      </w:r>
      <w:r>
        <w:rPr>
          <w:rFonts w:ascii="Arial" w:cs="Arial" w:eastAsia="Arial" w:hAnsi="Arial"/>
          <w:sz w:val="15"/>
          <w:szCs w:val="15"/>
          <w:color w:val="auto"/>
        </w:rPr>
        <w:t>basis points. The interest rate applicable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any day in a given Interest Period will be either the Initial Interest Rate or the interest rate as reset on the immediately preceding Interest Payment Date.</w:t>
      </w:r>
    </w:p>
    <w:p>
      <w:pPr>
        <w:spacing w:after="0" w:line="242" w:lineRule="exact"/>
        <w:rPr>
          <w:sz w:val="20"/>
          <w:szCs w:val="20"/>
          <w:color w:val="auto"/>
        </w:rPr>
      </w:pPr>
    </w:p>
    <w:p>
      <w:pPr>
        <w:ind w:left="360"/>
        <w:spacing w:after="0"/>
        <w:tabs>
          <w:tab w:leader="none" w:pos="4020" w:val="left"/>
          <w:tab w:leader="none" w:pos="7780" w:val="left"/>
          <w:tab w:leader="none" w:pos="8700" w:val="left"/>
          <w:tab w:leader="none" w:pos="9680" w:val="left"/>
          <w:tab w:leader="none" w:pos="10800" w:val="left"/>
        </w:tabs>
        <w:rPr>
          <w:sz w:val="20"/>
          <w:szCs w:val="20"/>
          <w:color w:val="auto"/>
        </w:rPr>
      </w:pPr>
      <w:r>
        <w:rPr>
          <w:rFonts w:ascii="Arial" w:cs="Arial" w:eastAsia="Arial" w:hAnsi="Arial"/>
          <w:sz w:val="18"/>
          <w:szCs w:val="18"/>
          <w:color w:val="auto"/>
        </w:rPr>
        <w:t>Interest on the notes will accrue from</w:t>
      </w:r>
      <w:r>
        <w:rPr>
          <w:sz w:val="20"/>
          <w:szCs w:val="20"/>
          <w:color w:val="auto"/>
        </w:rPr>
        <w:tab/>
      </w:r>
      <w:r>
        <w:rPr>
          <w:rFonts w:ascii="Arial" w:cs="Arial" w:eastAsia="Arial" w:hAnsi="Arial"/>
          <w:sz w:val="18"/>
          <w:szCs w:val="18"/>
          <w:color w:val="auto"/>
        </w:rPr>
        <w:t>, 2018 and be paid quarterly in arrears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of each</w:t>
      </w:r>
    </w:p>
    <w:p>
      <w:pPr>
        <w:spacing w:after="0" w:line="15" w:lineRule="exact"/>
        <w:rPr>
          <w:sz w:val="20"/>
          <w:szCs w:val="20"/>
          <w:color w:val="auto"/>
        </w:rPr>
      </w:pPr>
    </w:p>
    <w:p>
      <w:pPr>
        <w:spacing w:after="0"/>
        <w:tabs>
          <w:tab w:leader="none" w:pos="9020" w:val="left"/>
          <w:tab w:leader="none" w:pos="9980" w:val="left"/>
        </w:tabs>
        <w:rPr>
          <w:sz w:val="20"/>
          <w:szCs w:val="20"/>
          <w:color w:val="auto"/>
        </w:rPr>
      </w:pPr>
      <w:r>
        <w:rPr>
          <w:rFonts w:ascii="Arial" w:cs="Arial" w:eastAsia="Arial" w:hAnsi="Arial"/>
          <w:sz w:val="16"/>
          <w:szCs w:val="16"/>
          <w:color w:val="auto"/>
        </w:rPr>
        <w:t>year (each an "Interest Payment Date") to the holder in whose name the note is registered at the close of business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(whether or not a business day in The City of New York) immediately preceding the applicable Interest Payment Date. The amount of</w:t>
      </w:r>
    </w:p>
    <w:p>
      <w:pPr>
        <w:spacing w:after="0" w:line="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interest for each day that the notes are outstanding (the "Daily Interest Amount") will be calculated by dividing the interest rate in effect for such day by 360 and multiplying the result by the principal amount of notes outstanding on such day. The amount of interest to be paid on the notes for each Interest Period will be calculated by adding such Daily Interest Amounts for each day in such Interest Period.</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any Interest Payment Date, other than the maturity date or redemption date of the notes, falls on a day that is not a Business Day, the Interest Payment Date will be postponed to the next succeeding Business Day, except that if the Business Day is in the next succeeding calendar month, the Interest Payment Date will be the immediately preceding Business Day. If any such Interest Payment Date is postponed or brought forward, the amount of interest for the relevant Interest Period will be adjusted accordingly. If any maturity date or redemption date with respect to the notes falls on a day that is not a Business Day, the required payment of principal, premium, if any, and/or interest will be made on the next succeeding Business Day as if made on the date on which such payment is due, and no interest will accrue on such payment for the period from and after such maturity date or redemption date, as the case may be, to the date of such payment on the next succeeding Business Day.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definitions of certain terms used in this section are listed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"Business Day" means any day that is not a Saturday or Sunday and that is not a day on which banks in New York City are authorized or obligated by law or regulation to close.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Determination Date" means, with respect to an Interest Reset Date, the second London Business Day preceding such Interest Reset Date.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Reset Date" means for each Interest Period, other than the first Interest Period, the first day of such Interest Period.</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"Interest Period" means each period from and including an Interest Payment Date to but excluding the next succeeding Interest Payment Date, except that the Interest Period for the initial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94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44"/>
        </w:trPr>
        <w:tc>
          <w:tcPr>
            <w:tcW w:w="10660" w:type="dxa"/>
            <w:vAlign w:val="bottom"/>
            <w:gridSpan w:val="2"/>
          </w:tcPr>
          <w:p>
            <w:pPr>
              <w:spacing w:after="0"/>
              <w:rPr>
                <w:sz w:val="20"/>
                <w:szCs w:val="20"/>
                <w:color w:val="auto"/>
              </w:rPr>
            </w:pPr>
            <w:r>
              <w:rPr>
                <w:rFonts w:ascii="Arial" w:cs="Arial" w:eastAsia="Arial" w:hAnsi="Arial"/>
                <w:sz w:val="18"/>
                <w:szCs w:val="18"/>
                <w:color w:val="auto"/>
                <w:w w:val="93"/>
              </w:rPr>
              <w:t>Interest Period will be the period from and including the original issue date of the notes to but excluding the Interest Payment Date occurring on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2018.</w:t>
            </w:r>
          </w:p>
        </w:tc>
        <w:tc>
          <w:tcPr>
            <w:tcW w:w="94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10660" w:type="dxa"/>
            <w:vAlign w:val="bottom"/>
            <w:gridSpan w:val="2"/>
          </w:tcPr>
          <w:p>
            <w:pPr>
              <w:ind w:left="360"/>
              <w:spacing w:after="0"/>
              <w:rPr>
                <w:sz w:val="20"/>
                <w:szCs w:val="20"/>
                <w:color w:val="auto"/>
              </w:rPr>
            </w:pPr>
            <w:r>
              <w:rPr>
                <w:rFonts w:ascii="Arial" w:cs="Arial" w:eastAsia="Arial" w:hAnsi="Arial"/>
                <w:sz w:val="18"/>
                <w:szCs w:val="18"/>
                <w:color w:val="auto"/>
                <w:w w:val="97"/>
              </w:rPr>
              <w:t>"London Business Day" means any day on which dealings in deposits in U.S. dollars are transacted in the London interbank market.</w:t>
            </w:r>
          </w:p>
        </w:tc>
        <w:tc>
          <w:tcPr>
            <w:tcW w:w="560" w:type="dxa"/>
            <w:vAlign w:val="bottom"/>
          </w:tcPr>
          <w:p>
            <w:pPr>
              <w:spacing w:after="0"/>
              <w:rPr>
                <w:sz w:val="24"/>
                <w:szCs w:val="24"/>
                <w:color w:val="auto"/>
              </w:rPr>
            </w:pPr>
          </w:p>
        </w:tc>
      </w:tr>
    </w:tbl>
    <w:p>
      <w:pPr>
        <w:spacing w:after="0" w:line="21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"three-month LIBOR" means for any Interest Period, the London interbank offered rate per annum determined by the calculation agent on the related Interest Determination Date, in accordance with the following provisions:</w:t>
      </w:r>
    </w:p>
    <w:p>
      <w:pPr>
        <w:spacing w:after="0" w:line="186" w:lineRule="exact"/>
        <w:rPr>
          <w:sz w:val="20"/>
          <w:szCs w:val="20"/>
          <w:color w:val="auto"/>
        </w:rPr>
      </w:pPr>
    </w:p>
    <w:p>
      <w:pPr>
        <w:ind w:left="540" w:right="40" w:firstLine="535"/>
        <w:spacing w:after="0" w:line="254" w:lineRule="auto"/>
        <w:tabs>
          <w:tab w:leader="none" w:pos="12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three-month LIBOR will be the rate (expressed as a percentage per annum) for deposits in U.S. dollars having a maturity of three months which appears on (x) the Reuters LIBOR01 Page (or such other page as may replace page LIBOR01 on that service for the purpose of displaying London interbank offered rates) as of 11:00 a.m., London time, on the relevant Interest Determination Date, or (y) Bloomberg, L.P.'s page "BBAM" at such time on such Interest Determination Date. If no such rate appears on either Reuters LIBOR01 Page or BBAM or if Reuters LIBOR01 Page or BBAM are not available on such date, then three-month LIBOR, with respect to that Interest Determination Date, will be determined in accordance with the provisions described in clauses (ii) and (iii) below.</w:t>
      </w:r>
    </w:p>
    <w:p>
      <w:pPr>
        <w:spacing w:after="0" w:line="198" w:lineRule="exact"/>
        <w:rPr>
          <w:rFonts w:ascii="Arial" w:cs="Arial" w:eastAsia="Arial" w:hAnsi="Arial"/>
          <w:sz w:val="18"/>
          <w:szCs w:val="18"/>
          <w:color w:val="auto"/>
        </w:rPr>
      </w:pPr>
    </w:p>
    <w:p>
      <w:pPr>
        <w:ind w:left="540" w:right="60" w:firstLine="491"/>
        <w:spacing w:after="0" w:line="285" w:lineRule="auto"/>
        <w:tabs>
          <w:tab w:leader="none" w:pos="12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on any such Interest Determination Date, no rate appears or if any such page or service shall cease to be available, as specified in clause (i) above, unless clause (iii) below applies, we will request the principal London offices of four major reference banks (which may include any underwriters, agents or their affiliates) in the London interbank market, as selected by us, to provide their respective offered quotation (expressed as a percentage per annum) for deposits in U.S. dollars having a maturity of three months commencing on the second London Business Day immediately following such Interest Determination Date to prime banks in the London interbank market at approximately 11:00 a.m., London time, on such Interest Determination Date and in a principal amount that is representative for a single transaction in U.S. dollars in that market at that time. If at least two such quotations are provided, three-month LIBOR on that Interest Determination Date will be the arithmetic mean of such quotations. If fewer than two quotations are provided, then three-month LIBOR on that Interest Determination Date will be the arithmetic mean of the rates (expressed as a percentage per annum) quoted at approximately 11:00 a.m., in the City of New York, on that Interest Determination Date by three major reference banks (which may include any underwriters, agents or their affiliates) in the City of New York, as selected by us, for loans made in U.S. dollars to leading European banks having a maturity of three months commencing on the second London Business Day immediately following such Interest Determination Date and in a principal amount that is representative for a single transaction in U.S. dollars in that market at that time. If fewer than three major reference banks in the City of New York so selected by us are quoting such rates as mentioned in the preceding sentence, three-month LIBOR with respect to such Interest Determination Date will be the same as three-month LIBOR in effect for the immediately preceding Interest Period (or, if there was no preceding Interest Period, the rate of interest will be the Initial Interest Rate).</w:t>
      </w:r>
    </w:p>
    <w:p>
      <w:pPr>
        <w:spacing w:after="0" w:line="180" w:lineRule="exact"/>
        <w:rPr>
          <w:rFonts w:ascii="Arial" w:cs="Arial" w:eastAsia="Arial" w:hAnsi="Arial"/>
          <w:sz w:val="16"/>
          <w:szCs w:val="16"/>
          <w:color w:val="auto"/>
        </w:rPr>
      </w:pPr>
    </w:p>
    <w:p>
      <w:pPr>
        <w:ind w:left="540" w:firstLine="447"/>
        <w:spacing w:after="0" w:line="290" w:lineRule="auto"/>
        <w:tabs>
          <w:tab w:leader="none" w:pos="12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Notwithstanding clause (ii) above, if we determine that three-month LIBOR has been permanently discontinued, or the reference to three-month LIBOR becomes illegal, or most other debt obligations similar to the notes have converted away from three-month LIBOR to a new reference rate, the calculation agent will use, as directed by us, as a substitute for three-month LIBOR and for each future interest determination date, the alternative reference rate (the "Alternative Rate") selected by the central bank, reserve bank, monetary authority or any similar institution (including any committee or working group thereof) that is consistent with accepted market practice. As part of such substitution, the calculation agent will, as directed by us, make such adjustments ("Adjustments") to the Alternative Rate and the spread thereon to account for the basis between three-month LIBOR and the Alternative Rate, as well as the business day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convention, interest determination dates and related provisions and definitions, in each case that are consistent with accepted market practice for the use of such Alternative Rate for debt obligations such as the notes. If we determine that there is no clear market consensus as to whether any rate has replaced three-month LIBOR in customary market usage, (i) The Bank of New York Mellon shall have the right to resign as calculation agent in respect of the notes and (ii) we will appoint, in our sole discretion, a new calculation agent, to replace The Bank of New York Mellon, solely in its role as calculation agent in respect of the notes, to determine the Alternative Rate and make any Adjustments thereon, and whose determinations will be binding on us, the trustee and the holders; provided however that if we determine there is no clear market consensus as to whether any rate has replaced LIBOR in customary market usage, we may appoint in our sole discretion an independent financial advisor (the "IFA") to determine an appropriate Alternative Rate, and any Adjustments, and the decision of the IFA will be binding on us, the calculation agent, the trustee and the holders. If, however, the calculation agent determines that three-month LIBOR has been discontinued, but for any reason an Alternative Rate has not been determined, three-month LIBOR will be equal to such rate on the Interest Determination Date when three-month LIBOR was last available on the Reuters LIBOR01 Page, as determined by the calculation agent.</w:t>
      </w:r>
    </w:p>
    <w:p>
      <w:pPr>
        <w:spacing w:after="0" w:line="18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"BBAM" refers to the display appearing on Bloomberg L.P. (or any successor service) designated as page "BBAM" (or any replacement page on that service or equivalent page on any successor service), in each case for the purpose of displaying London interbank offered rates administered by ICE Benchmark Administration Limited (or any other person assuming the responsibility for the administration of those rates).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"Reuters LIBOR01 Page" means the display designated as page LIBOR01 on the Reuters 3000 Xtra (or such other page as may replace the Reuters LIBOR01 Page on that service, or such other service as may be nominated as the information vendor, for the purpose of displaying rates or prices comparable to the London Interbank Offered Rate for U.S. dollar deposits).</w:t>
      </w:r>
    </w:p>
    <w:p>
      <w:pPr>
        <w:spacing w:after="0" w:line="194"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Unless otherwise specified, all percentages resulting from any calculation of the interest rate will be rounded, if necessary, to the nearest one hundred thousandth of a percentage point, with five one-millionths of a percentage point rounded upward (</w:t>
      </w:r>
      <w:r>
        <w:rPr>
          <w:rFonts w:ascii="Arial" w:cs="Arial" w:eastAsia="Arial" w:hAnsi="Arial"/>
          <w:sz w:val="18"/>
          <w:szCs w:val="18"/>
          <w:i w:val="1"/>
          <w:iCs w:val="1"/>
          <w:color w:val="auto"/>
        </w:rPr>
        <w:t>e.g.,</w:t>
      </w:r>
      <w:r>
        <w:rPr>
          <w:rFonts w:ascii="Arial" w:cs="Arial" w:eastAsia="Arial" w:hAnsi="Arial"/>
          <w:sz w:val="18"/>
          <w:szCs w:val="18"/>
          <w:color w:val="auto"/>
        </w:rPr>
        <w:t xml:space="preserve"> 9.876545% (or .09876545) will be rounded upward to 9.87655% (or ..0987655)), and all U.S. dollar amounts used in or resulting from such calculation will be rounded to the nearest cent (with one-half cent being rounded upward).</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Notwithstanding the foregoing, the interest rate on the notes will in no event be higher than the maximum rate permitted by New York law as the same may be modified by United States law of general application.</w:t>
      </w:r>
    </w:p>
    <w:p>
      <w:pPr>
        <w:spacing w:after="0" w:line="186"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have appointed The Bank of New York Mellon to act as the calculation agent for the notes. The calculation agent will, upon the written request of any holder of notes, provide the interest rate then in effect with respect to the notes. All calculations made by the calculation agent for the purposes of calculating interest on the notes shall be conclusive and binding on the holders of the notes, the trustee and us, absent manifest error.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notes will mature on , 2021, and will be paid in U.S. dollars against presentation and surrender thereof at the corporate trust office of the Trustee. However, we may redeem the notes at our option prior to that date. See "—Optional Redemption." The notes will not be entitled to the benefit of, and are not subject to, any sinking fund.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left="360"/>
        <w:spacing w:after="0"/>
        <w:tabs>
          <w:tab w:leader="none" w:pos="2340" w:val="left"/>
        </w:tabs>
        <w:rPr>
          <w:sz w:val="20"/>
          <w:szCs w:val="20"/>
          <w:color w:val="auto"/>
        </w:rPr>
      </w:pPr>
      <w:r>
        <w:rPr>
          <w:rFonts w:ascii="Arial" w:cs="Arial" w:eastAsia="Arial" w:hAnsi="Arial"/>
          <w:sz w:val="18"/>
          <w:szCs w:val="18"/>
          <w:color w:val="auto"/>
        </w:rPr>
        <w:t>Beginning on</w:t>
      </w:r>
      <w:r>
        <w:rPr>
          <w:sz w:val="20"/>
          <w:szCs w:val="20"/>
          <w:color w:val="auto"/>
        </w:rPr>
        <w:tab/>
      </w:r>
      <w:r>
        <w:rPr>
          <w:rFonts w:ascii="Arial" w:cs="Arial" w:eastAsia="Arial" w:hAnsi="Arial"/>
          <w:sz w:val="15"/>
          <w:szCs w:val="15"/>
          <w:color w:val="auto"/>
        </w:rPr>
        <w:t>, 2019 (the first Business Day after the date that is one year following the issue date of the notes) and at any time thereafter, we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redeem the notes, in whole but not in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part, at a redemption price equal to 100% of the principal amount of the notes, plus accrued and unpaid interest thereon to the redemption date. We will, however, pay any interest installment due on an interest payment date which occurs on or prior to a redemption date to holders as of the close of business on the record date immediately preceding such interest payment date. If notice has been given as provided in the Indenture and funds for the redemption of any notes called for redemption shall have been made available on the redemption date referred to in such notice, such notes will cease to bear interest on the date fixed for such redemption specified in such notice and the only right of the holders of such notes will be to receive payment of the redemption price.</w:t>
      </w:r>
    </w:p>
    <w:p>
      <w:pPr>
        <w:spacing w:after="0" w:line="17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Notice of any optional redemption of notes will be given to holders, as shown in the Register, not more than 60 nor less than 15 days prior to the date fixed for redemption. The notice of redemption will specify, among other items, the redemption price and the redemption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 Interest, Registration and Transfer</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notes shall be issuable in denominations of $2,000 and any integral multiple of $1,000 in excess thereof. The principal of (and premium, if any) and interest on the notes will be payable at the corporate trust office of the Trustee provided that, at our option, payment of interest may be made by check mailed to the address of the person entitled thereto as it appears in the applicable Register or by wire transfer of funds to the person at an account designated by such person.</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interest not punctually paid or duly provided for on any Interest Payment Date with respect to a note ("Defaulted Interest") will forthwith cease to be payable to the holder on the applicable Record Date and may either be paid to the person in whose name the note is registered at the close of business on a special record date (the "Special Record Date") for the payment of the Defaulted Interest to be fixed by the Trustee, notice whereof shall be given to the holder of the note not less than 10 days prior to the Special Record Date, or may be paid at any time in any other lawful manner, all as more completely described in the Indenture.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Subject to certain limitations imposed upon notes issued in book-entry form, the notes will be exchangeable for other notes of the same series for a like aggregate principal amount of different authorized denominations upon surrender of the notes at the corporate trust office of the Trustee referred to above. In addition, subject to certain limitations imposed upon notes issued in book-entry form, the notes may be surrendered for registration of transfer thereof at the corporate trust office of the Trustee referred to above. Every note surrendered for registration of transfer or exchange shall be duly endorsed or accompanied by a written instrument of transfer. No service charge will be made for any registration of transfer or exchange of any notes, but the Trustee or the issuer may require payment of a sum sufficient to cover any tax or other governmental charge payable in connection therewith.</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the issuer nor the Trustee shall be required to:</w:t>
      </w:r>
    </w:p>
    <w:p>
      <w:pPr>
        <w:spacing w:after="0" w:line="239" w:lineRule="exact"/>
        <w:rPr>
          <w:sz w:val="20"/>
          <w:szCs w:val="20"/>
          <w:color w:val="auto"/>
        </w:rPr>
      </w:pPr>
    </w:p>
    <w:p>
      <w:pPr>
        <w:ind w:left="1080" w:right="5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transfer or exchange any note if the note may be among those selected for redemption during a period beginning at the opening of business 15 days before selection of the notes to be redeemed; or</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transfer or exchange any note so selected for redemption in whole or in part, except, in the case of any note to be redeemed in part, the portion thereof not to be redeemed.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Limitations on Incurrence of Debt. </w:t>
      </w:r>
      <w:r>
        <w:rPr>
          <w:rFonts w:ascii="Arial" w:cs="Arial" w:eastAsia="Arial" w:hAnsi="Arial"/>
          <w:sz w:val="16"/>
          <w:szCs w:val="16"/>
          <w:color w:val="auto"/>
        </w:rPr>
        <w:t>SL Green OP will not, and will not permit any Subsidiary (as defined below) to, incur any Indebtedness (as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other than Permitted Debt (as defined below), if, immediately after giving effect to the incurrence of additional Indebtedness, the aggregate principal amount of all outstanding Indebtedness of SL Green OP, and of its Subsidiaries determined at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applicable proportionate interest of SL Green OP in each Subsidiary, determined in accordance with GAAP (as defined below), is greater than 60% of the sum of:</w:t>
      </w:r>
    </w:p>
    <w:p>
      <w:pPr>
        <w:spacing w:after="0" w:line="186" w:lineRule="exact"/>
        <w:rPr>
          <w:sz w:val="20"/>
          <w:szCs w:val="20"/>
          <w:color w:val="auto"/>
        </w:rPr>
      </w:pPr>
    </w:p>
    <w:p>
      <w:pPr>
        <w:ind w:left="540" w:right="160" w:firstLine="359"/>
        <w:spacing w:after="0" w:line="256" w:lineRule="auto"/>
        <w:tabs>
          <w:tab w:leader="none" w:pos="12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Assets (as defined below) as of the end of the calendar quarter covered in SL Green OP's Annual Report on Form 10-K or Quarterly Report on Form 10-Q, as the case may be, most recently filed with the SEC prior to the incurrence of such additional Indebtedness or, if SL Green OP is not then subject to the reporting requirements of the Securities Exchange Act of 1934, as amended (the "Exchange Act"), as of its most recent calendar quarter; and</w:t>
      </w:r>
    </w:p>
    <w:p>
      <w:pPr>
        <w:spacing w:after="0" w:line="197" w:lineRule="exact"/>
        <w:rPr>
          <w:rFonts w:ascii="Arial" w:cs="Arial" w:eastAsia="Arial" w:hAnsi="Arial"/>
          <w:sz w:val="18"/>
          <w:szCs w:val="18"/>
          <w:color w:val="auto"/>
        </w:rPr>
      </w:pPr>
    </w:p>
    <w:p>
      <w:pPr>
        <w:ind w:left="540" w:right="560" w:firstLine="359"/>
        <w:spacing w:after="0" w:line="332" w:lineRule="auto"/>
        <w:tabs>
          <w:tab w:leader="none" w:pos="12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increase in the Total Assets since the end of the quarter, including, without limitation, any increase in Total Assets resulting from the incurrence of additional Indebtedness (the Total Assets adjusted by this increase are referred to as the "Adjusted Total Assets").</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SL Green OP will not, and will not permit any Subsidiary to, incur any Indebtedness, other than Permitted Debt, if, for the period consisting of the four consecutive fiscal quarters most recently ended prior to the date on which additional Indebtedness is to be incurred, the ratio of Consolidated Income Available for Debt Service (as defined below) to the Annual Service Charge (as defined below) shall have been less than 1.5 to 1, on a pro forma basis after giving effect to the incurrence of Indebtedness and to the application of the proceeds therefrom, and calculated on the assumption that:</w:t>
      </w:r>
    </w:p>
    <w:p>
      <w:pPr>
        <w:spacing w:after="0" w:line="180" w:lineRule="exact"/>
        <w:rPr>
          <w:sz w:val="20"/>
          <w:szCs w:val="20"/>
          <w:color w:val="auto"/>
        </w:rPr>
      </w:pPr>
    </w:p>
    <w:p>
      <w:pPr>
        <w:ind w:left="1080" w:right="36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Indebtedness and any other Indebtedness incurred by SL Green OP or its Subsidiaries since the first day of the four-quarter period and the application of the proceeds therefrom, including to refinance other Indebtedness, had occurred at the beginning of the period;</w:t>
      </w:r>
    </w:p>
    <w:p>
      <w:pPr>
        <w:spacing w:after="0" w:line="166" w:lineRule="exact"/>
        <w:rPr>
          <w:rFonts w:ascii="Arial" w:cs="Arial" w:eastAsia="Arial" w:hAnsi="Arial"/>
          <w:sz w:val="16"/>
          <w:szCs w:val="16"/>
          <w:color w:val="auto"/>
        </w:rPr>
      </w:pPr>
    </w:p>
    <w:p>
      <w:pPr>
        <w:ind w:left="1080" w:right="10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repayment or retirement of any other Indebtedness by SL Green OP or its Subsidiaries since the first day of the four-quarter period had been incurred, repaid or retained at the beginning of the period (except that, in making the computation, the amount of Indebtedness under any revolving credit facility shall be computed based upon the average daily balance of such Indebtedness under the credit facility during the period);</w:t>
      </w:r>
    </w:p>
    <w:p>
      <w:pPr>
        <w:spacing w:after="0" w:line="174"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income earned as a result of any increase in Adjusted Total Assets since the end of the four-quarter period had been earned, on an annualized basis, for the period; and</w:t>
      </w:r>
    </w:p>
    <w:p>
      <w:pPr>
        <w:spacing w:after="0" w:line="199" w:lineRule="exact"/>
        <w:rPr>
          <w:rFonts w:ascii="Arial" w:cs="Arial" w:eastAsia="Arial" w:hAnsi="Arial"/>
          <w:sz w:val="18"/>
          <w:szCs w:val="18"/>
          <w:color w:val="auto"/>
        </w:rPr>
      </w:pPr>
    </w:p>
    <w:p>
      <w:pPr>
        <w:ind w:left="1080" w:right="60" w:hanging="532"/>
        <w:spacing w:after="0" w:line="323"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case of an acquisition or disposition by SL Green OP or any of its Subsidiaries of any asset or group of assets since the first day of the four-quarter period, including, without limitation, by merger, stock purchase or sale, or asset purchase or sale, the acquisition or disposition or any related repayment of Indebtedness had occurred as of the first day of the period with the appropriate adjustments with respect to the acquisition or disposition being included in the pro forma calculation of Consolidated Income Available for Debt Service to the Annual Service Charge.</w:t>
      </w:r>
    </w:p>
    <w:p>
      <w:pPr>
        <w:spacing w:after="0" w:line="15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SL Green OP will not, and will not permit any Subsidiary to, incur any Indebtedness secured by any Lien (as defined below) of any kind upon any of the property of SL Green OP or any of its Subsidiaries (the "Secured Debt") if, immediately after giving effect to the incurrence of the additional Secured Debt, the aggregate principal amount of all outstanding Secured Debt of SL Green OP, and of its Subsidiaries determined at the applicable proportionate interest of SL Green OP in each Subsidiary, is greater than 40% of the Adjusted Total Assets.</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Maintenance of Total Unencumbered Assets. </w:t>
      </w:r>
      <w:r>
        <w:rPr>
          <w:rFonts w:ascii="Arial" w:cs="Arial" w:eastAsia="Arial" w:hAnsi="Arial"/>
          <w:sz w:val="18"/>
          <w:szCs w:val="18"/>
          <w:color w:val="auto"/>
        </w:rPr>
        <w:t>SL Green OP will maintain Total Unencumbered Assets (as defined below) of not less than 150%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 principal amount of all outstanding Unsecured Debt.</w:t>
      </w:r>
    </w:p>
    <w:p>
      <w:pPr>
        <w:spacing w:after="0" w:line="186"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Existence. </w:t>
      </w:r>
      <w:r>
        <w:rPr>
          <w:rFonts w:ascii="Arial" w:cs="Arial" w:eastAsia="Arial" w:hAnsi="Arial"/>
          <w:sz w:val="15"/>
          <w:szCs w:val="15"/>
          <w:color w:val="auto"/>
        </w:rPr>
        <w:t>Except as permitted under "—Merger, Consolidation or Sale," SL Green OP is required to do or cause to be done all things necessary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preserve and keep in full force and effect its existence, all material rights (charter and statutory) and material franchises;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SL Green OP shall not be required to preserve any such right or franchise if it determines that the preservation thereof is no longer desirable in the conduct of its business.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SL Green OP is required to cause all of its material properties used or useful in the conduct of its business or the business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any of its Subsidiaries to be maintained and kept in good condition, repair and working order and supplied with all necessary equipment and to cause to be made all necessary repairs, renewals, replacements, betterments and improvements thereof, all as in the judgment of SL Green OP may be necessary so that the business carried on in connection therewith may be properly conducted at all times;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SL Green OP or any of its Subsidiaries shall not be prevented from, among other things, selling or otherwise disposing for value any of its properties in the ordinary course of business.</w:t>
      </w:r>
    </w:p>
    <w:p>
      <w:pPr>
        <w:spacing w:after="0" w:line="170"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SL Green OP is required to, and is required to cause each of its Subsidiaries to, keep all of its material properties insured against loss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damage with insurers of recognized responsibility, in commercially reasonable amounts and types.</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SL Green OP is required to pay or discharge or cause to be paid or discharged, before the same shall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delinquent, (1) all taxes, assessments and governmental charges levied or imposed upon it or any of its Significant Subsidiaries or upon the income, profits or property of SL Green OP or any of its Significant Subsidiaries, and (2) all lawful claims for labor, materials and supplies which, if unpaid, might by law become a lien upon the property of SL Green OP or any of its Significant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SL Green OP shall not be required to pay or discharge or cause to be paid or discharged any such tax, assessment, charge or claim whose amount, applicability or validity is being contested in good faith by appropriate proceedings.</w:t>
      </w:r>
    </w:p>
    <w:p>
      <w:pPr>
        <w:spacing w:after="0" w:line="19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For as long as the notes are outstanding, each of SL Green, SL Green OP and ROP will file with the trustee,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 days after such entity is required to file the same with the SEC, copies of the annual reports and of the information, documents and other reports (or copies of such portions of any of the foregoing as the SEC may from time to time by rules and regulations prescribe) that such entity may be required to file with the SEC pursuant to Section 13 or Section 15(d) of the Exchange Act; or, if such entity is not required to file information, documents or reports pursuant to either of such sections, such entity will file with the trustee and the SEC, in accordance with any other rules and regulations that may be prescribed from time to time by the SEC, such of the supplementary and periodic information, documents and reports that may be required pursuant to Section 13 of the Exchange Act, in respect of a security listed on a national securities exchange as may be prescribed from time to time in such rules and regulations.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to the foregoing, for as long as the notes are outstanding, if at any time SL Green OP is not subject to Section 13 or 15(d) of the Exchange Act and providing reports pursuant to the previous paragraph, SL Green OP will, at its option, either (i) post on a publicly available website or (ii) post on IntraLinks or any comparable password protected online data system requiring user identification and a confidentiality acknowledgement (a "Confidential Datasite"), within 15 days of the filing date that would be applicable to a non-accelerated filer at that time pursuant to applicable SEC rules and regulations, the quarterly and audited annual financial statements and accompanying Item 303 of Regulation S-K disclosure ("management's discussion and analysis of financial condition and results of operations") that would be required to be contained in annual reports on Form 10-K and quarterly reports on Form 10-Q, respectively, required to be filed with the SEC if SL Green OP were subject to Section 13(a) or 15(d) of the Exchange Act. If SL Green OP elects to furnish such reports via a Confidential Datasite, access to the Confidential Datasite will be provided upon request to holders, beneficial owners of and bona fide potential investors in the notes as well as securities analysts and market makers.</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such report, information or document that SL Green, SL Green OP or ROP files with or furnish to the SEC through the SEC's EDGAR database will be deemed filed with the trustee for these purposes at the time of such filing or furnishing through the SEC's EDGAR database.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Terms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Annual Service Charge</w:t>
      </w:r>
      <w:r>
        <w:rPr>
          <w:rFonts w:ascii="Arial" w:cs="Arial" w:eastAsia="Arial" w:hAnsi="Arial"/>
          <w:sz w:val="18"/>
          <w:szCs w:val="18"/>
          <w:color w:val="auto"/>
        </w:rPr>
        <w:t>" as of any date means the amount which is expensed in any 12-month period for interest on Indebtedness.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Income Available for Debt Service</w:t>
      </w:r>
      <w:r>
        <w:rPr>
          <w:rFonts w:ascii="Arial" w:cs="Arial" w:eastAsia="Arial" w:hAnsi="Arial"/>
          <w:sz w:val="16"/>
          <w:szCs w:val="16"/>
          <w:color w:val="auto"/>
        </w:rPr>
        <w:t>" for any period means Consolidated Net Income of SL Green OP and its Subsidiaries (1) plus amounts which have been deducted for (a) interest on Indebtedness of SL Green OP and its Subsidiaries, (b) provision for taxes of SL Green OP and its Subsidiaries based on income, (c) amortization of debt discount, (d) depreciation and amortization, (e) the effect of any noncash charge resulting from a change in accounting principles in determining Consolidated Net Income for the period, (f) amortization of deferred charges, and (g) provisions for or realized losses on properties and (2) less amounts which have been included for gains on properties.</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xml:space="preserve">" means, with respect to any computations required or permitted hereunder, generally accepted accounting principles in effect in the United States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if the issuer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 means the guarantee given by the relevant guarantor in respect of the notes pursuant to the Indenture.</w:t>
      </w:r>
    </w:p>
    <w:p>
      <w:pPr>
        <w:spacing w:after="0" w:line="225" w:lineRule="exact"/>
        <w:rPr>
          <w:sz w:val="20"/>
          <w:szCs w:val="20"/>
          <w:color w:val="auto"/>
        </w:rPr>
      </w:pPr>
    </w:p>
    <w:p>
      <w:pPr>
        <w:ind w:right="28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means any indebtedness, whether or not contingent, in respect of (1) borrowed money evidenced by bonds, notes, debentures or similar instruments, (2) indebtedness secured by any mortgage, pledge, lien, charge, encumbrance or any security interest existing on property, (3) the reimbursement obligations, contingent or otherwise, in connection with any letters of credit actually issued or amounts representing the balance deferred and unpaid of the purchase price of any property except any balance that constitutes an accrued expense or trade payable or (4) any lease of property as lessee which would be reflected on a balance sheet as a capitalized lease in accordance with GAAP, in the case of items of indebtedness under (1) through (3) above to the extent that any items (other than letters of credit) would appear as a liability on a balance sheet in accordance with GAAP, and also includes, to the extent not otherwise included, any obligation to be liable for, or to pay, as obligor, guarantor or otherwise (other than for purposes of collection in the ordinary course of business), indebtedness of another person.</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with respect to any person, any mortgage, lien, pledge, charge, security interest or other encumbrance, or any interest or title of any vendor, lessor, lender or other secured party to or of the person under any conditional sale or other title retention agreement or Capital Lease, upon or with respect to any property or asset of the person. A "Capital Lease" is a lease to which the lessee is required concurrently to recognize the acquisition of an asset and the incurrence of a liability in accordance with GAAP.</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Debt</w:t>
      </w:r>
      <w:r>
        <w:rPr>
          <w:rFonts w:ascii="Arial" w:cs="Arial" w:eastAsia="Arial" w:hAnsi="Arial"/>
          <w:sz w:val="18"/>
          <w:szCs w:val="18"/>
          <w:color w:val="auto"/>
        </w:rPr>
        <w:t xml:space="preserve">" means Indebtedness of SL Green OP or any Subsidiary owing to any Subsidiary or SL Green OP;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Indebtedness is made pursuant to an intercompany note and is subordinated in right of payment to the notes;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disposition, pledge or transfer of any Indebtedness to a person (other than SL Green OP or another Subsidiary) shall be deemed to be an incurrence of Indebtedness by SL Green OP or a Subsidiary, as the case may be, and not Permitted Debt.</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Subsidiary</w:t>
      </w:r>
      <w:r>
        <w:rPr>
          <w:rFonts w:ascii="Arial" w:cs="Arial" w:eastAsia="Arial" w:hAnsi="Arial"/>
          <w:sz w:val="18"/>
          <w:szCs w:val="18"/>
          <w:color w:val="auto"/>
        </w:rPr>
        <w:t>" when used with respect to a person, shall mean a "significant subsidiary" of such person as defined in Article 1, Section 1-02 of Regulation S-X under the Securities Act of 1933, as amended (the "Securities 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of which at the time of determination SL Green OP or one or more other Subsidiaries owns or controls, directly or indirectly, more than 50% of the shares of Voting Stock.</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Assets</w:t>
      </w:r>
      <w:r>
        <w:rPr>
          <w:rFonts w:ascii="Arial" w:cs="Arial" w:eastAsia="Arial" w:hAnsi="Arial"/>
          <w:sz w:val="18"/>
          <w:szCs w:val="18"/>
          <w:color w:val="auto"/>
        </w:rPr>
        <w:t>" as of any date means the sum of (1) the Undepreciated Real Estate Assets, (2) all other assets of SL Green OP, and of its Subsidiaries determined at the applicable proportionate interest of SL Green OP in each Subsidiary, determined in accordance with GAAP (but excluding intangibles and accounts receivable) and (3) the cost of any property of SL Green OP, or any Subsidiary thereof, in which SL Green OP, or Subsidiary, as the case may be, has a firm, non-contingent purchase obligation.</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Unencumbered Assets</w:t>
      </w:r>
      <w:r>
        <w:rPr>
          <w:rFonts w:ascii="Arial" w:cs="Arial" w:eastAsia="Arial" w:hAnsi="Arial"/>
          <w:sz w:val="18"/>
          <w:szCs w:val="18"/>
          <w:color w:val="auto"/>
        </w:rPr>
        <w:t xml:space="preserve">" means the sum of (1) those Undepreciated Real Estate Assets not subject to a Lien on a consolidated basis, (2) all other assets of SL Green OP, and of its Subsidiaries determined at the applicable proportionate interest of SL Green OP in each such Subsidiary, which are not subject to a Lien determined in accordance with GAAP (but excluding intangibles and accounts receivable) and (3) the cost of any property of SL Green OP, or any Subsidiary thereof, in which SL Green OP, or Subsidiary, as the case may be, has a firm, non-contingent purchase obligation and which is not subject to a Lien;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all investments in any person that is not consolidated with SL Green OP for financial reporting purposes in accordance with GAAP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excluded from Total Unencumbered Assets.</w:t>
      </w:r>
    </w:p>
    <w:p>
      <w:pPr>
        <w:spacing w:after="0" w:line="198"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Undepreciated Real Estate Assets</w:t>
      </w:r>
      <w:r>
        <w:rPr>
          <w:rFonts w:ascii="Arial" w:cs="Arial" w:eastAsia="Arial" w:hAnsi="Arial"/>
          <w:sz w:val="16"/>
          <w:szCs w:val="16"/>
          <w:color w:val="auto"/>
        </w:rPr>
        <w:t>" means as of any date the cost (original cost plus capital improvements) of real estate assets of SL Green OP and its Subsidiaries on such date, before depreciation and amortization, determined on a consolidated basis in accordance with GAAP.</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Unsecured Debt</w:t>
      </w:r>
      <w:r>
        <w:rPr>
          <w:rFonts w:ascii="Arial" w:cs="Arial" w:eastAsia="Arial" w:hAnsi="Arial"/>
          <w:sz w:val="18"/>
          <w:szCs w:val="18"/>
          <w:color w:val="auto"/>
        </w:rPr>
        <w:t>" means Indebtedness of SL Green OP or any Subsidiary which is not secured by any mortgage, lien, charge, pledge or security interest of any kind upon any of the properties owned by SL Green OP or any of its Subsidiaries.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having general voting power under ordinary circumstances to elect at least a majority of the board of directors, managers or trustees, provided that stock that carries only the right to vote conditionally on the happening of an event shall not be considered Voting Stock whether or not such event shall have happened.</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Except with respect to the covenants described above under "—Certain Covenants—Limitation on Incurrence of Debt" and "—Certain Covenants— Maintenance of Total Unencumbered Assets" with respect to SL Green OP and its subsidiaries and below under "—Merger, Consolidation or Sale", the Indenture does not contain any other provisions that would limit the ability of SL Green OP to incur indebtedness or that would afford holders of the notes protection in the case of any of the following events:</w:t>
      </w:r>
    </w:p>
    <w:p>
      <w:pPr>
        <w:spacing w:after="0" w:line="21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highly leveraged or similar transaction involving SL Green OP, the management of SL Green OP or any affiliate of any of these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in control; or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reorganization, restructuring, merger or similar transaction involving the issuer or the guarantors that may adversely affect the holders of the notes.</w:t>
      </w:r>
    </w:p>
    <w:p>
      <w:pPr>
        <w:spacing w:after="0" w:line="186"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The indenture does not limit the ability of SL Green or its subsidiaries (other than SL Green OP and its subsidiaries, including ROP) ability to incur additional indebtedness, including secured indebtedness. In addition, SLG OP and its subsidiaries (including ROP) may incur additional indebtedness, including secured indebtedness, subject to the provisions described in this prospectus supplement under "—Certain Covenants—Limitations on Incurrence of Debt."</w:t>
      </w:r>
    </w:p>
    <w:p>
      <w:pPr>
        <w:spacing w:after="0" w:line="14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subject to the covenants referred to above, the issuer may, in the future, enter into certain transactions, such as the sale of all or substantially all of its assets or the merger or consolidation of the issuer or a guarantor, that would increase the amount of their respective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indebtedness or substantially reduce or eliminate their respective assets, which may have an adverse effect on their respective ability to service their indebtedness or guarantees of indebtedness, including the notes. In addition, restrictions on ownership and transfers of SL Green's common stock and preferred stock which are designed to preserve its status as a REIT may act to prevent or hinder a change in control.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Sale—SL Green and SL Green OP</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SL Green or SL Green OP may consolidate with, or sell, lease or convey all or substantially all of its assets to, or merge with or into, any other entity (whether or not affiliated with SL Green or SL Green OP), or enter into successive consolidations or mergers, provided that the following conditions are met:</w:t>
      </w:r>
    </w:p>
    <w:p>
      <w:pPr>
        <w:spacing w:after="0" w:line="153" w:lineRule="exact"/>
        <w:rPr>
          <w:sz w:val="20"/>
          <w:szCs w:val="20"/>
          <w:color w:val="auto"/>
        </w:rPr>
      </w:pPr>
    </w:p>
    <w:p>
      <w:pPr>
        <w:ind w:left="1080" w:right="240" w:hanging="532"/>
        <w:spacing w:after="0" w:line="303"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SL Green or SL Green OP, as the case may be, shall be the continuing entity, or the successor entity (if other than SL Green or SL Green OP, as the case may be) formed by or resulting from any consolidation or merger or which shall have received the transfer of assets shall be a person organized and existing under the laws of the United States of America, any state thereof or the District of Columbia and shall expressly assume</w:t>
      </w:r>
    </w:p>
    <w:p>
      <w:pPr>
        <w:spacing w:after="0" w:line="1" w:lineRule="exact"/>
        <w:rPr>
          <w:rFonts w:ascii="Arial" w:cs="Arial" w:eastAsia="Arial" w:hAnsi="Arial"/>
          <w:sz w:val="15"/>
          <w:szCs w:val="15"/>
          <w:color w:val="auto"/>
        </w:rPr>
      </w:pPr>
    </w:p>
    <w:p>
      <w:pPr>
        <w:ind w:left="1080"/>
        <w:spacing w:after="0" w:line="255" w:lineRule="auto"/>
        <w:rPr>
          <w:rFonts w:ascii="Arial" w:cs="Arial" w:eastAsia="Arial" w:hAnsi="Arial"/>
          <w:sz w:val="15"/>
          <w:szCs w:val="15"/>
          <w:color w:val="auto"/>
        </w:rPr>
      </w:pPr>
      <w:r>
        <w:rPr>
          <w:rFonts w:ascii="Arial" w:cs="Arial" w:eastAsia="Arial" w:hAnsi="Arial"/>
          <w:sz w:val="18"/>
          <w:szCs w:val="18"/>
          <w:color w:val="auto"/>
        </w:rPr>
        <w:t>(i) in the case of the SL Green OP, the due and punctual payment of the principal of (and premium, if any) and interest on all the notes and the performance and observance of all of the covenants and obligations contained in the Indenture or (ii) in the case of SL Green, all of the obligations of SL Green under the guarantee of the notes;</w:t>
      </w:r>
    </w:p>
    <w:p>
      <w:pPr>
        <w:spacing w:after="0" w:line="225" w:lineRule="exact"/>
        <w:rPr>
          <w:rFonts w:ascii="Arial" w:cs="Arial" w:eastAsia="Arial" w:hAnsi="Arial"/>
          <w:sz w:val="15"/>
          <w:szCs w:val="15"/>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either SL Green or SL Green OP or the successor entity, as the case may be, shall have delivered to the Trustee an officer's certificate and legal opinion covering these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Sale—ROP</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ROP may consolidate with, or sell, lease or convey all or substantially all of its assets to, or merge with or into, any other entity (whether or not affiliated with ROP), or enter into successive consolidations or mergers, provided that the following conditions are met:</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other entity is SL Green or SL Green OP or becomes a guarantor concurrently with the transaction;</w:t>
      </w:r>
    </w:p>
    <w:p>
      <w:pPr>
        <w:spacing w:after="0" w:line="252"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either (a) ROP shall be the continuing entity or (b) the successor entity formed by or resulting from any consolidation or merger or which shall have received the transfer of assets shall be a person organized and existing under the laws of the United States of America, any state thereof or the District of Columbia and shall expressly assume all of the obligations of ROP under the guarantee of the notes; and (ii) immediately after giving effect to the transaction, no Event of Default under the Indenture, and no event which, after notice or the lapse of time, or both, would become an Event of Default, shall have occurred and be continuing; or</w:t>
      </w:r>
    </w:p>
    <w:p>
      <w:pPr>
        <w:spacing w:after="0" w:line="183"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transaction constitutes a sale or other disposition (including by way of consolidation or merger) of ROP or the sale or disposition of all or substantially all of the assets of ROP (in each case other than to SL Green, SL Green OP or a subsidiary or SL Green) otherwise permitted by the Indenture.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the following events are "Events of Default" with respect to the notes:</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for 30 days in the payment of any installment of interest;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the principal (or premium, if any) at maturity;</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of the issuer or a guarantor contained in the Indenture, the default having continued for 60 days after written notice as provided in the Indenture;</w:t>
      </w:r>
    </w:p>
    <w:p>
      <w:pPr>
        <w:spacing w:after="0" w:line="199" w:lineRule="exact"/>
        <w:rPr>
          <w:rFonts w:ascii="Arial" w:cs="Arial" w:eastAsia="Arial" w:hAnsi="Arial"/>
          <w:sz w:val="18"/>
          <w:szCs w:val="18"/>
          <w:color w:val="auto"/>
        </w:rPr>
      </w:pPr>
    </w:p>
    <w:p>
      <w:pPr>
        <w:ind w:left="1080" w:right="140" w:hanging="532"/>
        <w:spacing w:after="0" w:line="308"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issuer, a guarantor, any Subsidiary of SL Green OP in which SL Green OP has invested at least $50,000,000 in capital or any entity in which SL Green OP is the general partner shall fail to pay any principal of, premium or interest on or any other amount payable in respect of, any recourse Indebtedness that is outstanding in a principal or notional amount of at least $50,000,000 (or the equivalent thereof in one or more other currencies), either individually or in the aggregate (but excluding Indebtedness outstanding hereunder), of SL Green OP and its consolidated Subsidiaries, taken as a whole, when the same becomes due and payable (whether by scheduled maturity, required prepayment, acceleration, demand or otherwise), and the failure shall continue after the applicable grace period, if any, specified in any agreement or instrument relating to such Indebtedness, or any other event shall occur or condition shall exist under any agreement or instrument evidencing, securing or otherwise relating to such Indebtedness and shall continue after the applicable grace period, if any, specified in the agreement or instrument, if the effect of the event or condition is to accelerate, or to permit the acceleration of, the maturity of such Indebtedness or otherwise to cause, or to permit the holder or holders thereof (or a trustee or agent on behalf of the holders) to cause such Indebtedness to mature prior to its stated maturity; or</w:t>
      </w:r>
    </w:p>
    <w:p>
      <w:pPr>
        <w:spacing w:after="0" w:line="190" w:lineRule="exact"/>
        <w:rPr>
          <w:rFonts w:ascii="Arial" w:cs="Arial" w:eastAsia="Arial" w:hAnsi="Arial"/>
          <w:sz w:val="15"/>
          <w:szCs w:val="15"/>
          <w:color w:val="auto"/>
        </w:rPr>
      </w:pPr>
    </w:p>
    <w:p>
      <w:pPr>
        <w:ind w:left="1080" w:right="1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or court appointment of a receiver, liquidator or trustee of the issuer or a guarantor or any Significant Subsidiary of the issuer or a guarantor- or any substantial part of their respective property.</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an Event of Default under the Indenture occurs and is continuing (other than an Event of Default specified in subsection (e) above, which shall result in an automatic acceleration), then in every case the Trustee or the holders of 25% or more in principal amount of the outstanding notes may declare the principal amount (or, if the notes are Original Issue Discount Securities, the portion of the principal amount as may be specified in the terms thereof) of all of the notes, to be due and payable immediately by written notice thereof to the issuer or a guarantor (and to the Trustee if given by the holders). However, at any time after the declaration of acceleration with respect to the notes has been made, but before a judgment or decree for payment of the money due has been obtained by the Trustee, the Event of Default giving rise to such declaration of acceleration shall, without further act, be deemed to have been waived, and such declaration and its consequences shall, without further act, be deemed to have been rescinded and annulled, if:</w:t>
      </w:r>
    </w:p>
    <w:p>
      <w:pPr>
        <w:spacing w:after="0" w:line="186" w:lineRule="exact"/>
        <w:rPr>
          <w:sz w:val="20"/>
          <w:szCs w:val="20"/>
          <w:color w:val="auto"/>
        </w:rPr>
      </w:pPr>
    </w:p>
    <w:p>
      <w:pPr>
        <w:ind w:left="1080" w:right="2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 or a guarantor shall have deposited with the Trustee all required payments of the principal of (and premium, if any) and interest on the notes, plus certain fees, expenses, disbursements and advances of the Trustee,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of (or specified portion thereof), or premium (if any) or interest on the notes have been cured or waived as provided in the Indenture.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Indenture also provides that the holders of a majority in principal amount of the outstanding notes may waive any past default with respect to the notes and its consequences, except a default in the payment of the principal of (or premium, if any) or interest on any Note.</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The Trustee will be required to give notice to the holders of notes within 90 days of a default under the Indenture unless the default has been 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may withhold notice to the holders of any notes of any default with respect to the notes (except a default in the payment of the principal of (or premium, if any) or interest on any Note) if specified responsible officers of the Trustee consider the withholding to be in the best interest of the holders.</w:t>
      </w:r>
    </w:p>
    <w:p>
      <w:pPr>
        <w:spacing w:after="0" w:line="197"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Indenture provides that no holder of notes may institute any action, suit or proceeding at law or in equity for the execution of any trust under the Indenture or for the appointment of a receiver or for any other remedy thereunder, unless (i) the holder has given to the Trustee written notice of an Event of Default and of the continuance thereof with respect to the notes, as required under the Indenture, (ii) the holders of at least 25% in aggregate principal amount of the notes then outstanding shall have requested the Trustee to institute such action and offered to the Trustee indemnity reasonably satisfactory to it against the costs, expenses and liabilities to be incurred in compliance with such request and (iii) the trustee shall not have instituted such action within 60 days of such request. This provision will not prevent, however, any holder of notes from instituting suit for the enforcement of payment of the principal of (and premium, if any) and interest on the notes at the respective due dates thereof.</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Subject to provisions in the Indenture relating to its duties in case of default, the Trustee is under no obligation to exercise any of its rights or powers under the Indenture at the request, order or direction of any holders of any notes then outstanding under the Indenture, unless the holders shall have offered to the Trustee thereunder security or indemnity satisfactory to it against the costs, expenses and liabilities which might be incurred by it in compliance with such order, request or direction. The holders of a majority in principal amount of the outstanding notes shall have the right to direct the time, method and place of conducting any proceeding for any remedy available to the Trustee, or of exercising any trust or power conferred upon the Trustee. However, the Trustee may refuse to follow any direction if the Trustee being advised by counsel determines that the action so directed may not lawfully be taken or would be unduly prejudicial to holders not joining in such direction or would involve the Trustee in personal liability.</w:t>
      </w:r>
    </w:p>
    <w:p>
      <w:pPr>
        <w:spacing w:after="0" w:line="172"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Within 120 days after the close of each fiscal year, the issuer must deliver a certificate of an officer certifying to the Trustee whether or not the officer has knowledge of any default under the Indenture and, if so, specifying each default and the nature and status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Modifications and amendments of the Indenture will be permitted to be made only with the consent of the holders of not less than a majority in principal amount of all outstanding notes which are affected by the modification or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modification or amendment may, without the consent of the holder of each note affected thereby:</w:t>
      </w:r>
    </w:p>
    <w:p>
      <w:pPr>
        <w:spacing w:after="0" w:line="208" w:lineRule="exact"/>
        <w:rPr>
          <w:sz w:val="20"/>
          <w:szCs w:val="20"/>
          <w:color w:val="auto"/>
        </w:rPr>
      </w:pPr>
    </w:p>
    <w:p>
      <w:pPr>
        <w:ind w:left="1080" w:hanging="532"/>
        <w:spacing w:after="0" w:line="254"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 the Stated Maturity of the principal of, or any installment of interest on, any note, or reduce the principal amount thereof or the interest thereon or any premium payable upon redemption thereof, or extend the Stated Maturity of, or change the place of payment where, or the currency in which the principal of and premium, if any, or interest on such note is denominated or payable, or reduce the amount of the principal of an Original Issue Discount Security that would be due and payable upon a declaration of acceleration of the maturity thereof, change the redemption provision or adversely affect the right or repayment at the option of any holder or impair the right to institute suit for the enforcement of any payment 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 after the Stated Maturity thereof (or, in the case of redemption, on or after the redemption date); or</w:t>
      </w:r>
    </w:p>
    <w:p>
      <w:pPr>
        <w:spacing w:after="0" w:line="239" w:lineRule="exact"/>
        <w:rPr>
          <w:sz w:val="20"/>
          <w:szCs w:val="20"/>
          <w:color w:val="auto"/>
        </w:rPr>
      </w:pPr>
    </w:p>
    <w:p>
      <w:pPr>
        <w:ind w:left="1080" w:right="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above-stated percentage of outstanding notes necessary to modify or amend the Indenture, to waive compliance with certain provisions thereof or certain defaults and consequences thereunder; or</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certain past defaults or certain covenants, except to increase the required percentage to effect the action or to provide that certain other provisions may not be modified or waived without the consent of the holder of the note.</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addition, the issuer may not modify, without the written consent of the Trustee, the rights, duties or immunities of the Trustee with respect to the notes under the Indenture.</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to the issuer's obligations to pay the principal of, and premium (if any) and interest on, the notes, the Indenture contains several other affirmative and negative covenants as described above under "—Certain Covenants." Neither the issuer nor the Trustee may waive compliance with the other covenants unless the holders of not less than a majority in principal amount of outstanding notes consent to the waiver.</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Modifications and amendments of the Indenture will be permitted to be made by the issuer and the Trustee without the consent of any holder of the notes for any of the following purposes:</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a guarantor under the Indenture;</w:t>
      </w:r>
    </w:p>
    <w:p>
      <w:pPr>
        <w:spacing w:after="0" w:line="23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add to the covenants and agreements of the issuer or the guarantors, and to add Events of Default, in each case for the protection or benefit of the holders of the notes, or to surrender any right or power conferred upon the issuer or the guarantors in the Indenture;</w:t>
      </w:r>
    </w:p>
    <w:p>
      <w:pPr>
        <w:spacing w:after="0" w:line="166" w:lineRule="exact"/>
        <w:rPr>
          <w:rFonts w:ascii="Arial" w:cs="Arial" w:eastAsia="Arial" w:hAnsi="Arial"/>
          <w:sz w:val="16"/>
          <w:szCs w:val="16"/>
          <w:color w:val="auto"/>
        </w:rPr>
      </w:pPr>
    </w:p>
    <w:p>
      <w:pPr>
        <w:ind w:left="1080" w:right="180" w:hanging="532"/>
        <w:spacing w:after="0" w:line="370"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to add to or change any of the provisions of the Indenture to provide, change or eliminate any restrictions on the payment of principal of or premium, if any, on the notes, provided that this action shall not adversely affect the interests of the holders of the notes in any material respect;</w:t>
      </w:r>
    </w:p>
    <w:p>
      <w:pPr>
        <w:spacing w:after="0" w:line="129" w:lineRule="exact"/>
        <w:rPr>
          <w:rFonts w:ascii="Arial" w:cs="Arial" w:eastAsia="Arial" w:hAnsi="Arial"/>
          <w:sz w:val="15"/>
          <w:szCs w:val="15"/>
          <w:color w:val="auto"/>
        </w:rPr>
      </w:pPr>
    </w:p>
    <w:p>
      <w:pPr>
        <w:ind w:left="1080" w:right="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or facilitate the administration of the trusts under the Indenture by more than one Trustee;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252"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in the Indenture or in any supplemental indenture which may be mistaken, defective or inconsistent with any other provision contained in the Indenture or in any supplemental indenture;</w:t>
      </w:r>
    </w:p>
    <w:p>
      <w:pPr>
        <w:spacing w:after="0" w:line="152"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the Indenture as shall be necessary or desirable in accordance with any amendments to the Trust Indenture Act;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change in the notes that does not adversely affect in any material respect the rights of the holders of such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permit or facilitate the issuance of notes in uncertificated form, provided that this action shall not adversely affect the interests of the holders of the notes in any material respect;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supplement any of the provisions of the Indenture to the extent necessary to permit or facilitate defeasance and discharge of the notes, provided that the action shall not adversely affect the interests of the holders of the notes in any material respect;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effect the assumption by a subsidiary or a co-obligor pursuant to the Indenture.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determining whether the holders of the requisite principal amount of outstanding notes have given any request, demand, authorization, direction, notice, consent or waiver under the Indenture or whether a quorum is present at a meeting of holders of notes, the Indenture provides that:</w:t>
      </w:r>
    </w:p>
    <w:p>
      <w:pPr>
        <w:spacing w:after="0" w:line="153" w:lineRule="exact"/>
        <w:rPr>
          <w:sz w:val="20"/>
          <w:szCs w:val="20"/>
          <w:color w:val="auto"/>
        </w:rPr>
      </w:pPr>
    </w:p>
    <w:p>
      <w:pPr>
        <w:ind w:left="10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the determination upon declaration of acceleration of the maturity thereof;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notes owned by the issuer or any other obligor upon the notes or any affiliate of the issuer or of the other obligor shall be disregarded.</w:t>
      </w: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 xml:space="preserve">The Indenture contains provisions for convening meetings of the holders of notes. A meeting may be called at any time by the Trustee, and also, upon request, by the issuer or the holders of at least 10% in aggregate principal amount of the outstanding notes, in any case upon notice given as provided in the Indenture. Except for any consent that must be given by the holder of each note affected by certain modifications and amendments of the Indenture, any resolution presented at a meeting or adjourned meeting duly reconvened at which a quorum is present may be adopted by the affirmative vote of the holders of a majority in principal amount of the outstanding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notes may be adopted at a meeting or adjourned meeting duly reconvened at which a quorum is present by the affirmative vote of the holders of the specified percentage in principal amount of the outstanding notes. Any resolution passed or decision taken at any meeting of holders of notes duly held in accordance with the Indenture will be binding on all holders of notes. At any meeting called in accordance with the Indenture, the presence of persons holding or representing notes in an aggregate principal amount sufficient to take action upon the business for the transaction of which such meeting was called shall be necessary to constitute a quorum.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issuer may discharge certain obligations to holders of any notes that have not already been delivered to the Trustee for cancellation and that either have become due and payable or will become due and payable within one year (or scheduled for redemption within one year) by irrevocably depositing with the Trustee, in trust, funds in an amount sufficient to pay the entire indebtedness on the notes in respect of principal (and premium, if any) and interest to the date of the deposit (if the notes have become due and payable) or to the Stated Maturity or Redemption Date, as the case may be.</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provides that the issuer and the guarantors may elect either (a) to defease and discharge themselves from any and all obligations with respect to the notes and the guarantees (as applicable) (except for the obligation to pay additional amounts, if any, upon the occurrence of certain events of tax, assessment or governmental charge with respect to payments on the notes and the obligations to register the transfer or exchange of notes, to replace temporary or mutilated, destroyed, lost or stolen notes, to maintain an office or agency in respect of the notes and to hold moneys for payment in trust) ("defeasance") or (b) to release the issuer and the guarantors from their obligations with respect to the notes and the guarantees (as applicable) under certain sections of the Indenture (including the restrictions described under "—Certain Covenants") and, if provided pursuant to the Indenture, their obligations with respect to any other covenant, and any omission to comply with the obligations shall not constitute a default or an Event of Default with respect to the notes ("covenant defeasance"), in either case upon the irrevocable deposit by the issuer with the Trustee, in trust, of an amount, in the currency or currencies, currency unit or units or composite currency or currencies in which the notes are payable at Stated Maturity, or Government Obligations (as defined below), 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both, applicable to the notes which through the scheduled payment of principal and interest in accordance with their terms will provide money in an amount sufficient to pay the principal of (and premium, if any) and interest on the notes on the scheduled due dates therefor.</w:t>
      </w:r>
    </w:p>
    <w:p>
      <w:pPr>
        <w:spacing w:after="0" w:line="186"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 trust will only be permitted to be established if, among other things, the issuer has delivered to the Trustee an Opinion of Counsel (as specified in the Indenture) to the effect that the beneficial owners of the notes will not recognize income, gain or loss for U.S. federal income tax purposes as a result of the defeasance or covenant defeasance and will be subject to U.S. federal income tax on the same amounts, in the same manner and at the same times as would have been the case if the defeasance or covenant defeasance had not occurred, and the Opinion of Counsel, in the case of defeasance, must refer to and be based upon a ruling of the Internal Revenue Service, or the IRS, or a change in applicable U.S. federal income tax law.</w:t>
      </w:r>
    </w:p>
    <w:p>
      <w:pPr>
        <w:spacing w:after="0" w:line="170"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"Government Obligations" means securities which are (1) direct obligations of the United States of America, for the payment of which its full faith and credit is pledged or (2)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or trust company as custodian with respect to any Government Obligation or a specific payment of interest on or principal of any Government Obligation held by the custodian for the account of the holder of a depository receipt, provided that (except as required by law) the custodian is not authorized to make any deduction from the amount payable to the holder of the depository receipt from any amount received by the custodian in respect of the Government Obligation or the specific payment of interest on or principal of the Government Obligation evidenced by the depository receipt.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notes shall be governed by the laws of the State of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notes will be issued in the form of one or more fully-registered global notes in book-entry form, which will be deposited with, or on behalf of, The Depository Trust Company ("DTC") and registered in the name of DTC's nominee, Cede &amp; Co. Except as set forth below, the global notes may not be transferred except as a whole by DTC to a nominee of DTC or by a nominee of DTC to DTC or another nominee of DTC or by DTC or any such nominee to a successor of DTC or a nominee of such successor.</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So long as DTC or its nominee is the registered owner of a global note, DTC or its nominee, as the case may be, will be considered the sole holder of the notes represented by such global note for all purposes under the Indenture and the beneficial owners of such notes will be entitled only to those rights and benefits afforded to them in accordance with DTC's regular operating procedures. Except as provided below, owners of beneficial interests in a global note:</w:t>
      </w:r>
    </w:p>
    <w:p>
      <w:pPr>
        <w:spacing w:after="0" w:line="17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not a participant or an indirect participant in DTC, on the procedures of the DTC participant through which the investor owns its interest).</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with respect to the notes (i) DTC is at any time unwilling or unable to continue as depository or if at any time DTC ceases to be a clearing agency registered under the Exchange Act, and a successor depository is not appointed by us within 90 days, (ii) an Event of Default under the Indenture has occurred and is continuing or (iii) the issuer, in its sole discretion, determine at any time that such notes shall no longer be represented by a global note, the issuer will issue individual notes in certificated form of the same series and like tenor and in the applicable principal amount in exchange for the notes represented by the global note. In any such instance, an owner of a beneficial interest in a global note will be entitled to physical delivery of individual notes in certificated form of the same series and like tenor, equal in principal amount to such beneficial interest and to have such notes in certificated form registered in its name. Notes so issued in certificated form will be issued in denominations of $2,000 and any integral multiple of $1,000 in excess thereof and will be issued in registered form only, without coupons.</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None of the issuer, the guarantor 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note to such persons may be limited. Because DTC can only act on behalf of participants, who in turn act on behalf of indirect participants and certain banks, the ability of a person holding a beneficial interest in a global note to pledge its interest to a person or entity that does not participate in the DTC system, or otherwise take actions in respect of its interest, may be affected by the lack of a physical security.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None of the issuer, the guarantors, the underwriters or the Trustee will have any responsibility or liability for any aspect of the records relating to or payments made on account of the beneficial interests in a global note, or for maintaining, supervising or reviewing any records relating to such beneficial interests.</w:t>
      </w:r>
    </w:p>
    <w:p>
      <w:pPr>
        <w:spacing w:after="0" w:line="194" w:lineRule="exact"/>
        <w:rPr>
          <w:sz w:val="20"/>
          <w:szCs w:val="20"/>
          <w:color w:val="auto"/>
        </w:rPr>
      </w:pPr>
    </w:p>
    <w:p>
      <w:pPr>
        <w:ind w:right="920" w:firstLine="348"/>
        <w:spacing w:after="0" w:line="268" w:lineRule="auto"/>
        <w:rPr>
          <w:sz w:val="20"/>
          <w:szCs w:val="20"/>
          <w:color w:val="auto"/>
        </w:rPr>
      </w:pPr>
      <w:r>
        <w:rPr>
          <w:rFonts w:ascii="Arial" w:cs="Arial" w:eastAsia="Arial" w:hAnsi="Arial"/>
          <w:sz w:val="18"/>
          <w:szCs w:val="18"/>
          <w:color w:val="auto"/>
        </w:rPr>
        <w:t>The information in this section concerning DTC and DTC's system has been obtained from sources that we believe to be reliable, but we take no responsibility for its accuracy.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Same-Day Settlement and Payment</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Subject to the description below under "Global Clearance and Settlement Procedures", settlement for the notes will be made in immediately available funds. We will make all payments of principal, premium, if any, and interest in respect of the notes in immediately available funds while the notes are held in book-entry only 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Secondary market trading between Clearstream participants and/or Euroclear system participants will occur in the ordinary way in accordance with the applicable rules and operating procedures of Clearstream and the Euroclear system, as applicable.</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system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system participants may not deliver instructions directly to their respective U.S. depositaries.</w:t>
      </w:r>
    </w:p>
    <w:p>
      <w:pPr>
        <w:spacing w:after="0" w:line="19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of time-zone differences, credits of Notes received in Clearstream or the Euroclear system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Clearstream participant or Euroclear system participant on such Business Day. Cash received in Clearstream or the Euroclear system as a result of sales of the Notes by or through a Clearstream participant or a Euroclear system participant to a DTC participant will be received with value on the DTC settlement date but will be available in the relevant Clearstream or the Euroclear system cash account only as of the Business Day following settlement in DTC.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SL Green Operating Partnership, L.P. intends to offer the notes through Deutsche Bank Securities Inc., BMO Capital Markets Corp. and TD Securities (USA) LLC as representatives of the underwriters named below. Subject to the terms and conditions in the underwriting agreement dated the date of this prospectus supplement, each underwriter named below has severally agreed to purchase, and we have agreed to sell to that underwriter, the principal amount of notes set forth opposite the underwriter's name:</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61"/>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26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Amount 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42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342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342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342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of the notes offered by this prospectus supplement, if any of the notes are purchased. The underwriters reserve the right to reject an order for the purchase of the notes in whole or in part.</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agreed in the underwriting agreement to indemnify the underwriters against various liabilities that may arise in connection with this offering, including liabilities under the Securities Act. If we cannot indemnify the underwriters, we have agreed to contribute to payments the underwriters may be required to make in respect of those liabilities.</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underwriters propose initially to offer the notes at the public offering price indicated on the cover page of this prospectus supplement and may offer notes to dealers at that price less a concession not in excess of % of the principal amount of the notes. The underwriters may allow, reallow and those dealers may reallow, a discount not in excess of % of the principal amount of the notes. After the public offering of the notes, the public offering price and other selling terms may change.</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offering, we expect to incur expenses, excluding the underwriting discount, of approximately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8660" w:space="520"/>
            <w:col w:w="2240"/>
          </w:cols>
          <w:pgMar w:left="240" w:top="131" w:right="239" w:bottom="1440" w:gutter="0" w:footer="0" w:header="0"/>
          <w:type w:val="continuous"/>
        </w:sectPr>
      </w:pPr>
    </w:p>
    <w:p>
      <w:pPr>
        <w:spacing w:after="0" w:line="48" w:lineRule="exact"/>
        <w:rPr>
          <w:sz w:val="20"/>
          <w:szCs w:val="20"/>
          <w:color w:val="auto"/>
        </w:rPr>
      </w:pPr>
    </w:p>
    <w:p>
      <w:pPr>
        <w:ind w:right="260" w:firstLine="348"/>
        <w:spacing w:after="0" w:line="286" w:lineRule="auto"/>
        <w:rPr>
          <w:sz w:val="20"/>
          <w:szCs w:val="20"/>
          <w:color w:val="auto"/>
        </w:rPr>
      </w:pPr>
      <w:r>
        <w:rPr>
          <w:rFonts w:ascii="Arial" w:cs="Arial" w:eastAsia="Arial" w:hAnsi="Arial"/>
          <w:sz w:val="16"/>
          <w:szCs w:val="16"/>
          <w:color w:val="auto"/>
        </w:rPr>
        <w:t>We expect to deliver the notes offered hereby against payment for the notes on or about the date specified in the last paragraph of the cover page of this prospectus supplement, which will be the business day following the date of the pricing of the notes. Under Rule 15c6-1 of the Securities and Exchange</w:t>
      </w:r>
    </w:p>
    <w:p>
      <w:pPr>
        <w:sectPr>
          <w:pgSz w:w="11900" w:h="16838" w:orient="portrait"/>
          <w:cols w:equalWidth="0" w:num="1">
            <w:col w:w="11420"/>
          </w:cols>
          <w:pgMar w:left="240" w:top="131" w:right="239" w:bottom="1440" w:gutter="0" w:footer="0" w:header="0"/>
          <w:type w:val="continuous"/>
        </w:sectPr>
      </w:pPr>
    </w:p>
    <w:p>
      <w:pPr>
        <w:ind w:right="120"/>
        <w:spacing w:after="0" w:line="277" w:lineRule="auto"/>
        <w:rPr>
          <w:sz w:val="20"/>
          <w:szCs w:val="20"/>
          <w:color w:val="auto"/>
        </w:rPr>
      </w:pPr>
      <w:r>
        <w:rPr>
          <w:rFonts w:ascii="Arial" w:cs="Arial" w:eastAsia="Arial" w:hAnsi="Arial"/>
          <w:sz w:val="16"/>
          <w:szCs w:val="16"/>
          <w:color w:val="auto"/>
        </w:rPr>
        <w:t>Commission under the Securities Exchange Act of 1934, as amended, trades in the secondary market generally are required to settle in two business days, unless the parties to any such trade expressly agree otherwise. Accordingly, purchasers who wish to trade the notes on the date of pricing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succeeding business days will be required, by virtue of the fact that the notes initially will settle in T+ business days, to specify an alternate settlement cycle at the time of any such trade to prevent a failed settlement.</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notes are a new issue of securities with no established trading market. We do not intend to apply for the notes to be listed on any securities exchange. We cannot assure you that the prices at which the notes will sell in the market after this offering will not be lower than the initial offering price or that an active trading market for the notes will develop and continue after this offering. Accordingly, no assurance can be given as to the development or liquidity of any market for the notes.</w:t>
      </w:r>
    </w:p>
    <w:p>
      <w:pPr>
        <w:spacing w:after="0" w:line="197"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advisory, investment management, investment research, principal investment, hedging, financing and brokerage activities.</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Certain of the underwriters and their affiliates have from time to time provided, and may in the future provide, various investment banking, commercial banking, financial advisory and other services for us for which they have received or will receive customary fees and expenses.</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Certain affiliates of the underwriters are lenders and/or agents under our revolving credit facility. In addition, the underwriters or their affiliates may, from time to time, be tenants in commercial properties owned by us or our affiliates.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Directive from the requirement to publish a prospectus for offers of notes. This prospectus supplement is not a prospectus for the purposes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the United Kingdom, this prospectus supplement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Any person in the United Kingdom that is not a Relevant Person should not act or rely on this prospectus supplement and/or the accompanying prospectus or any of their contents. In the United Kingdom, any investment or investment activity to which this prospectus supplement related is only available to, and will be engaged in with, Relevant Persons.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in the United Kingdom, the notes may not be offered other than by an underwriter that:</w:t>
      </w:r>
    </w:p>
    <w:p>
      <w:pPr>
        <w:spacing w:after="0" w:line="239" w:lineRule="exact"/>
        <w:rPr>
          <w:sz w:val="20"/>
          <w:szCs w:val="20"/>
          <w:color w:val="auto"/>
        </w:rPr>
      </w:pPr>
    </w:p>
    <w:p>
      <w:pPr>
        <w:ind w:left="108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would not apply to the issuer; and</w:t>
      </w:r>
    </w:p>
    <w:p>
      <w:pPr>
        <w:spacing w:after="0" w:line="224"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has complied and will comply with all applicable provisions of the FSMA with respect to anything done by it in relation to the notes in, from or otherwise involving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280" w:firstLine="348"/>
        <w:spacing w:after="0" w:line="286" w:lineRule="auto"/>
        <w:rPr>
          <w:sz w:val="20"/>
          <w:szCs w:val="20"/>
          <w:color w:val="auto"/>
        </w:rPr>
      </w:pPr>
      <w:r>
        <w:rPr>
          <w:rFonts w:ascii="Arial" w:cs="Arial" w:eastAsia="Arial" w:hAnsi="Arial"/>
          <w:sz w:val="16"/>
          <w:szCs w:val="16"/>
          <w:color w:val="auto"/>
        </w:rPr>
        <w:t>The Notes have not been offered and will not be offered or sold in Hong Kong by means of any document other than (i) in circumstances which do not constitute an offer to the public within the meaning of the Companies (Winding Up and Miscellaneous Provisions) Ordinance (Cap. 32, Laws of Hong Kong),</w:t>
      </w: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"professional investors" within the meaning of the Securities and Futures Ordinance (Cap. 571, Laws of Hong Kong) and any rules made thereunder or</w:t>
      </w:r>
    </w:p>
    <w:p>
      <w:pPr>
        <w:spacing w:after="0" w:line="32" w:lineRule="exact"/>
        <w:rPr>
          <w:rFonts w:ascii="Arial" w:cs="Arial" w:eastAsia="Arial" w:hAnsi="Arial"/>
          <w:sz w:val="16"/>
          <w:szCs w:val="16"/>
          <w:color w:val="auto"/>
        </w:rPr>
      </w:pPr>
    </w:p>
    <w:p>
      <w:pPr>
        <w:ind w:firstLine="8"/>
        <w:spacing w:after="0" w:line="290" w:lineRule="auto"/>
        <w:tabs>
          <w:tab w:leader="none" w:pos="3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within the meaning of the Companies (Winding Up and Miscellaneous Provisions) Ordinance (Cap. 32, Laws of Hong Kong), and no advertisement, invitation or document relating to the Notes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Notes have not been and will not be registered under the Financial Instruments and Exchange Act of Japan (Law No. 25 of 1948, as amended) (the "Financial Instruments and Exchange Law"), and the Notes have not been offered or sold and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guidelines promulgated by the relevant Japanese governmental and regulatory authorities and in effect at the relevant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This prospectus supplement and the accompanying prospectus have not been approved or licensed by the Central Bank of the United Arab Emirates, or the UAE, Securities and Commodities Authority of the UAE, or the SCA, the Dubai Financial Services Authority, or the DFSA, or any other relevant licensing authority in the UAE. The offer of the notes does not constitute a public offer of securities in the UAE in accordance with relevant laws of the UAE, in particular, the Commercial Companies Law, Federal law No. 8 of 1984 (as amended), SCA Resolution No.(37) of 2012 or otherwise. Accordingly, the notes may not be offered to the public in the UAE (including the Dubai International Financial Centre).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This prospectus supplement and the attached prospectus are strictly private and confidential and are being issued to a limited number of institutional and individual investors: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who qualify as sophisticated investors;</w:t>
      </w:r>
    </w:p>
    <w:p>
      <w:pPr>
        <w:spacing w:after="0" w:line="252"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must not be provided to any person other than the original recipient, and may not be reproduced or used for any other purpose.</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Each underwriter represents and warrants that it has not and will not offer, sell, transfer or deliver the notes to the public in the UAE (including the Dubai International Financial Centre).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("SIX") or on any other stock exchange or regulated trading facility in Switzerland. This prospectus supplement and the accompanying prospectus do not constitute a prospectus within the meaning of, and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Each underwriter has represented and agreed not to publicly distribute or otherwise make publicly available in Switzerland this prospectus supplement or any other offering or marketing material relating to the notes.</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SL Green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accredited investor,</w:t>
      </w:r>
    </w:p>
    <w:p>
      <w:pPr>
        <w:spacing w:after="0" w:line="186"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debentures and units of shares and debentures of that corporation and the beneficiaries' rights and interest (howsoever described) in that trust shall not be transferred within six months after that corporation or that trust has acquired the notes pursuant to an offer made under Section 275 of the SFA except:</w:t>
      </w:r>
    </w:p>
    <w:p>
      <w:pPr>
        <w:spacing w:after="0" w:line="143" w:lineRule="exact"/>
        <w:rPr>
          <w:sz w:val="20"/>
          <w:szCs w:val="20"/>
          <w:color w:val="auto"/>
        </w:rPr>
      </w:pPr>
    </w:p>
    <w:p>
      <w:pPr>
        <w:ind w:left="1080" w:right="76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an institutional investor, a relevant person (as defined in Section 275(2) of the SFA), or any person pursuant to an offer referred to in Section 275(1A) of the SFA (in the case of that corporation) or Section 276(4)(i)(B) of the SFA (in the case of that trust);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Certain legal matters will be passed upon for us by Skadden, Arps, Slate, Meagher &amp; Flom LLP, New York, New York, and for the underwriters by Fried, Frank, Harris, Shriver &amp; Jacobson LLP, New York, New York. Ballard Spahr LLP, Baltimore, Maryland, will pass upon certain matters of Maryland law for SL Green Realty Corp. with respect to the notes offered hereby. Certain tax matters will be passed upon for us by Greenberg Traurig, LLP, New York, New York. Fried, Frank, Harris, Shriver &amp; Jacobson LLP has performed work for SL Green and its subsidiaries from time to time.</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consolidated financial statements of SL Green Realty Corp. and the consolidated financial statements of SL Green Operating Partnership, L.P., appearing in SL Green Realty Corp.'s Annual Report (Form 10-K) for the year ended December 31, 2017, including schedules appearing therein, and the effectiveness of SL Green Realty Corp.'s internal control over financial reporting as of December 31, 2017 and the effectiveness of SL Green Operating Partnership, L.P.'s internal control over financial reporting as of December 31, 2017,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consolidated financial statements of Reckson Operating Partnership, L.P. appearing in Reckson Operating Partnership, L.P.'s Annual Report (Form 10-</w:t>
      </w:r>
    </w:p>
    <w:p>
      <w:pPr>
        <w:spacing w:after="0" w:line="50" w:lineRule="exact"/>
        <w:rPr>
          <w:sz w:val="20"/>
          <w:szCs w:val="20"/>
          <w:color w:val="auto"/>
        </w:rPr>
      </w:pPr>
    </w:p>
    <w:p>
      <w:pPr>
        <w:ind w:right="100" w:firstLine="8"/>
        <w:spacing w:after="0" w:line="253" w:lineRule="auto"/>
        <w:tabs>
          <w:tab w:leader="none" w:pos="2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year ended December 31, 2017, including schedules appearing therein,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of SL Green, SL Green OP and ROP are subject to the reporting requirements of the Exchange Act, and in accordance therewith, file annual, quarterly and current reports and other information with the SEC. In addition, SL Green files proxy statements with the SEC. Copies of these reports and other information may be inspected without charge at the SEC's Public Reference Room located at 100 F Street, N.E., Washington, D.C. 20549. Please call the SEC at 1-800-SEC-0330 for further information on the operation of the Public Reference Room. The SEC maintains an Internet website (http://www.sec.gov) that contains reports, proxy statements and information statements, and other information regarding issuers that file electronically with the SEC. Our SEC filings are also available on our Internet website (http://www.slgreen.com). The information contained on or connected to our website is not, and you must not consider the information to be, a part of this prospectus supplement. Our securities are listed on the NYSE and all such material filed by us with the NYSE also can be inspected at the offices of the NYSE, 20 Broad Street, New York, New York 10005.</w:t>
      </w:r>
    </w:p>
    <w:p>
      <w:pPr>
        <w:spacing w:after="0" w:line="172"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have filed with the SEC a registration statement on Form S-3, of which this prospectus supplement and the accompanying prospectus are a part, under the Securities Act, with respect to the securities registered hereby. This prospectus supplement and the accompanying prospectus do not contain all of the information set forth in the registration statement, certain parts of which are omitted in accordance with the rules and regulations of the SEC. For further information concerning our company and the securities registered hereby, reference is made to the registration statement. Statements contained in this prospectus supplement and the accompanying prospectus as to the contents of any contract or other documents are not necessarily complete, and in each instance, reference is made to the copy of such contract or documents filed as exhibits to the registration statement, each such statement being qualified in all respects by such reference.</w:t>
      </w:r>
    </w:p>
    <w:p>
      <w:pPr>
        <w:spacing w:after="0" w:line="20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or any document that we file in the future with the SEC. This prospectus supplement incorporates by reference the documents set forth below that we have previously filed with the SEC and all documents that we file with the SEC under Sections 13(a), 13(c), 14 or 15(d) of the Exchange Act (other than any portion of the respective filings that are furnished pursuant to Item 2.02 or Item 7.01 of a Current Report on Form 8-K (including exhibits related thereto) or other applicable SEC rules, rather than filed) after the date of this prospectus supplement from their respective filing dates. These documents contain important information about us, our business and our finances.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gridSpan w:val="3"/>
          </w:tcPr>
          <w:p>
            <w:pPr>
              <w:ind w:left="1140"/>
              <w:spacing w:after="0"/>
              <w:rPr>
                <w:sz w:val="20"/>
                <w:szCs w:val="20"/>
                <w:color w:val="auto"/>
              </w:rPr>
            </w:pPr>
            <w:r>
              <w:rPr>
                <w:rFonts w:ascii="Arial" w:cs="Arial" w:eastAsia="Arial" w:hAnsi="Arial"/>
                <w:sz w:val="14"/>
                <w:szCs w:val="14"/>
                <w:b w:val="1"/>
                <w:bCs w:val="1"/>
                <w:color w:val="auto"/>
              </w:rPr>
              <w:t>Document</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2"/>
              </w:rPr>
              <w:t>SL Green</w:t>
            </w:r>
          </w:p>
        </w:tc>
        <w:tc>
          <w:tcPr>
            <w:tcW w:w="6140" w:type="dxa"/>
            <w:vAlign w:val="bottom"/>
          </w:tcPr>
          <w:p>
            <w:pPr>
              <w:ind w:left="140"/>
              <w:spacing w:after="0"/>
              <w:rPr>
                <w:sz w:val="20"/>
                <w:szCs w:val="20"/>
                <w:color w:val="auto"/>
              </w:rPr>
            </w:pPr>
            <w:r>
              <w:rPr>
                <w:rFonts w:ascii="Arial" w:cs="Arial" w:eastAsia="Arial" w:hAnsi="Arial"/>
                <w:sz w:val="18"/>
                <w:szCs w:val="18"/>
                <w:color w:val="auto"/>
              </w:rPr>
              <w:t>Realty Corp.'s Annual Report on Form 10-K (File No. 1-13199)</w:t>
            </w: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Year ended December 31, 2017</w:t>
            </w:r>
          </w:p>
        </w:tc>
        <w:tc>
          <w:tcPr>
            <w:tcW w:w="0" w:type="dxa"/>
            <w:vAlign w:val="bottom"/>
          </w:tcPr>
          <w:p>
            <w:pPr>
              <w:spacing w:after="0"/>
              <w:rPr>
                <w:sz w:val="1"/>
                <w:szCs w:val="1"/>
                <w:color w:val="auto"/>
              </w:rPr>
            </w:pPr>
          </w:p>
        </w:tc>
      </w:tr>
      <w:tr>
        <w:trPr>
          <w:trHeight w:val="844"/>
        </w:trPr>
        <w:tc>
          <w:tcPr>
            <w:tcW w:w="7880" w:type="dxa"/>
            <w:vAlign w:val="bottom"/>
            <w:gridSpan w:val="3"/>
            <w:vMerge w:val="restart"/>
          </w:tcPr>
          <w:p>
            <w:pPr>
              <w:ind w:left="1140"/>
              <w:spacing w:after="0"/>
              <w:rPr>
                <w:sz w:val="20"/>
                <w:szCs w:val="20"/>
                <w:color w:val="auto"/>
              </w:rPr>
            </w:pPr>
            <w:r>
              <w:rPr>
                <w:rFonts w:ascii="Arial" w:cs="Arial" w:eastAsia="Arial" w:hAnsi="Arial"/>
                <w:sz w:val="18"/>
                <w:szCs w:val="18"/>
                <w:color w:val="auto"/>
              </w:rPr>
              <w:t>SL Green Realty Corp.'s Quarterly Reports on Form 10-Q (File No. 1-13199)</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6"/>
        </w:trPr>
        <w:tc>
          <w:tcPr>
            <w:tcW w:w="7880" w:type="dxa"/>
            <w:vAlign w:val="bottom"/>
            <w:gridSpan w:val="3"/>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Quarter ended March 31, 2018</w:t>
            </w:r>
          </w:p>
        </w:tc>
        <w:tc>
          <w:tcPr>
            <w:tcW w:w="0" w:type="dxa"/>
            <w:vAlign w:val="bottom"/>
          </w:tcPr>
          <w:p>
            <w:pPr>
              <w:spacing w:after="0"/>
              <w:rPr>
                <w:sz w:val="1"/>
                <w:szCs w:val="1"/>
                <w:color w:val="auto"/>
              </w:rPr>
            </w:pPr>
          </w:p>
        </w:tc>
      </w:tr>
      <w:tr>
        <w:trPr>
          <w:trHeight w:val="844"/>
        </w:trPr>
        <w:tc>
          <w:tcPr>
            <w:tcW w:w="7880" w:type="dxa"/>
            <w:vAlign w:val="bottom"/>
            <w:gridSpan w:val="3"/>
            <w:vMerge w:val="restart"/>
          </w:tcPr>
          <w:p>
            <w:pPr>
              <w:ind w:left="1140"/>
              <w:spacing w:after="0"/>
              <w:rPr>
                <w:sz w:val="20"/>
                <w:szCs w:val="20"/>
                <w:color w:val="auto"/>
              </w:rPr>
            </w:pPr>
            <w:r>
              <w:rPr>
                <w:rFonts w:ascii="Arial" w:cs="Arial" w:eastAsia="Arial" w:hAnsi="Arial"/>
                <w:sz w:val="18"/>
                <w:szCs w:val="18"/>
                <w:color w:val="auto"/>
              </w:rPr>
              <w:t>SL Green Realty Corp.'s Current Reports on Form 8-K (File No. 1-13199)</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201"/>
        </w:trPr>
        <w:tc>
          <w:tcPr>
            <w:tcW w:w="7880" w:type="dxa"/>
            <w:vAlign w:val="bottom"/>
            <w:gridSpan w:val="3"/>
            <w:vMerge w:val="continue"/>
          </w:tcPr>
          <w:p>
            <w:pPr>
              <w:spacing w:after="0"/>
              <w:rPr>
                <w:sz w:val="17"/>
                <w:szCs w:val="17"/>
                <w:color w:val="auto"/>
              </w:rPr>
            </w:pPr>
          </w:p>
        </w:tc>
        <w:tc>
          <w:tcPr>
            <w:tcW w:w="2400" w:type="dxa"/>
            <w:vAlign w:val="bottom"/>
          </w:tcPr>
          <w:p>
            <w:pPr>
              <w:jc w:val="center"/>
              <w:spacing w:after="0" w:line="201" w:lineRule="exact"/>
              <w:rPr>
                <w:sz w:val="20"/>
                <w:szCs w:val="20"/>
                <w:color w:val="auto"/>
              </w:rPr>
            </w:pPr>
            <w:r>
              <w:rPr>
                <w:rFonts w:ascii="Arial" w:cs="Arial" w:eastAsia="Arial" w:hAnsi="Arial"/>
                <w:sz w:val="18"/>
                <w:szCs w:val="18"/>
                <w:color w:val="auto"/>
                <w:w w:val="87"/>
              </w:rPr>
              <w:t>February 5,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May 3,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May 15,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May 31,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5"/>
              </w:rPr>
              <w:t>June 14, 2018</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July 26, 2018</w:t>
            </w:r>
          </w:p>
        </w:tc>
        <w:tc>
          <w:tcPr>
            <w:tcW w:w="0" w:type="dxa"/>
            <w:vAlign w:val="bottom"/>
          </w:tcPr>
          <w:p>
            <w:pPr>
              <w:spacing w:after="0"/>
              <w:rPr>
                <w:sz w:val="1"/>
                <w:szCs w:val="1"/>
                <w:color w:val="auto"/>
              </w:rPr>
            </w:pPr>
          </w:p>
        </w:tc>
      </w:tr>
      <w:tr>
        <w:trPr>
          <w:trHeight w:val="853"/>
        </w:trPr>
        <w:tc>
          <w:tcPr>
            <w:tcW w:w="7880" w:type="dxa"/>
            <w:vAlign w:val="bottom"/>
            <w:gridSpan w:val="3"/>
            <w:vMerge w:val="restart"/>
          </w:tcPr>
          <w:p>
            <w:pPr>
              <w:ind w:left="1140"/>
              <w:spacing w:after="0"/>
              <w:rPr>
                <w:sz w:val="20"/>
                <w:szCs w:val="20"/>
                <w:color w:val="auto"/>
              </w:rPr>
            </w:pPr>
            <w:r>
              <w:rPr>
                <w:rFonts w:ascii="Arial" w:cs="Arial" w:eastAsia="Arial" w:hAnsi="Arial"/>
                <w:sz w:val="18"/>
                <w:szCs w:val="18"/>
                <w:color w:val="auto"/>
                <w:w w:val="95"/>
              </w:rPr>
              <w:t>SL Green Realty Corp.'s Definitive Proxy Statement on Schedule 14A (File No. 1-13199)</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216"/>
        </w:trPr>
        <w:tc>
          <w:tcPr>
            <w:tcW w:w="7880" w:type="dxa"/>
            <w:vAlign w:val="bottom"/>
            <w:gridSpan w:val="3"/>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April 30, 2018</w:t>
            </w:r>
          </w:p>
        </w:tc>
        <w:tc>
          <w:tcPr>
            <w:tcW w:w="0" w:type="dxa"/>
            <w:vAlign w:val="bottom"/>
          </w:tcPr>
          <w:p>
            <w:pPr>
              <w:spacing w:after="0"/>
              <w:rPr>
                <w:sz w:val="1"/>
                <w:szCs w:val="1"/>
                <w:color w:val="auto"/>
              </w:rPr>
            </w:pPr>
          </w:p>
        </w:tc>
      </w:tr>
      <w:tr>
        <w:trPr>
          <w:trHeight w:val="424"/>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SL Green Operating Partnership, L.P.</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880" w:type="dxa"/>
            <w:vAlign w:val="bottom"/>
            <w:gridSpan w:val="3"/>
          </w:tcPr>
          <w:p>
            <w:pPr>
              <w:ind w:left="1140"/>
              <w:spacing w:after="0"/>
              <w:rPr>
                <w:sz w:val="20"/>
                <w:szCs w:val="20"/>
                <w:color w:val="auto"/>
              </w:rPr>
            </w:pPr>
            <w:r>
              <w:rPr>
                <w:rFonts w:ascii="Arial" w:cs="Arial" w:eastAsia="Arial" w:hAnsi="Arial"/>
                <w:sz w:val="14"/>
                <w:szCs w:val="14"/>
                <w:b w:val="1"/>
                <w:bCs w:val="1"/>
                <w:color w:val="auto"/>
              </w:rPr>
              <w:t>Document</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2"/>
              </w:rPr>
              <w:t>SL Green</w:t>
            </w:r>
          </w:p>
        </w:tc>
        <w:tc>
          <w:tcPr>
            <w:tcW w:w="6140" w:type="dxa"/>
            <w:vAlign w:val="bottom"/>
          </w:tcPr>
          <w:p>
            <w:pPr>
              <w:ind w:left="140"/>
              <w:spacing w:after="0" w:line="201" w:lineRule="exact"/>
              <w:rPr>
                <w:sz w:val="20"/>
                <w:szCs w:val="20"/>
                <w:color w:val="auto"/>
              </w:rPr>
            </w:pPr>
            <w:r>
              <w:rPr>
                <w:rFonts w:ascii="Arial" w:cs="Arial" w:eastAsia="Arial" w:hAnsi="Arial"/>
                <w:sz w:val="18"/>
                <w:szCs w:val="18"/>
                <w:color w:val="auto"/>
                <w:w w:val="92"/>
              </w:rPr>
              <w:t>Operating Partnership, L.P.'s Annual Report on Form 10-K (File No. 333-167793-</w:t>
            </w:r>
          </w:p>
        </w:tc>
        <w:tc>
          <w:tcPr>
            <w:tcW w:w="2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Year ended December 31, 2017</w:t>
            </w:r>
          </w:p>
        </w:tc>
        <w:tc>
          <w:tcPr>
            <w:tcW w:w="0" w:type="dxa"/>
            <w:vAlign w:val="bottom"/>
          </w:tcPr>
          <w:p>
            <w:pPr>
              <w:spacing w:after="0"/>
              <w:rPr>
                <w:sz w:val="1"/>
                <w:szCs w:val="1"/>
                <w:color w:val="auto"/>
              </w:rPr>
            </w:pPr>
          </w:p>
        </w:tc>
      </w:tr>
      <w:tr>
        <w:trPr>
          <w:trHeight w:val="222"/>
        </w:trPr>
        <w:tc>
          <w:tcPr>
            <w:tcW w:w="1740" w:type="dxa"/>
            <w:vAlign w:val="bottom"/>
            <w:gridSpan w:val="2"/>
          </w:tcPr>
          <w:p>
            <w:pPr>
              <w:ind w:left="1320"/>
              <w:spacing w:after="0"/>
              <w:rPr>
                <w:sz w:val="20"/>
                <w:szCs w:val="20"/>
                <w:color w:val="auto"/>
              </w:rPr>
            </w:pPr>
            <w:r>
              <w:rPr>
                <w:rFonts w:ascii="Arial" w:cs="Arial" w:eastAsia="Arial" w:hAnsi="Arial"/>
                <w:sz w:val="18"/>
                <w:szCs w:val="18"/>
                <w:color w:val="auto"/>
              </w:rPr>
              <w:t>02)</w:t>
            </w:r>
          </w:p>
        </w:tc>
        <w:tc>
          <w:tcPr>
            <w:tcW w:w="6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3"/>
        </w:trPr>
        <w:tc>
          <w:tcPr>
            <w:tcW w:w="7880" w:type="dxa"/>
            <w:vAlign w:val="bottom"/>
            <w:gridSpan w:val="3"/>
            <w:vMerge w:val="restart"/>
          </w:tcPr>
          <w:p>
            <w:pPr>
              <w:ind w:left="1140"/>
              <w:spacing w:after="0"/>
              <w:rPr>
                <w:sz w:val="20"/>
                <w:szCs w:val="20"/>
                <w:color w:val="auto"/>
              </w:rPr>
            </w:pPr>
            <w:r>
              <w:rPr>
                <w:rFonts w:ascii="Arial" w:cs="Arial" w:eastAsia="Arial" w:hAnsi="Arial"/>
                <w:sz w:val="18"/>
                <w:szCs w:val="18"/>
                <w:color w:val="auto"/>
              </w:rPr>
              <w:t>SL Green Realty Corp.'s Quarterly Reports on Form 10-Q (File No. 333-167793-02)</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6"/>
        </w:trPr>
        <w:tc>
          <w:tcPr>
            <w:tcW w:w="7880" w:type="dxa"/>
            <w:vAlign w:val="bottom"/>
            <w:gridSpan w:val="3"/>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Quarter ended March 31, 2018</w:t>
            </w:r>
          </w:p>
        </w:tc>
        <w:tc>
          <w:tcPr>
            <w:tcW w:w="0" w:type="dxa"/>
            <w:vAlign w:val="bottom"/>
          </w:tcPr>
          <w:p>
            <w:pPr>
              <w:spacing w:after="0"/>
              <w:rPr>
                <w:sz w:val="1"/>
                <w:szCs w:val="1"/>
                <w:color w:val="auto"/>
              </w:rPr>
            </w:pPr>
          </w:p>
        </w:tc>
      </w:tr>
      <w:tr>
        <w:trPr>
          <w:trHeight w:val="424"/>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Reckson Operating Partnership, L.P.</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31" w:right="479" w:bottom="1440" w:gutter="0" w:footer="0" w:header="0"/>
        </w:sectPr>
      </w:pPr>
    </w:p>
    <w:p>
      <w:pPr>
        <w:spacing w:after="0" w:line="5"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Document</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Reckson Operating Partnership, L.P.'s Annual Report on Form 10-K (File No. 033-84580)</w:t>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Reckson Operating Partnership, L.P.'s Quarterly Report on Form 10-Q (File No. 033-84580)</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0</wp:posOffset>
            </wp:positionV>
            <wp:extent cx="15265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ind w:left="20" w:right="1000" w:hanging="24"/>
        <w:spacing w:after="0" w:line="359" w:lineRule="auto"/>
        <w:rPr>
          <w:sz w:val="20"/>
          <w:szCs w:val="20"/>
          <w:color w:val="auto"/>
        </w:rPr>
      </w:pPr>
      <w:r>
        <w:rPr>
          <w:rFonts w:ascii="Arial" w:cs="Arial" w:eastAsia="Arial" w:hAnsi="Arial"/>
          <w:sz w:val="15"/>
          <w:szCs w:val="15"/>
          <w:color w:val="auto"/>
        </w:rPr>
        <w:t>Year ended December 31, 2017 Quarter ended March 31, 2018</w:t>
      </w:r>
    </w:p>
    <w:p>
      <w:pPr>
        <w:spacing w:after="0" w:line="124" w:lineRule="exact"/>
        <w:rPr>
          <w:sz w:val="20"/>
          <w:szCs w:val="20"/>
          <w:color w:val="auto"/>
        </w:rPr>
      </w:pPr>
    </w:p>
    <w:p>
      <w:pPr>
        <w:sectPr>
          <w:pgSz w:w="11900" w:h="16838" w:orient="portrait"/>
          <w:cols w:equalWidth="0" w:num="2">
            <w:col w:w="7640" w:space="340"/>
            <w:col w:w="3200"/>
          </w:cols>
          <w:pgMar w:left="240" w:top="131" w:right="479" w:bottom="1440" w:gutter="0" w:footer="0" w:header="0"/>
          <w:type w:val="continuous"/>
        </w:sectPr>
      </w:pPr>
    </w:p>
    <w:p>
      <w:pPr>
        <w:jc w:val="both"/>
        <w:ind w:firstLine="341"/>
        <w:spacing w:after="0" w:line="306" w:lineRule="auto"/>
        <w:rPr>
          <w:sz w:val="20"/>
          <w:szCs w:val="20"/>
          <w:color w:val="auto"/>
        </w:rPr>
      </w:pPr>
      <w:r>
        <w:rPr>
          <w:rFonts w:ascii="Arial" w:cs="Arial" w:eastAsia="Arial" w:hAnsi="Arial"/>
          <w:sz w:val="16"/>
          <w:szCs w:val="16"/>
          <w:color w:val="auto"/>
        </w:rPr>
        <w:t>At your request, either orally or in writing, we will provide you with a copy of any or all documents which are incorporated by reference. Such documents will be provided to you free of charge, but will not contain any exhibits, unless those exhibits are specifically incorporated by reference into those documents. Requests should be addressed to Matt DiLiberto, SL Green Realty Corp., 420 Lexington Avenue, New York, NY 10170, telephone number (212) 594-2700.</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152400</wp:posOffset>
            </wp:positionV>
            <wp:extent cx="1706880" cy="488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688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260" w:right="540"/>
        <w:spacing w:after="0" w:line="281" w:lineRule="auto"/>
        <w:rPr>
          <w:sz w:val="20"/>
          <w:szCs w:val="20"/>
          <w:color w:val="auto"/>
        </w:rPr>
      </w:pPr>
      <w:r>
        <w:rPr>
          <w:rFonts w:ascii="Arial" w:cs="Arial" w:eastAsia="Arial" w:hAnsi="Arial"/>
          <w:sz w:val="24"/>
          <w:szCs w:val="24"/>
          <w:b w:val="1"/>
          <w:bCs w:val="1"/>
          <w:color w:val="auto"/>
        </w:rPr>
        <w:t>Common Stock, Preferred Stock, Debt Securities, Guarantees of Debt Securities, Depositary Shares Representing Preferred Stock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105410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color w:val="auto"/>
        </w:rPr>
        <w:t>SL Green Realty Corp. may from time to time offer, in one or more series or classes, separately or together, and in amounts, at prices and on terms to be set forth in one or more supplements to this prospectus, the following securities:</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common stock, par value $0.01 per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preferred stock, par value $0.01 per share;</w:t>
      </w:r>
    </w:p>
    <w:p>
      <w:pPr>
        <w:spacing w:after="0" w:line="238"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depositary shares representing entitlement to all rights and preferences of fractions of shares of preferred stock of a specified series and represented by depositary receipts;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warrants to purchase shares of common stock, preferred stock or depositary shares;</w:t>
      </w:r>
    </w:p>
    <w:p>
      <w:pPr>
        <w:spacing w:after="0" w:line="25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securities, including as a co-obligor of debt securities co-issued by SL Green Operating Partnership, L.P. and/or Reckson Operating Partnership, L.P.;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guarantees of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 Green Operating Partnership, L.P. may from time to time offer, in one or more series: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debt securities, including as a co-obligor of debt securities co-issued by SL Green Realty Corp. and/or Reckson Operating Partnership, L.P.;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guarantees of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Reckson Operating Partnership, L.P. may from time to time offer, in one or more series:</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debt securities, including as a co-obligor of debt securities co-issued by SL Green Operating Partnership, L.P. and/or SL Green Realty Corp.;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guarantees of debt securities.</w:t>
      </w:r>
    </w:p>
    <w:p>
      <w:pPr>
        <w:spacing w:after="0" w:line="225" w:lineRule="exact"/>
        <w:rPr>
          <w:sz w:val="20"/>
          <w:szCs w:val="20"/>
          <w:color w:val="auto"/>
        </w:rPr>
      </w:pPr>
    </w:p>
    <w:p>
      <w:pPr>
        <w:ind w:right="80" w:firstLine="395"/>
        <w:spacing w:after="0" w:line="306" w:lineRule="auto"/>
        <w:rPr>
          <w:sz w:val="20"/>
          <w:szCs w:val="20"/>
          <w:color w:val="auto"/>
        </w:rPr>
      </w:pPr>
      <w:r>
        <w:rPr>
          <w:rFonts w:ascii="Arial" w:cs="Arial" w:eastAsia="Arial" w:hAnsi="Arial"/>
          <w:sz w:val="16"/>
          <w:szCs w:val="16"/>
          <w:color w:val="auto"/>
        </w:rPr>
        <w:t>In addition, selling stockholders to be named in one or more prospectus supplements may offer shares of SL Green Realty Corp.'s common stock from time to time.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refer to the common stock, preferred stock, guarantees, depositary shares, warrants and debt securities collectively as the "securities" in this prospectus.</w:t>
      </w:r>
    </w:p>
    <w:p>
      <w:pPr>
        <w:spacing w:after="0" w:line="260"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set forth in the applicable prospectus supplement. The prospectus supplement will also contain information, where applicable, about certain federal income tax considerations relating to, and any listing on a securities exchange of, the securities covered by such prospectus supplement. It is important that you read both this prospectus and the applicable prospectus supplement before you invest in the securities.</w:t>
      </w:r>
    </w:p>
    <w:p>
      <w:pPr>
        <w:spacing w:after="0" w:line="197" w:lineRule="exact"/>
        <w:rPr>
          <w:sz w:val="20"/>
          <w:szCs w:val="20"/>
          <w:color w:val="auto"/>
        </w:rPr>
      </w:pPr>
    </w:p>
    <w:p>
      <w:pPr>
        <w:ind w:right="100" w:firstLine="392"/>
        <w:spacing w:after="0" w:line="298" w:lineRule="auto"/>
        <w:rPr>
          <w:sz w:val="20"/>
          <w:szCs w:val="20"/>
          <w:color w:val="auto"/>
        </w:rPr>
      </w:pPr>
      <w:r>
        <w:rPr>
          <w:rFonts w:ascii="Arial" w:cs="Arial" w:eastAsia="Arial" w:hAnsi="Arial"/>
          <w:sz w:val="16"/>
          <w:szCs w:val="16"/>
          <w:color w:val="auto"/>
        </w:rPr>
        <w:t>These securities may be offered and sold to or through one or more underwriters, dealers and agents, or directly to purchasers, on a continuous or delayed basis. The prospectus supplement will describe the terms of the plan of distribution and set forth the names of any agents, dealers or underwriters involved in the sale of the securities. See "Plan of Distribution" beginning on page 51 for more information on this topic. No securities may be sold without delivery of a prospectus supplement describing the method and terms of the offering of those securities.</w:t>
      </w:r>
    </w:p>
    <w:p>
      <w:pPr>
        <w:spacing w:after="0" w:line="167" w:lineRule="exact"/>
        <w:rPr>
          <w:sz w:val="20"/>
          <w:szCs w:val="20"/>
          <w:color w:val="auto"/>
        </w:rPr>
      </w:pPr>
    </w:p>
    <w:p>
      <w:pPr>
        <w:ind w:firstLine="395"/>
        <w:spacing w:after="0" w:line="298" w:lineRule="auto"/>
        <w:rPr>
          <w:sz w:val="20"/>
          <w:szCs w:val="20"/>
          <w:color w:val="auto"/>
        </w:rPr>
      </w:pPr>
      <w:r>
        <w:rPr>
          <w:rFonts w:ascii="Arial" w:cs="Arial" w:eastAsia="Arial" w:hAnsi="Arial"/>
          <w:sz w:val="16"/>
          <w:szCs w:val="16"/>
          <w:color w:val="auto"/>
        </w:rPr>
        <w:t>SL Green Realty Corp.'s common stock is listed on the New York Stock Exchange, or the NYSE, under the symbol "SLG." On December 16, 2015 the closing sale price of SL Green Realty Corp.'s common stock on the NYSE was $114.31 per share. SL Green Realty Corp.'s 6.50% Series I cumulative redeemable preferred stock, liquidation preference $25.00 per share, is listed on the NYSE under the symbol "SLGPrI.", or the Series I Preferred Stock. On December 16, 2015, the closing sale price of SL Green Realty Corp.'s 6.50% Series I Preferred Stock on the NYSE was $25.18 per share.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See "Risk Factors" on page 4 of this prospectus for a description of risk factors that should be considered by purchasers of the securities.</w:t>
      </w:r>
    </w:p>
    <w:p>
      <w:pPr>
        <w:spacing w:after="0" w:line="248" w:lineRule="exact"/>
        <w:rPr>
          <w:sz w:val="20"/>
          <w:szCs w:val="20"/>
          <w:color w:val="auto"/>
        </w:rPr>
      </w:pPr>
    </w:p>
    <w:p>
      <w:pPr>
        <w:ind w:right="60" w:firstLine="395"/>
        <w:spacing w:after="0" w:line="339" w:lineRule="auto"/>
        <w:rPr>
          <w:sz w:val="20"/>
          <w:szCs w:val="20"/>
          <w:color w:val="auto"/>
        </w:rPr>
      </w:pPr>
      <w:r>
        <w:rPr>
          <w:rFonts w:ascii="Arial" w:cs="Arial" w:eastAsia="Arial" w:hAnsi="Arial"/>
          <w:sz w:val="16"/>
          <w:szCs w:val="16"/>
          <w:b w:val="1"/>
          <w:bCs w:val="1"/>
          <w:color w:val="auto"/>
        </w:rPr>
        <w:t>Neither the Securities and Exchange Commission, or the SEC, nor any state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December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836" w:gutter="0" w:footer="0" w:header="0"/>
        </w:sectPr>
      </w:pPr>
    </w:p>
    <w:bookmarkStart w:id="54" w:name="page55"/>
    <w:bookmarkEnd w:id="54"/>
    <w:tbl>
      <w:tblPr>
        <w:tblLayout w:type="fixed"/>
        <w:tblInd w:w="1140" w:type="dxa"/>
        <w:tblCellMar>
          <w:top w:w="0" w:type="dxa"/>
          <w:left w:w="0" w:type="dxa"/>
          <w:bottom w:w="0" w:type="dxa"/>
          <w:right w:w="0" w:type="dxa"/>
        </w:tblCellMar>
      </w:tblPr>
      <w:tr>
        <w:trPr>
          <w:trHeight w:val="228"/>
        </w:trPr>
        <w:tc>
          <w:tcPr>
            <w:tcW w:w="820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9"/>
                <w:szCs w:val="19"/>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ABOUT THIS PROSPECTUS</w:t>
            </w:r>
          </w:p>
        </w:tc>
        <w:tc>
          <w:tcPr>
            <w:tcW w:w="7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INFORMATION ABOUT SL GREEN REALTY CORP.</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INFORMATION ABOUT SL GREEN OPERATING PARTNERSHIP, L.P.</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INFORMATION ABOUT RECKSON OPERATING PARTNERSHIP, L.P.</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FORWARD-LOOKING STATEMENTS MAY PROVE INACCURATE</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RATIOS OF EARNINGS TO COMBINED FIXED CHARGES AND PREFERRED STOCK DIVIDENDS</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PRICE RANGE OF COMMON STOCK AND DIVIDEND POLICY</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DESCRIPTION OF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DESCRIPTION OF DEPOSITARY SHARES</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DESCRIPTION OF GUARANTEES OF DEBT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CERTAIN ANTI-TAKEOVER PROVISIONS OF MARYLAND LAW</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RESTRICTIONS ON OWNERSHIP OF CAPITAL STOCK</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MATERIAL UNITED STATES FEDERAL INCOME TAX CONSEQUENCES</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SELLING STOCKHOLDERS</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PLAN OF DISTRIBUTION</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LEGAL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EXPERTS</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WHERE YOU CAN FIND MORE INFORMATION; INCORPORATION BY REFERENCE</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04"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You should rely only on the information incorporated by reference or provided in this prospectus or any accompanying prospectus supplement. We have not authorized anyone to provide you with additional or different information. If anyone provided you with additional or different information, you should not rely on it. We are not making an offer to sell these securities in any jurisdiction where the offer or sale is not permitted. You should assume that the information contained in this prospectus, any accompanying prospectus supplement and the documents incorporated by reference herein and therein is accurate only as of their respective dates or on other dates which are specified in those documents. Our business, financial condition, results of operations and prospects may have changed since those dates.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prospectus is part of an automatic shelf registration statement that we filed with the SEC in accordance with General Instruction I.D. of Form S-3, using a "shelf" registration process for the delayed offering and sale of securities pursuant to Rule 415 under the Securities Act of 1933, as amended, or the Securities Act. Under the shelf process, we and/or the selling stockholders may, from time to time, sell the offered securities described in this prospectus in one or more offerings. This prospectus provides you with a general description of the securities we and/or the selling stockholders may offer. Each time we and/or the selling stockholders sell securities, we and/or the selling stockholders will provide a prospectus supplement containing specific information about the terms of the securities being offered and the specific manner in which they will be offered. The prospectus supplement may also add, update or change information contained in this prospectus.</w:t>
      </w:r>
    </w:p>
    <w:p>
      <w:pPr>
        <w:spacing w:after="0" w:line="201"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This prospectus and any accompanying prospectus supplement do not contain all of the information included in the registration statement. We have omitted parts of the registration statement in accordance with the rules and regulations of the SEC. For further information, we refer you to the registration statement on Form S-3 of which this prospectus is a part, including its exhibits. Statements contained in this prospectus and any accompanying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54" w:lineRule="exact"/>
        <w:rPr>
          <w:sz w:val="20"/>
          <w:szCs w:val="20"/>
          <w:color w:val="auto"/>
        </w:rPr>
      </w:pPr>
    </w:p>
    <w:p>
      <w:pPr>
        <w:ind w:right="200" w:firstLine="345"/>
        <w:spacing w:after="0" w:line="298" w:lineRule="auto"/>
        <w:rPr>
          <w:sz w:val="20"/>
          <w:szCs w:val="20"/>
          <w:color w:val="auto"/>
        </w:rPr>
      </w:pPr>
      <w:r>
        <w:rPr>
          <w:rFonts w:ascii="Arial" w:cs="Arial" w:eastAsia="Arial" w:hAnsi="Arial"/>
          <w:sz w:val="16"/>
          <w:szCs w:val="16"/>
          <w:color w:val="auto"/>
        </w:rPr>
        <w:t>You should read this prospectus together with any additional information you may need to make your investment decision. You should also read and carefully consider the information in the documents we have referred you to in "Where You Can Find More Information; Incorporation by Reference"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6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used in this prospectus, unless the context otherwise requires, the terms "SL Green," "we," "us," "our," "the Company," and "our company" refer to SL Green Realty Corp., all entities owned or controlled by SL Green Realty Corp., including SL Green Operating Partnership, L.P., our operating partnership or "SL Green Operating Partnership," and Reckson Operating Partnership, L.P., or "Reckson Operating Partnership." In addition, the term "properties" means those which we directly own by holding fee title, leasehold or otherwise or indirectly own, in whole or in part, by holding interests in entities that own such properties.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INFORMATION ABOUT SL GREEN REALTY CORP.</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SL Green Realty Corp. is a self-managed real estate investment trust, or REIT, with in-house capabilities in property management, acquisitions and dispositions, financing, development and redevelopment, construction and leasing. We were incorporated in Maryland in June 1997 for the purpose of continuing the commercial real estate business of S.L. Green Properties, Inc., our predecessor entity. S.L. Green Properties, Inc., which was founded in 1980 by Stephen L. Green, the Company's Chairman, had been engaged in the business of owning, managing, leasing, acquiring and repositioning office properties in Manhattan, a borough of New York City. Reckson Associates Realty Corp., or Reckson, and Reckson Operating Partnership, L.P., or ROP, are wholly-owned subsidiaries of SL Green Operating Partnership, L.P., the Operating Partnership.</w:t>
      </w:r>
    </w:p>
    <w:p>
      <w:pPr>
        <w:spacing w:after="0" w:line="174"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of September 30, 2015, we owned the following interests in commercial office properties in the New York Metropolitan area, primarily in midtown Manhattan. Our investments in the New York Metropolitan area also include investments in Brooklyn, Long Island, Westchester County, Connecticut and New Jersey, which are collectively known as the Suburban properties: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Unconsolidated</w:t>
            </w: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4"/>
                <w:szCs w:val="14"/>
                <w:b w:val="1"/>
                <w:bCs w:val="1"/>
                <w:color w:val="auto"/>
                <w:w w:val="77"/>
              </w:rPr>
              <w:t>Total</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Approximate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3"/>
              </w:rPr>
              <w:t>Approximate</w:t>
            </w: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1160" w:type="dxa"/>
            <w:vAlign w:val="bottom"/>
            <w:gridSpan w:val="3"/>
          </w:tcPr>
          <w:p>
            <w:pPr>
              <w:ind w:left="360"/>
              <w:spacing w:after="0"/>
              <w:rPr>
                <w:sz w:val="20"/>
                <w:szCs w:val="20"/>
                <w:color w:val="auto"/>
              </w:rPr>
            </w:pPr>
            <w:r>
              <w:rPr>
                <w:rFonts w:ascii="Arial" w:cs="Arial" w:eastAsia="Arial" w:hAnsi="Arial"/>
                <w:sz w:val="14"/>
                <w:szCs w:val="14"/>
                <w:b w:val="1"/>
                <w:bCs w:val="1"/>
                <w:color w:val="auto"/>
              </w:rPr>
              <w:t>Type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Properties</w:t>
            </w:r>
          </w:p>
        </w:tc>
        <w:tc>
          <w:tcPr>
            <w:tcW w:w="86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Square Feet</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Properties</w:t>
            </w:r>
          </w:p>
        </w:tc>
        <w:tc>
          <w:tcPr>
            <w:tcW w:w="14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Properties</w:t>
            </w:r>
          </w:p>
        </w:tc>
        <w:tc>
          <w:tcPr>
            <w:tcW w:w="1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Square Feet</w:t>
            </w: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Occupancy(1)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Commercial:</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Manhattan</w:t>
            </w:r>
          </w:p>
        </w:tc>
        <w:tc>
          <w:tcPr>
            <w:tcW w:w="1300" w:type="dxa"/>
            <w:vAlign w:val="bottom"/>
            <w:gridSpan w:val="4"/>
          </w:tcPr>
          <w:p>
            <w:pPr>
              <w:ind w:left="140"/>
              <w:spacing w:after="0"/>
              <w:rPr>
                <w:sz w:val="20"/>
                <w:szCs w:val="20"/>
                <w:color w:val="auto"/>
              </w:rPr>
            </w:pPr>
            <w:r>
              <w:rPr>
                <w:rFonts w:ascii="Arial" w:cs="Arial" w:eastAsia="Arial" w:hAnsi="Arial"/>
                <w:sz w:val="14"/>
                <w:szCs w:val="14"/>
                <w:color w:val="auto"/>
              </w:rPr>
              <w:t>Office</w:t>
            </w: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20,700,091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3,328,496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24,028,587</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4"/>
          </w:tcPr>
          <w:p>
            <w:pPr>
              <w:ind w:left="140"/>
              <w:spacing w:after="0"/>
              <w:rPr>
                <w:sz w:val="20"/>
                <w:szCs w:val="20"/>
                <w:color w:val="auto"/>
              </w:rPr>
            </w:pPr>
            <w:r>
              <w:rPr>
                <w:rFonts w:ascii="Arial" w:cs="Arial" w:eastAsia="Arial" w:hAnsi="Arial"/>
                <w:sz w:val="14"/>
                <w:szCs w:val="14"/>
                <w:color w:val="auto"/>
              </w:rPr>
              <w:t>Retail</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9(3)</w:t>
            </w:r>
          </w:p>
        </w:tc>
        <w:tc>
          <w:tcPr>
            <w:tcW w:w="860" w:type="dxa"/>
            <w:vAlign w:val="bottom"/>
          </w:tcPr>
          <w:p>
            <w:pPr>
              <w:jc w:val="right"/>
              <w:spacing w:after="0"/>
              <w:rPr>
                <w:sz w:val="20"/>
                <w:szCs w:val="20"/>
                <w:color w:val="auto"/>
              </w:rPr>
            </w:pPr>
            <w:r>
              <w:rPr>
                <w:rFonts w:ascii="Arial" w:cs="Arial" w:eastAsia="Arial" w:hAnsi="Arial"/>
                <w:sz w:val="14"/>
                <w:szCs w:val="14"/>
                <w:color w:val="auto"/>
              </w:rPr>
              <w:t>408,993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347,970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756,963</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Development/</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4"/>
          </w:tcPr>
          <w:p>
            <w:pPr>
              <w:ind w:left="140"/>
              <w:spacing w:after="0"/>
              <w:rPr>
                <w:sz w:val="20"/>
                <w:szCs w:val="20"/>
                <w:color w:val="auto"/>
              </w:rPr>
            </w:pPr>
            <w:r>
              <w:rPr>
                <w:rFonts w:ascii="Arial" w:cs="Arial" w:eastAsia="Arial" w:hAnsi="Arial"/>
                <w:sz w:val="14"/>
                <w:szCs w:val="14"/>
                <w:color w:val="auto"/>
                <w:w w:val="98"/>
              </w:rPr>
              <w:t>Redevelopment(2)</w:t>
            </w: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72,962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1,952,782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2,025,744</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4"/>
          </w:tcPr>
          <w:p>
            <w:pPr>
              <w:ind w:left="140"/>
              <w:spacing w:after="0"/>
              <w:rPr>
                <w:sz w:val="20"/>
                <w:szCs w:val="20"/>
                <w:color w:val="auto"/>
              </w:rPr>
            </w:pPr>
            <w:r>
              <w:rPr>
                <w:rFonts w:ascii="Arial" w:cs="Arial" w:eastAsia="Arial" w:hAnsi="Arial"/>
                <w:sz w:val="14"/>
                <w:szCs w:val="14"/>
                <w:color w:val="auto"/>
              </w:rPr>
              <w:t>Fee Interest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783,530</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783,530</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21,965,576</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5,629,248</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27,594,824</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Suburban</w:t>
            </w:r>
          </w:p>
        </w:tc>
        <w:tc>
          <w:tcPr>
            <w:tcW w:w="1300" w:type="dxa"/>
            <w:vAlign w:val="bottom"/>
            <w:gridSpan w:val="4"/>
            <w:shd w:val="clear" w:color="auto" w:fill="CCEEFF"/>
          </w:tcPr>
          <w:p>
            <w:pPr>
              <w:ind w:left="140"/>
              <w:spacing w:after="0" w:line="142" w:lineRule="exact"/>
              <w:rPr>
                <w:sz w:val="20"/>
                <w:szCs w:val="20"/>
                <w:color w:val="auto"/>
              </w:rPr>
            </w:pPr>
            <w:r>
              <w:rPr>
                <w:rFonts w:ascii="Arial" w:cs="Arial" w:eastAsia="Arial" w:hAnsi="Arial"/>
                <w:sz w:val="14"/>
                <w:szCs w:val="14"/>
                <w:color w:val="auto"/>
              </w:rPr>
              <w:t>Office(2)</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4,450,400</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705,641</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0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5,156,041</w:t>
            </w:r>
          </w:p>
        </w:tc>
        <w:tc>
          <w:tcPr>
            <w:tcW w:w="12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Retail</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52,000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Development/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spacing w:after="0" w:line="159" w:lineRule="exact"/>
              <w:rPr>
                <w:sz w:val="20"/>
                <w:szCs w:val="20"/>
                <w:color w:val="auto"/>
              </w:rPr>
            </w:pPr>
            <w:r>
              <w:rPr>
                <w:rFonts w:ascii="Arial" w:cs="Arial" w:eastAsia="Arial" w:hAnsi="Arial"/>
                <w:sz w:val="14"/>
                <w:szCs w:val="14"/>
                <w:color w:val="auto"/>
              </w:rPr>
              <w:t>Redevelopment</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w:t>
            </w:r>
          </w:p>
        </w:tc>
        <w:tc>
          <w:tcPr>
            <w:tcW w:w="1260" w:type="dxa"/>
            <w:vAlign w:val="bottom"/>
            <w:tcBorders>
              <w:bottom w:val="single" w:sz="8" w:color="CCEEFF"/>
            </w:tcBorders>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4,503,400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705,641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5,209,041</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2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86"/>
              </w:rPr>
              <w:t>commercial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2"/>
          </w:tcPr>
          <w:p>
            <w:pPr>
              <w:ind w:left="280"/>
              <w:spacing w:after="0" w:line="159" w:lineRule="exact"/>
              <w:rPr>
                <w:sz w:val="20"/>
                <w:szCs w:val="20"/>
                <w:color w:val="auto"/>
              </w:rPr>
            </w:pPr>
            <w:r>
              <w:rPr>
                <w:rFonts w:ascii="Arial" w:cs="Arial" w:eastAsia="Arial" w:hAnsi="Arial"/>
                <w:sz w:val="14"/>
                <w:szCs w:val="14"/>
                <w:color w:val="auto"/>
                <w:w w:val="99"/>
              </w:rPr>
              <w:t>properties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72</w:t>
            </w:r>
          </w:p>
        </w:tc>
        <w:tc>
          <w:tcPr>
            <w:tcW w:w="30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26,468,976</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6,334,889</w:t>
            </w: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95</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32,803,865</w:t>
            </w:r>
          </w:p>
        </w:tc>
        <w:tc>
          <w:tcPr>
            <w:tcW w:w="12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Residential:</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Manhattan</w:t>
            </w:r>
          </w:p>
        </w:tc>
        <w:tc>
          <w:tcPr>
            <w:tcW w:w="130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Residential</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762,587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2,210,233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2,972,820</w:t>
            </w:r>
          </w:p>
        </w:tc>
        <w:tc>
          <w:tcPr>
            <w:tcW w:w="12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Suburban</w:t>
            </w:r>
          </w:p>
        </w:tc>
        <w:tc>
          <w:tcPr>
            <w:tcW w:w="130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Residential</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66,611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66,611</w:t>
            </w:r>
          </w:p>
        </w:tc>
        <w:tc>
          <w:tcPr>
            <w:tcW w:w="12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31"/>
        </w:trPr>
        <w:tc>
          <w:tcPr>
            <w:tcW w:w="940" w:type="dxa"/>
            <w:vAlign w:val="bottom"/>
            <w:gridSpan w:val="3"/>
          </w:tcPr>
          <w:p>
            <w:pPr>
              <w:spacing w:after="0" w:line="131" w:lineRule="exact"/>
              <w:rPr>
                <w:sz w:val="20"/>
                <w:szCs w:val="20"/>
                <w:color w:val="auto"/>
              </w:rPr>
            </w:pPr>
            <w:r>
              <w:rPr>
                <w:rFonts w:ascii="Arial" w:cs="Arial" w:eastAsia="Arial" w:hAnsi="Arial"/>
                <w:sz w:val="14"/>
                <w:szCs w:val="14"/>
                <w:color w:val="auto"/>
                <w:w w:val="93"/>
              </w:rPr>
              <w:t>Total residential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properties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w:t>
            </w:r>
          </w:p>
        </w:tc>
        <w:tc>
          <w:tcPr>
            <w:tcW w:w="3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829,198</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2,210,233</w:t>
            </w: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3,039,431</w:t>
            </w:r>
          </w:p>
        </w:tc>
        <w:tc>
          <w:tcPr>
            <w:tcW w:w="12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w w:val="89"/>
              </w:rPr>
              <w:t>Total portfolio</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27,298,174</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41</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8,545,122</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118</w:t>
            </w:r>
          </w:p>
        </w:tc>
        <w:tc>
          <w:tcPr>
            <w:tcW w:w="10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35,843,296</w:t>
            </w:r>
          </w:p>
        </w:tc>
        <w:tc>
          <w:tcPr>
            <w:tcW w:w="12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520" w:hanging="531"/>
        <w:spacing w:after="0" w:line="239" w:lineRule="auto"/>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available rentable square feet. The weighted average occupancy for residential properties represents the total occupied units divided by total available units.</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two Manhattan redevelopment properties and two suburban office properties held for sale as of September 30, 2015.</w:t>
      </w:r>
    </w:p>
    <w:p>
      <w:pPr>
        <w:spacing w:after="0" w:line="122" w:lineRule="exact"/>
        <w:rPr>
          <w:rFonts w:ascii="Arial" w:cs="Arial" w:eastAsia="Arial" w:hAnsi="Arial"/>
          <w:sz w:val="14"/>
          <w:szCs w:val="14"/>
          <w:color w:val="auto"/>
        </w:rPr>
      </w:pPr>
    </w:p>
    <w:p>
      <w:pPr>
        <w:ind w:left="1680" w:right="300" w:hanging="531"/>
        <w:spacing w:after="0" w:line="233" w:lineRule="auto"/>
        <w:tabs>
          <w:tab w:leader="none" w:pos="16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of September 30, 2015, we owned a building that was comprised of approximately 270,132 square feet of retail space and approximately 222,855 square feet of residential space. For the purpose of this prospectus, we have included the building in the retail properties count and have bifurcated the square footage into the retail and residential components.</w:t>
      </w:r>
    </w:p>
    <w:p>
      <w:pPr>
        <w:spacing w:after="0" w:line="195"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September 30, 2015, we also managed an approximately 336,201 square foot office building owned by a third party and held debt and preferred equity investments with a book value of $1.5 billion.</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corporate offices are located in midtown Manhattan at 420 Lexington Avenue, New York, New York 10170. We can be contacted at (212) 594-2700. We maintain a website at www.slgreen.com. The information contained on or connected to our website is not incorporated by reference into, and you must not consider the information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jc w:val="center"/>
        <w:ind w:right="40"/>
        <w:spacing w:after="0"/>
        <w:rPr>
          <w:sz w:val="20"/>
          <w:szCs w:val="20"/>
          <w:color w:val="auto"/>
        </w:rPr>
      </w:pPr>
      <w:r>
        <w:rPr>
          <w:rFonts w:ascii="Arial" w:cs="Arial" w:eastAsia="Arial" w:hAnsi="Arial"/>
          <w:sz w:val="18"/>
          <w:szCs w:val="18"/>
          <w:b w:val="1"/>
          <w:bCs w:val="1"/>
          <w:color w:val="auto"/>
        </w:rPr>
        <w:t>INFORMATION ABOUT SL GREEN OPERATING PARTNERSHIP, L.P.</w:t>
      </w:r>
    </w:p>
    <w:p>
      <w:pPr>
        <w:spacing w:after="0" w:line="231" w:lineRule="exact"/>
        <w:rPr>
          <w:sz w:val="20"/>
          <w:szCs w:val="20"/>
          <w:color w:val="auto"/>
        </w:rPr>
      </w:pPr>
    </w:p>
    <w:p>
      <w:pPr>
        <w:ind w:right="220" w:firstLine="351"/>
        <w:spacing w:after="0" w:line="305" w:lineRule="auto"/>
        <w:rPr>
          <w:sz w:val="20"/>
          <w:szCs w:val="20"/>
          <w:color w:val="auto"/>
        </w:rPr>
      </w:pPr>
      <w:r>
        <w:rPr>
          <w:rFonts w:ascii="Arial" w:cs="Arial" w:eastAsia="Arial" w:hAnsi="Arial"/>
          <w:sz w:val="15"/>
          <w:szCs w:val="15"/>
          <w:color w:val="auto"/>
        </w:rPr>
        <w:t>Substantially all of our assets (including Reckson Operating Partnership) are held by, and our operations are conducted through, our operating partnership, SL Green Operating Partnership. SL Green is the sole general partner of SL Green Operating Partnership. As of September 30, 2015, the Company owned</w:t>
      </w:r>
    </w:p>
    <w:p>
      <w:pPr>
        <w:ind w:right="220"/>
        <w:spacing w:after="0" w:line="255" w:lineRule="auto"/>
        <w:rPr>
          <w:sz w:val="20"/>
          <w:szCs w:val="20"/>
          <w:color w:val="auto"/>
        </w:rPr>
      </w:pPr>
      <w:r>
        <w:rPr>
          <w:rFonts w:ascii="Arial" w:cs="Arial" w:eastAsia="Arial" w:hAnsi="Arial"/>
          <w:sz w:val="18"/>
          <w:szCs w:val="18"/>
          <w:color w:val="auto"/>
        </w:rPr>
        <w:t>96.26% of the outstanding general and limited partnership interest in SL Green Operating Partnership. As of September 30, 2015, the Company also owned 9,200,000 Series I Preferred Units of SL Green Operating Partnership. As of September 30, 2015, non-controlling investors held, in aggregate, a 3.74% limited partnership interest in SL Green Operating Partnership.</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ABOUT RECKSON OPERATING PARTNERSHIP, L.P.</w:t>
      </w:r>
    </w:p>
    <w:p>
      <w:pPr>
        <w:spacing w:after="0" w:line="231"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Reckson Operating Partnership is engaged in the acquisition, ownership, management and operation of commercial and residential real estate properties, principally office properties, and also owns land for future development, located in New York City, Westchester County, Connecticut and New Jersey, which collectively is also known as the New York Metropolitan area.</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Reckson Operating Partnership commenced operations on June 2, 1995. Wyoming Acquisition GP LLC, a wholly owned subsidiary of SL Green Operating Partnership, is the sole general partner of Reckson Operating Partnership. The sole limited partner of Reckson Operating Partnership is SL Green Operating Partnership.</w:t>
      </w:r>
    </w:p>
    <w:p>
      <w:pPr>
        <w:spacing w:after="0" w:line="194" w:lineRule="exact"/>
        <w:rPr>
          <w:sz w:val="20"/>
          <w:szCs w:val="20"/>
          <w:color w:val="auto"/>
        </w:rPr>
      </w:pPr>
    </w:p>
    <w:p>
      <w:pPr>
        <w:ind w:right="440" w:firstLine="341"/>
        <w:spacing w:after="0" w:line="259" w:lineRule="auto"/>
        <w:rPr>
          <w:sz w:val="20"/>
          <w:szCs w:val="20"/>
          <w:color w:val="auto"/>
        </w:rPr>
      </w:pPr>
      <w:r>
        <w:rPr>
          <w:rFonts w:ascii="Arial" w:cs="Arial" w:eastAsia="Arial" w:hAnsi="Arial"/>
          <w:sz w:val="18"/>
          <w:szCs w:val="18"/>
          <w:color w:val="auto"/>
        </w:rPr>
        <w:t>As of September 30, 2015, Reckson Operating Partnership owned the following interests in commercial and residential properties in the New York Metropolitan area, primarily in midtown Manhattan. Our investments in the New York Metropolitan area also include investments in Brooklyn, Westchester County, Connecticut and New Jersey, which are collectively known as the Suburban properties: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3440" w:type="dxa"/>
            <w:vAlign w:val="bottom"/>
            <w:gridSpan w:val="4"/>
          </w:tcPr>
          <w:p>
            <w:pPr>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Type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Properties</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Square Feet</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Occupancy(1)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Commercial: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Manhattan</w:t>
            </w: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Office</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8,463,245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Retail(2)(3)</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352,892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Fee Interest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197,654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9,013,791</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Suburban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Office(4)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3,417,900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Retail</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3,469,900</w:t>
            </w: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Total Commercial Properties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12,483,691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Residential: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Manhattan</w:t>
            </w: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Residential(2)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222,855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Portfolio</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12,706,546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line="259" w:lineRule="auto"/>
        <w:tabs>
          <w:tab w:leader="none" w:pos="2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weighted average occupancy for commercial properties represents the total leased square feet divided by total available rentable square feet. The weighted average occupancy for residential properties represents the total occupied units divided by total available units.</w:t>
      </w:r>
    </w:p>
    <w:p>
      <w:pPr>
        <w:spacing w:after="0" w:line="221" w:lineRule="exact"/>
        <w:rPr>
          <w:rFonts w:ascii="Arial" w:cs="Arial" w:eastAsia="Arial" w:hAnsi="Arial"/>
          <w:sz w:val="18"/>
          <w:szCs w:val="18"/>
          <w:color w:val="auto"/>
        </w:rPr>
      </w:pPr>
    </w:p>
    <w:p>
      <w:pPr>
        <w:ind w:left="2260" w:right="20" w:hanging="540"/>
        <w:spacing w:after="0" w:line="268" w:lineRule="auto"/>
        <w:tabs>
          <w:tab w:leader="none" w:pos="2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September 30, 2015, Reckson Operating Partnership owned a building that was comprised of approximately 270,132 square feet of retail space and approximately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left="1920"/>
        <w:spacing w:after="0" w:line="268" w:lineRule="auto"/>
        <w:rPr>
          <w:sz w:val="20"/>
          <w:szCs w:val="20"/>
          <w:color w:val="auto"/>
        </w:rPr>
      </w:pPr>
      <w:r>
        <w:rPr>
          <w:rFonts w:ascii="Arial" w:cs="Arial" w:eastAsia="Arial" w:hAnsi="Arial"/>
          <w:sz w:val="18"/>
          <w:szCs w:val="18"/>
          <w:color w:val="auto"/>
        </w:rPr>
        <w:t>222,855 square feet of residential space. For the purpose of this prospectus, we have included the building in the retail properties count and have bifurcated the square footage into the retail and residential components.</w:t>
      </w:r>
    </w:p>
    <w:p>
      <w:pPr>
        <w:spacing w:after="0" w:line="199" w:lineRule="exact"/>
        <w:rPr>
          <w:sz w:val="20"/>
          <w:szCs w:val="20"/>
          <w:color w:val="auto"/>
        </w:rPr>
      </w:pPr>
    </w:p>
    <w:p>
      <w:pPr>
        <w:ind w:left="1920" w:right="120" w:hanging="540"/>
        <w:spacing w:after="0" w:line="268" w:lineRule="auto"/>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two unconsolidated joint venture retail properties at 131-137 Spring Street comprised of approximately 68,342 square feet.</w:t>
      </w:r>
    </w:p>
    <w:p>
      <w:pPr>
        <w:spacing w:after="0" w:line="212" w:lineRule="exact"/>
        <w:rPr>
          <w:rFonts w:ascii="Arial" w:cs="Arial" w:eastAsia="Arial" w:hAnsi="Arial"/>
          <w:sz w:val="18"/>
          <w:szCs w:val="18"/>
          <w:color w:val="auto"/>
        </w:rPr>
      </w:pPr>
    </w:p>
    <w:p>
      <w:pPr>
        <w:ind w:left="1920" w:hanging="5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one office property as held for sale at September 30, 2015.</w:t>
      </w:r>
    </w:p>
    <w:p>
      <w:pPr>
        <w:spacing w:after="0" w:line="225" w:lineRule="exact"/>
        <w:rPr>
          <w:sz w:val="20"/>
          <w:szCs w:val="20"/>
          <w:color w:val="auto"/>
        </w:rPr>
      </w:pPr>
    </w:p>
    <w:p>
      <w:pPr>
        <w:jc w:val="center"/>
        <w:ind w:right="620"/>
        <w:spacing w:after="0"/>
        <w:rPr>
          <w:sz w:val="20"/>
          <w:szCs w:val="20"/>
          <w:color w:val="auto"/>
        </w:rPr>
      </w:pPr>
      <w:r>
        <w:rPr>
          <w:rFonts w:ascii="Arial" w:cs="Arial" w:eastAsia="Arial" w:hAnsi="Arial"/>
          <w:sz w:val="15"/>
          <w:szCs w:val="15"/>
          <w:color w:val="auto"/>
        </w:rPr>
        <w:t>As of September 30, 2015, Reckson Operating Partnership also held debt, preferred equity and other investments with a book value of $1.6 billion.</w:t>
      </w:r>
    </w:p>
    <w:p>
      <w:pPr>
        <w:spacing w:after="0" w:line="26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580" w:top="131" w:right="35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Investing in our securities involves risks. You should carefully consider the risks and uncertainties described under the heading "Risk Factors" included in</w:t>
      </w:r>
    </w:p>
    <w:p>
      <w:pPr>
        <w:spacing w:after="0" w:line="38" w:lineRule="exact"/>
        <w:rPr>
          <w:sz w:val="20"/>
          <w:szCs w:val="20"/>
          <w:color w:val="auto"/>
        </w:rPr>
      </w:pPr>
    </w:p>
    <w:p>
      <w:pPr>
        <w:ind w:firstLine="8"/>
        <w:spacing w:after="0" w:line="287" w:lineRule="auto"/>
        <w:tabs>
          <w:tab w:leader="none" w:pos="2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SL Green's and SL Green Operating Partnership's Annual Report on Form 10-K for the fiscal year ended December 31, 2014, (ii) Reckson Operating Partnership's Annual Report on Form 10-K for the fiscal year ended December 31, 2014, (iii) SL Green's Quarterly Report on Form 10-Q for the quarter ended June 30, 2015 and (iv) the other information contained in this document, in an applicable prospectus supplement or incorporated by reference herein or therein, before purchasing any of our securities. See "Where You Can Find More Information; Incorporation by Reference" in this prospectus. These risks are not the only ones faced by us. Additional risks not presently known or that are currently deemed immaterial could also materially and adversely affect our financial condition, results of operations, business and prospects. In connection with the forward-looking statements that appear in this prospectus, you should carefully review the factors referred to above and the cautionary statements referred to in "Forward-Looking Statements May Prove Inaccurate" beginning on page 5 of this prospectus. Actual results could differ materially from those anticipated in these forward-looking statements as a result of certain factors, including the risks faced by us described above and in the documents incorporated herein by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FORWARD-LOOKING STATEMENTS MAY PROVE INACCURATE</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and certain documents incorporated by reference herein include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prospectus and certain documents incorporated by reference herein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Manhattan, Brooklyn, Westchester County, Connecticut, Long Island and New Jersey office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172"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61"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Forward-looking statements contained in this prospectus and certain documents incorporated by reference herein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174"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effect of general economic, business and financial conditions, and their effect on the New York City real estate market in particular;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dependence upon certain geographic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risks of real estate acquisitions, dispositions, developments and redevelopment, including the cost of construction delays and cost overruns;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relating to debt and preferred equity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 and borrowers;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bankruptcy or insolvency of a major tenant or a significant number of smaller tenants;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reduced demand for office space, increasing vacancy, and increasing availability of sublease space;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comply with financial covenants in our debt instruments;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of investing through joint venture structures, including the fulfillment by our partners of their financial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threat of terrorist attacks;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61" w:name="page62"/>
    <w:bookmarkEnd w:id="61"/>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adequate insurance coverage at a reasonable cost and the potential for losses in excess of our insurance coverage, including as a result of environmental contamination; and,</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Other factors and risks to our business, many of which are beyond our control, are described in our filings with the Commission. Except as required by law, we undertake no obligation to publicly update or revise any forward-looking statements, whether as a result of future events, new information or otherwise. In light of these risks and uncertainties, the forward-looking events and circumstances discussed in this prospectus and the incorporated documents might not occur and actual results, performance or achievement could differ materially from that anticipated or implied in the forward-looking statements.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Unless otherwise specified in the applicable prospectus supplement, we intend to use the net proceeds from the sale of the securities offered hereby for general corporate purposes and working capital, which may include the repayment of existing indebtedness, new investment opportunities, the development or acquisition of additional properties (including through the acquisition of individual properties, portfolios and companies) as suitable opportunities arise and the renovation, expansion and improvement of our existing properties. Unless otherwise set forth in a prospectus supplement, we will not receive any proceeds in the event that the securities are sold by a selling stockholder. Further details relating to the use of the net proceeds from any particular offering of securities will be set forth in the applicable prospectus supplement.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RATIOS OF EARNINGS TO COMBINED FIXED CHARGES AND PREFERRED STOCK DIVIDENDS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shows the ratios of earnings to combined fixed charges and preferred stock dividends for SL Green and SL Green Operating Partnership, respectively:</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2"/>
                <w:szCs w:val="2"/>
                <w:color w:val="auto"/>
              </w:rPr>
            </w:pPr>
          </w:p>
        </w:tc>
        <w:tc>
          <w:tcPr>
            <w:tcW w:w="100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SL Green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SL Green Operating Partnership</w:t>
            </w: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Reckson Operating Partnership</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ratios of earnings to combined fixed charges and preferred stock dividends were computed by dividing earnings by fixed charges and preferred stock dividends. For the purpose of calculating the ratios, the earnings have been calculated by adding fixed charges, excluding capitalized interest, to income or loss from continuing operations before adjustment for non-controlling interests plus distributions from unconsolidated joint ventures, loss on equity investment and marketable securities and the cumulative effect of changes in accounting principles. Fixed charges and preferred stock dividends consist of all interest, whether expensed or capitalized, including the amortization of debt issuance costs, rental expense deemed to represent interest expense and preferred dividends paid on SL Green's Series I Preferred Stock, which was issued on August 7, 2012.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jc w:val="center"/>
        <w:ind w:right="-13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common stock is listed on the NYSE under the symbol "SLG." The following table sets forth, for the periods indicated, the reported high and low closing prices in U.S. dollars for our common stock on the NYSE and dividends declared in respect of our common stock for the periods indicated. On December 16, 2015, the last reported sale price of our common stock on the NYSE was $114.31 per share. As of December 16, 2015, there were approximately 318 holders of record of our common stock.</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Declared</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86.29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78.16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95.61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85.40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100.62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112.79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99.31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111.86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101.32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123.10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134.00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121.32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131.64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109.89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116.97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 (through December 16, 2015)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121.94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106.95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Any dividends declared in one quarter will be paid during the subsequent quarter. We expect to continue our policy of distributing our taxable income through regular cash dividends on a quarterly basis, although there is no assurance as to the amount of future dividends because they depend on our future earnings, capital requirements and financial condition. See Item 7, "Management's Discussion and Analysis of Financial Condition and Results of Operations— Dividends" in our Annual Report on Form 10-K for the fiscal year ended December 31, 2014 for additional information regarding our dividend policy.</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DESCRIPTION OF COMMON STOCK</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The following description of the terms of SL Green's common stock is only a summary. This description is subject to, and qualified in its entirety by reference to, SL Green's charter and bylaws, each as amended, each of which has previously been filed with the SEC and which we incorporate by reference as exhibits to the registration statement of which this prospectus is a part, and the Maryland General Corporation Law (the "MGCL"). The terms "we," "us" and "our" as such terms are used in the following description of common stock refer to SL Green Realty Corp. unless the context requires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Our charter provides that we may issue up to 160,000,000 shares of common stock, $0.01 par value per share. Subject to the provisions of the charter regarding excess stock, each outstanding share of common stock entitles the holder to one vote on all matters submitted to a vote of stockholders, including the election of directors, and, except as provided with respect to any other class or series of stock, the holders of this stock will possess the exclusive voting power. There is no cumulative voting in the election of directors, which means that the holders of a majority of the outstanding shares of common stock can elect all of the directors then standing for election and the holders of the remaining shares will not be able to elect any directors. As of December 16, 2015, there were 99,750,559 shares of common stock outstanding.</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as of December 16, 2015, there were 1,248,146 shares of our common stock underlying options granted under our equity compensation plans and 2.2 million shares of common stock reserved and available for future issuance under our equity compensation plans, 3,829,014 shares of our common stock issuable upon redemption of SL Green Operating Partnership's units of limited partnership interest, 57,998 shares of our common stock issuable upon exchange of SL Green Operating Partnership's outstanding 3.00% Exchangeable Senior Notes due 2027 and 4,234,254 shares of our common stock issuable upon exchange of SL Green Operating Partnership's outstanding 3.00% Exchangeable Senior Notes due 2017, respectively, in each case assuming full redemption or exchange, as the case may be, for shares of our common stock at the exchange rate in effect on the date hereof.</w:t>
      </w:r>
    </w:p>
    <w:p>
      <w:pPr>
        <w:spacing w:after="0" w:line="174"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All shares of common stock offered hereby have been duly authorized, and, when issued in exchange for the consideration therefor, will be fully paid and nonassessable. Subject to the preferential rights of any other shares or series of stock and to the provisions of the charter regarding excess stock, holders of shares of common stock are entitled to receive dividends on this stock if, as and when authorized by our board of directors out of assets legally available therefor and to share ratably in our assets legally available for distribution to our stockholders in the event of our liquidation, dissolution or winding up after payment of or adequate provision for all of our known debts and liabilities.</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Holders of shares of common stock have no preference, conversion, exchange, sinking fund, redemption or appraisal rights and have no preemptive rights to subscribe for any of our securities. Subject to the provisions of the charter regarding excess stock, shares of common stock will have equal dividend, liquidation and other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Charter</w:t>
      </w:r>
    </w:p>
    <w:p>
      <w:pPr>
        <w:spacing w:after="0" w:line="231"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Our charter authorizes our board of directors to reclassify any unissued shares of common stock into other classes or series of stock and to establish the number of shares in each class or series and to set the preferences, conversion and other rights, voting powers, restrictions, limitations and restrictions on ownership, limitations as to dividends or other distributions, qualifications and terms or conditions of redemption for each class or series.</w:t>
      </w:r>
    </w:p>
    <w:p>
      <w:pPr>
        <w:spacing w:after="0" w:line="16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board of directors is divided into three classes of directors, each class constituting approximately one-third of the total number of directors, with the classes serving staggered terms. 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right="20"/>
        <w:spacing w:after="0" w:line="256" w:lineRule="auto"/>
        <w:rPr>
          <w:sz w:val="20"/>
          <w:szCs w:val="20"/>
          <w:color w:val="auto"/>
        </w:rPr>
      </w:pPr>
      <w:r>
        <w:rPr>
          <w:rFonts w:ascii="Arial" w:cs="Arial" w:eastAsia="Arial" w:hAnsi="Arial"/>
          <w:sz w:val="18"/>
          <w:szCs w:val="18"/>
          <w:color w:val="auto"/>
        </w:rPr>
        <w:t>each annual meeting of stockholders, the class of directors to be elected at the meeting will be elected for a three-year term and the directors in the other two classes will continue in office. We believe that classified directors will help to assure the continuity and stability of our board of directors and our business strategies and policies as determined by our board of directors. The use of a staggered board may delay or defer a change in control of our company or removal of incumbent management.</w:t>
      </w:r>
    </w:p>
    <w:p>
      <w:pPr>
        <w:spacing w:after="0" w:line="19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Our charter also provides that, except for any directors who may be elected by holders of a class or series of capital stock other than our common stock, directors may be removed only for cause, as defined in our charter, and only by the affirmative vote of stockholders holding at least a majority of all the votes entitled to be cast generally for the election of directors. Vacancies on the board of directors may be filled only by the affirmative vote of a majority of the remaining directors.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February 19, 2010, we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our Nominating and Corporate Governance Committee. Our Nominating and Corporate Governance Committee will consider the resignation and, within 60 days following the date of the stockholders' meeting at which the election occurred, will make a recommendation to our board of directors concerning the acceptance or rejection of the resignation.</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Under the policy, our board of directors will take formal action on the recommendation no later than 90 days following the date of the stockholders' meeting. In considering the recommendation, our board of directors will consider the information, factors and alternatives considered by the Nominating and Corporate Governance Committee and such additional factors, information and alternatives as the board deems relevant. We will publicly disclose, in a Form 8-K filed with the SEC, the board of directors' decision within four business days after the decision is made. Our board of directors also will provide, if applicable, its reason or reasons for rejecting the tendered resignation.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us to qualify as a REIT under the Internal Revenue Code of 1986, as amended (the "Code"), not more than 50% in value of our outstanding capital stock may be owned, directly or indirectly, by five or fewer individuals, according to the definition in the Code, during the last half of a taxable year and our capital stock must be beneficially owned by 100 or more persons during at least 335 days of a taxable year of 12 months or during a proportionate part of a shorter taxable year. To satisfy the above ownership requirements and other requirements for qualification as a REIT, our board of directors has adopted, and the stockholders prior to the initial public offering approved, provisions in our charter restricting the ownership or acquisition of shares of our capital stock. See "Restrictions on Ownership of Capital Stock" beginning on page 31 of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is Computershare Shareowner Services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t>DESCRIPTION OF PREFERRED STOCK</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The following description of the terms of SL Green's preferred stock is only a summary. The specific terms of any series of preferred stock will be described in the applicable prospectus supplement. This description and the description contained in any prospectus supplement are subject to and qualified in their entirety by reference to SL Green's charter, which includes the articles supplementary relating to each series of preferred stock, and SL Green's bylaws, as amended, each of which has previously been filed with the SEC and which we incorporate by reference as exhibits to the registration statement of which this prospectus is a part, and the MGCL. The terms "we," "us" and "our" as such terms are used in the following description of preferred stock refer to SL Green Realty Corp. unless the context requires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charter provides that we may issue up to 25,000,000 shares of preferred stock, $0.01 par value per share which may be classified and designated in one or more series by our board of directors. As of December 16, 2015, there were 9,200,000 shares of preferred stock outstanding, consisting of shares of 6.50% Series I Preferred Stock. A description of our Series I Preferred Stock is set forth in our registration statement on Form 8-A filed with the SEC on August 10, 2012, which is incorporated herein by reference.</w:t>
      </w:r>
    </w:p>
    <w:p>
      <w:pPr>
        <w:spacing w:after="0" w:line="197"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description of the preferred stock sets forth general terms and provisions of the preferred stock to which any prospectus supplement may relate. The statements below describing the preferred stock are in all respects subject to and qualified in their entirety by reference to the applicable provisions of our charter and bylaws and any applicable articles supplementary designating terms of a series of preferred stock.</w:t>
      </w:r>
    </w:p>
    <w:p>
      <w:pPr>
        <w:spacing w:after="0" w:line="16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issuance of preferred stock could adversely affect the voting power, dividend rights and other rights of holders of common stock. Our board of directors could establish another series of preferred stock that could, depending on the terms of the series, delay, defer or prevent a transaction or a change in control of our company that might involve a premium price for the common stock or otherwise be in the best interest of the holders thereof. Management believes that the availability of preferred stock will provide us with increased flexibility in structuring possible future financings and acquisitions and in meeting other needs that might arise.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Subject to the limitations prescribed by our charter, our board of directors is authorized to fix the number of shares constituting each series of preferred stock and the designations and powers, preferences and relative, participating, optional or other special rights and qualifications, limitations or restrictions thereof, including provisions as may be desired concerning voting, redemption, dividends, dissolution or the distribution of assets, conversion or exchange, and other subjects or matters as may be fixed by resolution of the board of directors. The preferred stock will, when issued in exchange for the consideration therefor, be fully paid and nonassessable by us and will have no preemptive rights.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 is made to the prospectus supplement relating to the series of preferred stock offered thereby for the specific terms thereof, including:</w:t>
      </w:r>
    </w:p>
    <w:p>
      <w:pPr>
        <w:spacing w:after="0" w:line="262"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and stated value of the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number of shares of the preferred stock, the liquidation preference per share of the preferred stock and the offering price of the preferred stock;</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dividend rate(s), period(s) and/or payment day(s) or method(s) of calculation thereof applicable to the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from which dividends on the preferred stock shall accumulate, if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8" w:name="page69"/>
    <w:bookmarkEnd w:id="68"/>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 for a sinking fund, if any, for the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 for redemption, if applicable, of the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may or will be convertible into our common stock, including the conversion price or manner of calculation thereof;</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our affairs;</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each case as may be appropriate to preserve the status of our company as a REIT;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discussion of federal income tax considerations applicable to the preferred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Unless otherwise specified in the applicable prospectus supplement, the preferred stock will, with respect to dividend rights and rights upon liquidation, dissolution or winding up of our company, rank:</w:t>
      </w:r>
    </w:p>
    <w:p>
      <w:pPr>
        <w:spacing w:after="0" w:line="199" w:lineRule="exact"/>
        <w:rPr>
          <w:sz w:val="20"/>
          <w:szCs w:val="20"/>
          <w:color w:val="auto"/>
        </w:rPr>
      </w:pPr>
    </w:p>
    <w:p>
      <w:pPr>
        <w:ind w:left="1080" w:right="1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to all classes or series of common stock and to all equity securities issued by us the terms of which provide that the equity securities shall rank junior to the preferred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parity with all equity securities issued by us other than those referred to in clauses (a) and (c);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junior to all equity securities issued by us which the terms of the preferred stock provide will rank senior to it. The term "equity securities" does not include convertible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otherwise specified in the applicable prospectus supplement, the preferred stock will have the rights with respect to payment of dividends set forth below.</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Holders of the preferred stock of each series will be entitled to receive, when, as and if declared by our board of directors, out of our assets legally available for payment, cash dividends in the amounts and on the dates as will be set forth in, or pursuant to, the applicable prospectus supplement. Each dividend shall be payable to holders of record as they appear on our share transfer books on the record dates as shall be fixed by our board of directors.</w:t>
      </w:r>
    </w:p>
    <w:p>
      <w:pPr>
        <w:spacing w:after="0" w:line="16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provided in the applicable prospectus supplement. Dividends, if cumulative, will be cumulative from and after the date set forth in the applicable prospectus supplement. If the board of directors fails to declare a dividend payable on a dividend payment date on any series of preferred stock for which dividends are non-cumulative, then the holders of such series of preferred stock will have no right to receive a dividend in respect of the related dividend period and we will have no obligation to pay the dividend accrued for the period, whether or not dividends on such series of preferred stock are declared payable on any future dividend payment date.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5" w:right="359" w:bottom="1440" w:gutter="0" w:footer="0" w:header="0"/>
        </w:sectPr>
      </w:pPr>
    </w:p>
    <w:bookmarkStart w:id="69" w:name="page70"/>
    <w:bookmarkEnd w:id="69"/>
    <w:p>
      <w:pPr>
        <w:ind w:right="380" w:firstLine="351"/>
        <w:spacing w:after="0" w:line="268" w:lineRule="auto"/>
        <w:rPr>
          <w:sz w:val="20"/>
          <w:szCs w:val="20"/>
          <w:color w:val="auto"/>
        </w:rPr>
      </w:pPr>
      <w:r>
        <w:rPr>
          <w:rFonts w:ascii="Arial" w:cs="Arial" w:eastAsia="Arial" w:hAnsi="Arial"/>
          <w:sz w:val="18"/>
          <w:szCs w:val="18"/>
          <w:color w:val="auto"/>
        </w:rPr>
        <w:t>If preferred stock of any series is outstanding, no full dividends will be declared or paid or set apart for payment on any of our capital stock of any other series ranking, as to dividends, on a parity with or junior to the preferred stock of such series for any period unless:</w:t>
      </w:r>
    </w:p>
    <w:p>
      <w:pPr>
        <w:spacing w:after="0" w:line="199" w:lineRule="exact"/>
        <w:rPr>
          <w:sz w:val="20"/>
          <w:szCs w:val="20"/>
          <w:color w:val="auto"/>
        </w:rPr>
      </w:pPr>
    </w:p>
    <w:p>
      <w:pPr>
        <w:ind w:left="1080" w:right="26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such series of preferred stock has a cumulative dividend, full cumulative dividends have been or contemporaneously are declared and paid or declared and a sum sufficient for the payment thereof set apart for the payment for all past dividend periods; or</w:t>
      </w:r>
    </w:p>
    <w:p>
      <w:pPr>
        <w:spacing w:after="0" w:line="166"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full dividends for the then current dividend period have been or contemporaneously are declared and paid or declared and a sum sufficient for the payment thereof set apart for the payment on the preferred stock of such series.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When dividends are not paid in full or a sum sufficient for the full payment is not so set apart upon preferred stock of any series and the shares of any other series of preferred stock ranking on a parity as to dividends with the preferred stock of such series, all dividends declared upon the preferred stock of such series and any other series of preferred stock ranking on a parity as to dividends with the preferred stock shall be declared pro rata so that the amount of dividends declared per share of preferred stock of such series and the other series of preferred stock shall in all cases bear to each other the same ratio that accrued dividends per share on the preferred stock of such series and the other series of preferred stock which shall not include any accumulation in respect of unpaid dividends for prior dividend periods if the preferred stock, does not have a cumulative dividend, bear to each other. No interest, or sum of money in lieu of interest, shall be payable in respect of any dividend payment or payments on preferred stock of the series which may be in arrears.</w:t>
      </w:r>
    </w:p>
    <w:p>
      <w:pPr>
        <w:spacing w:after="0" w:line="172" w:lineRule="exact"/>
        <w:rPr>
          <w:sz w:val="20"/>
          <w:szCs w:val="20"/>
          <w:color w:val="auto"/>
        </w:rPr>
      </w:pPr>
    </w:p>
    <w:p>
      <w:pPr>
        <w:ind w:right="100" w:firstLine="351"/>
        <w:spacing w:after="0" w:line="309" w:lineRule="auto"/>
        <w:rPr>
          <w:sz w:val="20"/>
          <w:szCs w:val="20"/>
          <w:color w:val="auto"/>
        </w:rPr>
      </w:pPr>
      <w:r>
        <w:rPr>
          <w:rFonts w:ascii="Arial" w:cs="Arial" w:eastAsia="Arial" w:hAnsi="Arial"/>
          <w:sz w:val="15"/>
          <w:szCs w:val="15"/>
          <w:color w:val="auto"/>
        </w:rPr>
        <w:t>Except as provided in the immediately preceding paragraph, unless (a) if a series of preferred stock has a cumulative dividend, full cumulative dividends on the preferred stock of such series have been or contemporaneously are declared and paid or declared and a sum sufficient for the payment thereof set apart for payment for all past dividend periods, and (b) if such series of preferred stock does not have a cumulative dividend, full dividends on the preferred stock of the series have been or contemporaneously are declared and paid or declared and a sum sufficient for the payment thereof set apart for payment for the then current dividend period, no dividends, other than in shares of common stock or other capital stock ranking junior to the preferred stock of such series as to dividends and upon liquidation, shall be declared or paid or set aside for payment or other distribution shall be declared or made upon the common stock, or any of our other capital stock ranking junior to or on a parity with the preferred stock of such series as to dividends or upon liquidation, nor shall any shares of common stock, or any other of our capital stock ranking junior to or on a parity with the preferred stock of such series as to dividends or upon liquidation, be redeemed, purchased or otherwise acquired for any consideration or any moneys be paid to or made available for a sinking fund for the redemption of any of the shares by us except:</w:t>
      </w:r>
    </w:p>
    <w:p>
      <w:pPr>
        <w:sectPr>
          <w:pgSz w:w="11900" w:h="16838" w:orient="portrait"/>
          <w:cols w:equalWidth="0" w:num="1">
            <w:col w:w="11420"/>
          </w:cols>
          <w:pgMar w:left="240" w:top="131" w:right="239" w:bottom="1440" w:gutter="0" w:footer="0" w:header="0"/>
        </w:sectPr>
      </w:pP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Redemption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by conversion into or exchange for other of our capital stock ranking junior to the preferred stock of such series as to dividends and upon liquidation; 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redemptions for the purpose of preserving our status as a REIT.</w:t>
      </w:r>
    </w:p>
    <w:p>
      <w:pPr>
        <w:spacing w:after="0" w:line="591" w:lineRule="exact"/>
        <w:rPr>
          <w:sz w:val="20"/>
          <w:szCs w:val="20"/>
          <w:color w:val="auto"/>
        </w:rPr>
      </w:pPr>
    </w:p>
    <w:p>
      <w:pPr>
        <w:sectPr>
          <w:pgSz w:w="11900" w:h="16838" w:orient="portrait"/>
          <w:cols w:equalWidth="0" w:num="2">
            <w:col w:w="920" w:space="160"/>
            <w:col w:w="10340"/>
          </w:cols>
          <w:pgMar w:left="240" w:top="131" w:right="239" w:bottom="1440" w:gutter="0" w:footer="0" w:header="0"/>
          <w:type w:val="continuous"/>
        </w:sectPr>
      </w:pPr>
    </w:p>
    <w:p>
      <w:pPr>
        <w:spacing w:after="0" w:line="6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so provided in the applicable prospectus supplement, the preferred stock will be subject to mandatory redemption or redemption at our option, as a whole or in part, in each case upon the terms, at the times and at the redemption prices set forth in the prospectus supplement.</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such series of preferred stock that shall be redeemed by us in each year commencing after a date to be specified, at a redemption price per share to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0" w:name="page71"/>
    <w:bookmarkEnd w:id="70"/>
    <w:p>
      <w:pPr>
        <w:ind w:right="80"/>
        <w:spacing w:after="0" w:line="291" w:lineRule="auto"/>
        <w:rPr>
          <w:sz w:val="20"/>
          <w:szCs w:val="20"/>
          <w:color w:val="auto"/>
        </w:rPr>
      </w:pPr>
      <w:r>
        <w:rPr>
          <w:rFonts w:ascii="Arial" w:cs="Arial" w:eastAsia="Arial" w:hAnsi="Arial"/>
          <w:sz w:val="16"/>
          <w:szCs w:val="16"/>
          <w:color w:val="auto"/>
        </w:rPr>
        <w:t>specified, together with an amount equal to all accumulated and unpaid dividends thereon which shall not, if the preferred stock does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stock of any series is payable only from the net proceeds of the issuance of our capital stock, the terms of the preferred stock may provide that, if no capital stock shall have been issued or to the extent the net proceeds from any issuance are insufficient to pay in full the aggregate redemption price then due, the preferred stock shall automatically and mandatorily be converted into the applicable capital stock of our company pursuant to conversion provisions specified in the applicable prospectus supplement.</w:t>
      </w:r>
    </w:p>
    <w:p>
      <w:pPr>
        <w:spacing w:after="0" w:line="174" w:lineRule="exact"/>
        <w:rPr>
          <w:sz w:val="20"/>
          <w:szCs w:val="20"/>
          <w:color w:val="auto"/>
        </w:rPr>
      </w:pPr>
    </w:p>
    <w:p>
      <w:pPr>
        <w:ind w:right="60" w:firstLine="351"/>
        <w:spacing w:after="0" w:line="301" w:lineRule="auto"/>
        <w:rPr>
          <w:sz w:val="20"/>
          <w:szCs w:val="20"/>
          <w:color w:val="auto"/>
        </w:rPr>
      </w:pPr>
      <w:r>
        <w:rPr>
          <w:rFonts w:ascii="Arial" w:cs="Arial" w:eastAsia="Arial" w:hAnsi="Arial"/>
          <w:sz w:val="15"/>
          <w:szCs w:val="15"/>
          <w:color w:val="auto"/>
        </w:rPr>
        <w:t xml:space="preserve">Notwithstanding the foregoing, unless (a) if a series of preferred stock has a cumulative dividend, full cumulative dividends on all shares of such series of preferred stock shall have been or contemporaneously are declared and paid or declared and a sum sufficient for the payment thereof set apart for payment for all past dividend periods, and (b) if a series of preferred stock does not have a cumulative dividend, full dividends on the preferred stock of such series have been or contemporaneously are declared and paid or declared and a sum sufficient for the payment thereof set apart for payment for the then current dividend period, no shares of any series of preferred stock ranking junior to, or on parity with, such series shall be redeemed unless all outstanding preferred stock of such series is simultaneously redeemed;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foregoing shall not prevent the purchase or acquisition of preferred stock of such series to preserve our REIT status or pursuant to a purchase or exchange offer made on the same terms to holders of all outstanding preferred stock of such series. In addition, unless</w:t>
      </w:r>
    </w:p>
    <w:p>
      <w:pPr>
        <w:spacing w:after="0" w:line="5" w:lineRule="exact"/>
        <w:rPr>
          <w:sz w:val="20"/>
          <w:szCs w:val="20"/>
          <w:color w:val="auto"/>
        </w:rPr>
      </w:pPr>
    </w:p>
    <w:p>
      <w:pPr>
        <w:ind w:firstLine="8"/>
        <w:spacing w:after="0" w:line="287" w:lineRule="auto"/>
        <w:tabs>
          <w:tab w:leader="none" w:pos="2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a series of preferred stock has a cumulative dividend, full cumulative dividends on such series of preferred stock have been or contemporaneously are declared and paid or declared and a sum sufficient for the payment thereof set apart for payment for all past dividend periods, and (y) if such series of preferred stock does not have a cumulative dividend, full dividends on the preferred stock of such series have been or contemporaneously are declared and paid or declared and a sum sufficient for the payment thereof set apart for payment for the then current dividend period, we shall not purchase or otherwise acquire, directly or indirectly, any shares of preferred stock ranking junior to, or on parity with, such series except by conversion into or exchange for our capital stock ranking junior to the preferred stock of such series as to dividends and upon liquidation;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prevent the purchase or acquisition of preferred stock of such series to preserve our REIT status or pursuant to a purchase or exchange offer made on the same terms to holders of all outstanding preferred stock of such series.</w:t>
      </w:r>
    </w:p>
    <w:p>
      <w:pPr>
        <w:spacing w:after="0" w:line="17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the number of shares to be redeemed will be determined by us and the shares may be redeemed pro rata from the holders of record of the shares in proportion to the number of the shares held or for which redemption is requested by the holder, with adjustments to avoid redemption of fractional shares, or by lot in a manner determined by us.</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Notice of redemption will be mailed at least 30 days but not more than 60 days before the redemption date to each holder of record of preferred stock of any series to be redeemed at the address shown on our share transfer books. Each notice shall state:</w:t>
      </w:r>
    </w:p>
    <w:p>
      <w:pPr>
        <w:spacing w:after="0" w:line="19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shares and series of the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38" w:lineRule="exact"/>
        <w:rPr>
          <w:rFonts w:ascii="Arial" w:cs="Arial" w:eastAsia="Arial" w:hAnsi="Arial"/>
          <w:sz w:val="18"/>
          <w:szCs w:val="18"/>
          <w:color w:val="auto"/>
        </w:rPr>
      </w:pPr>
    </w:p>
    <w:p>
      <w:pPr>
        <w:ind w:left="5620" w:right="1940" w:hanging="5072"/>
        <w:spacing w:after="0" w:line="519" w:lineRule="auto"/>
        <w:tabs>
          <w:tab w:leader="none" w:pos="10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place or places where certificates for the preferred stock are to be surrendered for payment of the redemption price;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accumulate on the redemption date;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upon which the holder's conversion rights, if any, as to the shares shall terminate.</w:t>
      </w:r>
    </w:p>
    <w:p>
      <w:pPr>
        <w:spacing w:after="0" w:line="225"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If fewer than all the shares of preferred stock of any series are to be redeemed, the notice mailed to each holder thereof shall also specify the number of shares of preferred stock to be redeemed from each holder. If notice of redemption of any preferred stock has been given and if the funds necessary for the redemption have been set aside by us in trust for the benefit of the holders of any preferred stock so called for redemption, then from and after the redemption date dividends will cease to accumulate on the preferred stock, and all rights of the holders of the preferred stock will terminate, except the right to receive the redemption price.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Upon any voluntary or involuntary liquidation, dissolution or winding up of our affairs, then, before any distribution or payment shall be made to the holders of any common stock or any other class or series of our capital stock ranking junior to the preferred stock of such series in the distribution of assets upon any liquidation, dissolution or winding up of our company, the holders of the preferred stock shall be entitled to receive out of the assets of our company legally available for distribution to stockholders liquidating distributions in the amount of the liquidation preference per share that is set forth in the applicable prospectus supplement, plus an amount equal to all dividends accumulated and unpaid thereon, which shall not include any accumulation in respect of unpaid dividends for prior dividend periods if the preferred stock does not have a cumulative dividend. After payment of the full amount of the liquidating distributions to which they are entitled, the holders of preferred stock will have no rights or claim to any of our remaining assets. In the event that, upon any voluntary or involuntary liquidation, dissolution or winding up, our available assets are insufficient to pay the amount of the liquidating distributions on all outstanding preferred stock of such series and the corresponding amounts payable on all shares of other classes or series of capital stock of our company ranking on a parity with the preferred stock in the distribution of assets, then the holders of the preferred stock and all such other classes or series of capital stock shall share ratably in any distribution of assets in proportion to the full liquidating distributions to which they would otherwise be respectively entitled.</w:t>
      </w:r>
    </w:p>
    <w:p>
      <w:pPr>
        <w:spacing w:after="0" w:line="18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consolidation or merger with or into any other entity, or the merger of another entity with or into our company, or a statutory share exchange by us, or the sale, lease or conveyance of all or substantially all of our property or business, shall not be deemed to constitute a liquidation, dissolution or winding up of our company.</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determining whether a distribution (other than upon our voluntary or involuntary liquidation, dissolution or winding up) by dividend, redemption or other acquisition of shares of our stock or otherwise is permitted under the MGCL, no effect shall be given to amounts that would be needed, if we were to be dissolved at the time of the distribution, to satisfy the preferential rights upon dissolution of holders of any series of preferred stock whose preferential rights upon dissolution are superior to those receiving the distribution.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the preferred stock will not have any voting rights, except as set forth below or as otherwise indicated in the applicable prospectus supplement.</w:t>
      </w:r>
    </w:p>
    <w:p>
      <w:pPr>
        <w:spacing w:after="0" w:line="24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Whenever dividends on any series of preferred stock shall be in arrears for six or more quarterly periods, the holders of the preferred stock, voting separately as a class with all other series of preferred stock upon which like voting rights have been conferred and are exercisable, will be entitled to vote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72" w:name="page73"/>
    <w:bookmarkEnd w:id="72"/>
    <w:p>
      <w:pPr>
        <w:ind w:right="20"/>
        <w:spacing w:after="0" w:line="289" w:lineRule="auto"/>
        <w:rPr>
          <w:sz w:val="20"/>
          <w:szCs w:val="20"/>
          <w:color w:val="auto"/>
        </w:rPr>
      </w:pPr>
      <w:r>
        <w:rPr>
          <w:rFonts w:ascii="Arial" w:cs="Arial" w:eastAsia="Arial" w:hAnsi="Arial"/>
          <w:sz w:val="16"/>
          <w:szCs w:val="16"/>
          <w:color w:val="auto"/>
        </w:rPr>
        <w:t>the election of two additional directors of our company at a special meeting called by the holders of record of at least ten percent of any series of preferred stock so in arrears, unless the request is received less than 90 days before the date fixed for the next annual or special meeting of the stockholders, or at the next annual meeting of stockholders, and at each subsequent annual meeting until (a) if such series of preferred stock has a cumulative dividend, all dividends accumulated on these shares of preferred stock for the past dividend periods shall have been fully paid or declared and a sum sufficient for the payment thereof set aside for payment or (b) if such series of preferred stock does not have a cumulative dividend, four quarterly dividends shall have been fully paid or declared and a sum sufficient for the payment thereof set aside for payment. In these cases, the entire board of directors will be increased by two directors, to be elected by the holders of such series of preferred stock, voting together as a single class with the holders of all other classes of preferred stock ranking on a parity with the holders of such series and upon which like voting rights have been conferred.</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Unless provided otherwise for any series of preferred stock, so long as any shares of the preferred stock remain outstanding, we will not, without the affirmative vote or consent of the holders of at least two-thirds of the shares of such series of preferred stock outstanding at the time, given in person or by proxy, either in writing or at a meeting with such series voting separately as a class:</w:t>
      </w:r>
    </w:p>
    <w:p>
      <w:pPr>
        <w:spacing w:after="0" w:line="208" w:lineRule="exact"/>
        <w:rPr>
          <w:sz w:val="20"/>
          <w:szCs w:val="20"/>
          <w:color w:val="auto"/>
        </w:rPr>
      </w:pPr>
    </w:p>
    <w:p>
      <w:pPr>
        <w:ind w:left="1080" w:right="200" w:hanging="532"/>
        <w:spacing w:after="0" w:line="256"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authorize or create, or increase the authorized or issued amount of, any class or series of capital stock ranking senior to the preferred stock with respect to payment of dividends or the distribution of assets upon liquidation, dissolution or winding up of our company, or reclassify any of our authorized capital stock into such series of preferred stock, or create, authorize or issue any obligation or security convertible into or evidencing the right to purchase any of such series of preferred stock; or</w:t>
      </w:r>
    </w:p>
    <w:p>
      <w:pPr>
        <w:spacing w:after="0" w:line="224"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 alter or repeal the provisions of the charter or the articles supplementary for such series of preferred stock, whether by merger, consolidation or otherwise, so as to materially and adversely affect any right, preference, privilege or voting power of such series of preferred stock or the holders thereof;</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with respect to the occurrence of any of the events set forth in (b) above, so long as such series of preferred stock remains outstanding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terms thereof materially unchanged, taking into account that upon the occurrence of an event we may not be the surviving entity, the occurrence of any similar event shall not be deemed to materially and adversely affect the rights, preferences, privileges or voting powers of holders of such series of preferred stock; and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(x) any increase in the amount of the authorized preferred stock or the creation or issuance of any other series of preferred stock, or (y) any</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the amount of authorized shares of such series of preferred stock or any other series of preferred stock in each case ranking on a parity with or junior to the preferred stock of such series with respect to payment of dividends or the distribution of assets upon liquidation, dissolution or winding up of our company, shall not be deemed to materially and adversely affect the rights, preferences, privileges or voting powers.</w:t>
      </w:r>
    </w:p>
    <w:p>
      <w:pPr>
        <w:spacing w:after="0" w:line="172"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foregoing voting provisions will not apply if, at or prior to the time when the act with respect to which the vote or consent would otherwise be required shall be effected, all outstanding shares of such series of preferred stock shall have been converted, redeemed or called for redemption and sufficient funds shall have been deposited in trust to effect the redemption.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terms and conditions, if any, upon which any series of preferred stock is convertible into shares of common stock will be set forth in the applicable prospectus supplement. The terms will include the number of shares of common stock into which the shares of preferred stock are convertible, the conversion price, or manner of calculation thereof, the conversion period, provisions as to whether conversion will be at the option of the holders of our preferred stock or us, the events requiring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adjustment of the conversion price and provisions affecting conversion in the event of the redemption of the preferred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Liability</w:t>
      </w:r>
    </w:p>
    <w:p>
      <w:pPr>
        <w:spacing w:after="0" w:line="23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Applicable Maryland law provides that no stockholder, including holders of preferred stock, shall be personally liable for our acts and obligations solely as a result of his or her status as a stockholder and that our funds and property shall be the only recourse for these acts or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231" w:lineRule="exact"/>
        <w:rPr>
          <w:sz w:val="20"/>
          <w:szCs w:val="20"/>
          <w:color w:val="auto"/>
        </w:rPr>
      </w:pPr>
    </w:p>
    <w:p>
      <w:pPr>
        <w:jc w:val="both"/>
        <w:ind w:right="280" w:firstLine="341"/>
        <w:spacing w:after="0" w:line="284" w:lineRule="auto"/>
        <w:rPr>
          <w:sz w:val="20"/>
          <w:szCs w:val="20"/>
          <w:color w:val="auto"/>
        </w:rPr>
      </w:pPr>
      <w:r>
        <w:rPr>
          <w:rFonts w:ascii="Arial" w:cs="Arial" w:eastAsia="Arial" w:hAnsi="Arial"/>
          <w:sz w:val="16"/>
          <w:szCs w:val="16"/>
          <w:color w:val="auto"/>
        </w:rPr>
        <w:t>As discussed below under "Restrictions on Ownership of Capital Stock," for us to qualify as a REIT under the Code, not more than 50% in value of our outstanding capital stock may be owned, directly or indirectly, by five or fewer individuals at any time during the last half of a taxable year. An individual for these purposes is defined by the federal income tax laws pertaining to REITs. The application of the Code restrictions on stock ownership is very complex.</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Therefore, the articles supplementary for each series of preferred stock may contain provisions restricting the ownership and transfer of such series of preferred stock. The applicable prospectus supplement will specify any additional ownership limitation relating to a series of preferred stock. For example, the articles supplementary designating the Series I Preferred Stock provide that no stockholder may own, or be deemed to own by virtue of the attribution provisions of the Code, more than 9.0% in value of the aggregate of the outstanding shares of our capital stock (including all classes or series of common stock and preferred stock). The articles supplementary designating the Series I Preferred Stock further provide that no holder of the applicable series of preferred stock may own, or be deemed to own by virtue of the attribution provisions of the Code, nor may any person or entity acquire shares of the applicable series of preferred stock such that he or it would own in excess of 20% (in value or in number of shares, whichever is more restrictive) of the aggregate of the outstanding shares of such series of preferred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preferred stock is Computershare Shareowner Services LLC.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DESCRIPTION OF DEPOSITARY SHARES</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The following description of the terms of the depositary shares is only a summary. This description is subject to, and qualified in its entirety by reference to, the provisions of the deposit agreement, SL Green's charter and the form of articles supplementary for the applicable series of preferred stock. The terms "we," "us" and "our" as such terms are used in the following description of depository shares refer to SL Green Realty Corp. unless the context requires otherwise.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may, at our option, elect to offer depositary shares rather than full shares of preferred stock. In the event such option is exercised, each of the depositary shares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our company, the depositary named therein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our company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7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our company) that it is not feasible to make such distribution, in which case the depositary may (with the approval of our company)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distribution will be made in respect of any depositary share to the extent that it represents any preferred stock converted into excess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the event of the liquidation, dissolution or winding up of the affairs of our company, whether voluntary or involuntary, the holders of each depositary share will be entitled to the fraction of the liquidation preference accorded each share of the applicable series of preferred stock as set forth in the prospectus supplement.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the series of preferred stock represented by the applicable series of depositary shares is redeemable, such depositary shares will be redeemed from the proceeds received by the depositary resulting from the redemption, in whole or in part, of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promptly upon receipt of such notice from us and not less than 30 nor more than 60 days prior to the date fixed for redemption of the preferred stock and the depositary shares to the record holders of the depositary receipts.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we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Upon surrender of depositary receipts at the principal office of the depositary, upon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Deposit Agreement</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and from time to time be amended by agreement between our company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of the preferred stock and all money and other property, if any, represented thereby, except in order to comply with mandatory provisions of applicable law.</w:t>
      </w:r>
    </w:p>
    <w:p>
      <w:pPr>
        <w:spacing w:after="0" w:line="17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deposit agreement will be permitted to be terminated by our company upon not less than 30 days prior written notice to the applicable depositary if (a) such termination is necessary to preserve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spacing w:after="0" w:line="288" w:lineRule="auto"/>
        <w:rPr>
          <w:sz w:val="20"/>
          <w:szCs w:val="20"/>
          <w:color w:val="auto"/>
        </w:rPr>
      </w:pPr>
      <w:r>
        <w:rPr>
          <w:rFonts w:ascii="Arial" w:cs="Arial" w:eastAsia="Arial" w:hAnsi="Arial"/>
          <w:sz w:val="16"/>
          <w:szCs w:val="16"/>
          <w:color w:val="auto"/>
        </w:rPr>
        <w:t>our status as a REIT or (b)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We will agree that if the deposit agreement is terminated to preserve our status as a REIT, then we will use our best efforts to list the preferred stock issued upon surrender of the related depositary shares on a national securities exchange. In addition, the deposit agreement will automatically terminate if (x) all outstanding depositary shares thereunder shall have been redeemed, (y) there shall have been a final distribution in respect of the related preferred stock in connection with any liquidation, dissolution or winding-up of our company and such distribution shall have been distributed to the holders of depositary receipts evidencing the depositary shares representing such preferred stock or (z) each share of the related preferred stock shall have been converted into stock of our company not so represented by depositary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We will pay all transfer and other taxes and governmental charges arising solely from the existence of the depositary arrangements. We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any such depositary receipt if such charges are not paid.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depositary will forward to the holders of depositary receipts all reports and communications from us which are delivered to the depositary and which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received from us which are received by the depositary as the holder of preferred stock.</w:t>
      </w:r>
    </w:p>
    <w:p>
      <w:pPr>
        <w:spacing w:after="0" w:line="19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Neither the depositary nor our company assumes any obligation or will be subject to any liability under the deposit agreement to holders of depositary receipts other than for its negligence or willful misconduct. Neither the depositary nor our company will be liable if it is prevented or delayed by law or any circumstance beyond its control in performing its obligations under the deposit agreement. The obligations of our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Our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72"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the event the depositary shall receive conflicting claims, requests or instructions from any holders of depositary receipts, on the one hand, and our company, on the other hand, the depositary shall be entitled to act on such claims, requests or instructions received from our company.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of America and having a combined capital and surplus of at least $150,000,000.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deposit agreement or the designating articles supplementary for the series of preferred stock represented by such depositary shares, or both, may contain provisions restricting the ownership and transfer of the depositary shares. The applicable prospectus supplement will specify any additional ownership limitation relating to a series of preferred stock represented by such depositary shares. See "Restrictions on Ownership of Capital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Owners of depositary shares will be treated for federal income tax purposes as if they were owners of the preferred stock represented by such depositary shares. Accordingly, such owners will be entitled to take into account, for federal income tax purposes, income and deductions to which they would be entitled if they were holders of such preferred stock. In addition, (a) no gain or loss will be recognized for federal income tax purposes upon the withdrawal of preferred stock to an exchange owner of depositary shares, (b) the tax basis of each share of preferred stock to an exchanging owner of depositary shares will, upon such exchange, be the same as the aggregate tax basis of the depositary shares exchanged therefor and (c) the holding period for preferred stock in the hands of an exchanging owner of depositary shares will include the period during which such person owned such depositary shares.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8" w:name="page79"/>
    <w:bookmarkEnd w:id="78"/>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The following description of the terms of the warrants is only a summary. This description is subject to, and qualified in its entirety by reference to, the provisions of the warrant agreement. The terms "we," "us" and "our" as such terms are used in the following description of warrants refer to SL Green Realty Corp. unless the context requires otherwise.</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issue warrants for the purchase of common stock, preferred stock or depositary shares and may issue warrants independently or together with common stock, preferred stock, depositary shares or attached to or separate from such securities. We will issue each series of warrants under a separate warrant agreement between us and a bank or trust company as warrant agent, as specified in the applicable prospectus supplement.</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warrant agent will act solely as our agent in connection with the warrants and will not act for or on behalf of warrant holders. The following sets forth certain general terms and provisions of the warrants that may be offered pursuant to this prospectus. Further terms of the warrants and the applicable warrant agreement will be set forth in the applicable prospectus supplement.</w:t>
      </w:r>
    </w:p>
    <w:p>
      <w:pPr>
        <w:spacing w:after="0" w:line="19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warrants in respect of which this prospectus is being delivered, including, where applicable, the following:</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type and number of securities purchasable upon exercise of such warrants;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such warrants are issued and the number of such warrants issued with each such offered security;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if any, on and after which such warrants and the related securities will be separately transferable;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at which each security purchasable upon exercise of such warrants may be purchased;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minimum or maximum amount of such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transferability, exercise and exchange of such warrants.</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The following description of the terms of the debt securities of SL Green, SL Green Operating Partnership and Reckson Operating Partnership and the respective indentures is only a summary. This description and the description contained in any prospectus supplement are subject to and qualified in their entirety by reference to the applicable indentures, which are incorporated by reference as exhibits to the registration statement of which this prospectus is a part.</w:t>
      </w:r>
    </w:p>
    <w:p>
      <w:pPr>
        <w:spacing w:after="0" w:line="16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may offer secured or unsecured debt securities in one or more series which may be senior, subordinated or junior subordinated, and which may be convertible or exchangeable into another security. The debt securities may be issued by SL Green, SL Green Operating Partnership and Reckson Operating Partnership, individually or as co-obligors. Unless otherwise specified in the applicable prospectus supplement, our debt securities will be issued in one or more series under one of the indentures entered into or to be entered into among SL Green, SL Green Operating Partnership and/or Reckson Operating Partnership, as applicable, and The Bank of New York Mellon. Forms of the indentures related to the issuance of debt securities by SL Green, SL Green Operating Partnership and/or Reckson Operating Partnership, individually, are incorporated by reference as exhibits to the registration statement of which this prospectus forms a part. On August 5, 2011, SL Green, SL Green Operating Partnership and Reckson Operating Partnership entered into an indenture with The Bank of New York Mellon, as supplemented by the First Supplemental Indenture, dated as of August 5, 2011, and the Second Supplemental Indenture, dated as of November 15, 2012, which is incorporated by reference as an exhibit to the registration statement of which this prospectus forms a part, pursuant to which debt securities may be issued by SL Green, SL Green Operating Partnership and Reckson Operating Partnership, as co-obligors.</w:t>
      </w:r>
    </w:p>
    <w:p>
      <w:pPr>
        <w:spacing w:after="0" w:line="17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description briefly sets forth certain general terms and provisions of the debt securities. The particular terms of the debt securities offered by any prospectus supplement and the extent, if any, to which these general provisions may apply to the debt securities, will be described in the applicable prospectus supplement.</w:t>
      </w:r>
    </w:p>
    <w:p>
      <w:pPr>
        <w:spacing w:after="0" w:line="194"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terms of the debt securities will include those set forth in the applicable indenture and those made a part of the applicable indenture by the Trust Indenture Act of 1939, or TIA. You should read the summary below, the applicable prospectus supplement and the provisions of the applicable indenture and supplemental indenture, if any, in their entirety before investing in our debt securities.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aggregate principal amount of debt securities that may be issued under the respective indentures is unlimited. The prospectus supplement relating to any series of debt securities that we may offer will contain the specific terms of the debt securities. These terms may include the following:</w:t>
      </w:r>
    </w:p>
    <w:p>
      <w:pPr>
        <w:spacing w:after="0" w:line="153"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issuer or co-obligors of such debt securities;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guarantors of each series, if any, and the terms of the guarantees (including provisions relating to seniority, subordination and release of the guarantees), if 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debt securities will be senior, subordinated or junior subordinated;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debt securities will be secured or unsecured;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applicable subordination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left="540" w:right="36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shall be payable in cash or additional securities;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form;</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other than the principal amount, the principal amount of debt securities payable upon acceleration;</w:t>
      </w:r>
    </w:p>
    <w:p>
      <w:pPr>
        <w:spacing w:after="0" w:line="238"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such debt securities will be issued in whole or in part in the form of one or more global securities and the date as of which the securities are dated if other than the date of original issuance;</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debt securities will be issued;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238" w:lineRule="exact"/>
        <w:rPr>
          <w:rFonts w:ascii="Arial" w:cs="Arial" w:eastAsia="Arial" w:hAnsi="Arial"/>
          <w:sz w:val="18"/>
          <w:szCs w:val="18"/>
          <w:color w:val="auto"/>
        </w:rPr>
      </w:pPr>
    </w:p>
    <w:p>
      <w:pPr>
        <w:ind w:left="540" w:right="48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such debt securities will be payable;</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the holders of the debt securities or the issuer or co-obligors, as the case may be, can select the payment currency;</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securities exchange(s) on which the debt securities will be listed, if any;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any underwriter(s) will act as a market maker(s) for the debt securities;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a secondary market for the debt securities is expected to develop;</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provisions granting special rights to holders of the debt securities upon occurrence of specified events;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238" w:lineRule="exact"/>
        <w:rPr>
          <w:rFonts w:ascii="Arial" w:cs="Arial" w:eastAsia="Arial" w:hAnsi="Arial"/>
          <w:sz w:val="18"/>
          <w:szCs w:val="18"/>
          <w:color w:val="auto"/>
        </w:rPr>
      </w:pPr>
    </w:p>
    <w:p>
      <w:pPr>
        <w:ind w:left="540" w:right="54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additions or changes to the provisions for the defeasance of the debt securities or to provisions related to satisfaction and discharge of the indenture;</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8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780" w:top="145" w:right="399" w:bottom="1440" w:gutter="0" w:footer="0" w:header="0"/>
        </w:sectPr>
      </w:pPr>
    </w:p>
    <w:bookmarkStart w:id="81" w:name="page82"/>
    <w:bookmarkEnd w:id="81"/>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applicable indenture.</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will describe in the applicable prospectus supplement any other special considerations for any debt securities we sell which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w:t>
      </w:r>
    </w:p>
    <w:p>
      <w:pPr>
        <w:spacing w:after="0" w:line="174"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United States federal income tax consequences and special considerations, if any, applicable to any such series will be described in the applicable prospectus supplement. Unless we inform you otherwise in the applicable prospectus supplement, the debt securities will not be listed on any securities exchange.</w:t>
      </w:r>
    </w:p>
    <w:p>
      <w:pPr>
        <w:spacing w:after="0" w:line="11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U.S. $2,000 and any integral multiples of $1,000 in excess thereof. Subject to the limitations provided in the applicable indenture and in the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indentures and the corresponding debt securities shall be construed in accordance with and governed by the laws of the State of New York.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DESCRIPTION OF GUARANTEES OF DEBT SECURITIES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SL Green, SL Green Operating Partnership and/or Reckson Operating Partnership may guarantee (either fully and unconditionally or in a limited manner) the due and punctual payment of the principal of, premium, if any, and interest on one or more series of debt securities issued by SL Green, SL Green Operating Partnership and/or Reckson Operating Partnership, as the case may be, whether at maturity, by acceleration, redemption or repayment or otherwise, in accordance with the terms of the applicable guarantee and the applicable indenture.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b w:val="1"/>
          <w:bCs w:val="1"/>
          <w:color w:val="auto"/>
        </w:rPr>
        <w:t>CERTAIN ANTI-TAKEOVER PROVISIONS OF MARYLAND LAW</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The following summary of certain anti-takeover provisions of Maryland law does not purport to be complete and is subject to and qualified in its entirety by reference to the MGCL and SL Green's charter and bylaws, each as amended. The terms "we," "us" and "our" as such terms are used in the following summary refer to SL Green Realty Corp. unless the context requires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Under the MGCL, certain "business combinations" (including a merger, consolidation, share exchange or, in certain circumstances, an asset transfer or issuance or transfer of equity securities or reclassification of equity securities) between a Maryland corporation and any person who beneficially owns, directly or indirectly, 10% or more of the voting power of the corporation or an affiliate of the corporation who, at any time within the two-year period immediately prior to the date in question, was the beneficial owner, directly or indirectly, of 10% or more of the voting power of the then-outstanding voting stock of the corporation, in each case referred to as an interested stockholder,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shares of voting stock of the corporation and (b) two-thirds of the votes entitled to be cast by holders of voting stock of the corporation other than shares of voting stock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These provisions of the MGCL do not apply, however, to business combinations that are approved or exempted by a board of directors prior to the time that the interested stockholder becomes an interested stockholder. A person is not an interested stockholder under the statute if the board of directors approved in advance the transaction by which the person otherwise would have become an interested stockholder.</w:t>
      </w:r>
    </w:p>
    <w:p>
      <w:pPr>
        <w:spacing w:after="0" w:line="182"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Our board of directors may provide that its approval is subject to compliance with any terms and conditions determined by it. However, pursuant to the statute, our board of directors has by resolution opted out of these provisions of the MGCL and, consequently, the five-year prohibition and the super-majority vote requirements will not apply to business combinations between us and any interested stockholder of our company. As a result, anyone who later becomes an interested stockholder may be able to enter into business combinations with us that may not be in the best interest of our stockholders without compliance by our company with the super-majority vote requirements and the other provisions of the statute. However, no assurances can be given that such resolution will not be modified, amended or revoked in the future or that the provisions of the MGCL relative to business combinations will not be reinstated or again become applicable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MGCL provides that holders of "control shares" of a Maryland corporation acquired in a "control share acquisition" have no voting rights with respect to the control shares except to the extent approved at a special meeting of stockholders by the affirmative vote of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(i) a person who makes or proposes to make a control share acquisition, (ii) an officer of the corporation or (iii) an employee of the corporation who is also a director of the corporation. "Control shares" are voting shares of stock which, if aggregated with all other such shares of stock owned by the acquiror or in respect of which the acquiror is able to exercise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ind w:right="60"/>
        <w:spacing w:after="0" w:line="255" w:lineRule="auto"/>
        <w:rPr>
          <w:sz w:val="20"/>
          <w:szCs w:val="20"/>
          <w:color w:val="auto"/>
        </w:rPr>
      </w:pPr>
      <w:r>
        <w:rPr>
          <w:rFonts w:ascii="Arial" w:cs="Arial" w:eastAsia="Arial" w:hAnsi="Arial"/>
          <w:sz w:val="18"/>
          <w:szCs w:val="18"/>
          <w:color w:val="auto"/>
        </w:rPr>
        <w:t>or direct the exercise of voting power (except solely by virtue of a revocable proxy), would entitle the acquiror, directly or indirectly, to exercise or direct the exercise of, voting power in electing directors within one of the following ranges of voting power: (i) one-tenth or more but less than one-third, (ii) one-third or more but less than a majority, or (iii) a majority or more of all voting power. Control shares do not include shares the acquiring person is then entitled to vote as a result of having previously obtained stockholder approval. A "control share acquisition" means the acquisition, directly or indirectly, of control shares, subject to certain exceptions.</w:t>
      </w:r>
    </w:p>
    <w:p>
      <w:pPr>
        <w:spacing w:after="0" w:line="197"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 person who has made or proposes to make a control share acquisition, upon satisfaction of certain conditions (including an undertaking to pay expenses), may compel our board of directors to call a special meeting of stockholders to be held within 50 days of demand to consider the voting rights of the shares. If no request for a meeting is made, the corporation may itself present the question at any stockholders meeting.</w:t>
      </w:r>
    </w:p>
    <w:p>
      <w:pPr>
        <w:spacing w:after="0" w:line="16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172"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control share acquisition statute does not apply (a) to shares acquired in a merger, consolidation or share exchange if the corporation is a party to the transaction or (b) to acquisitions approved or exempted by the charter or bylaws of the corporation.</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bylaws contain a provision exempting from the control share acquisition statute any and all acquisitions by any person of shares of our stock. There can be no assurance that this provision will not be amended or eliminated at any time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Subtitle 8</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Subtitle 8 of Title 3 of the MGCL permits a Maryland corporation with a class of equity securities registered under the Securities Exchange Act of 1934, as amended (the "Exchange Act"), and at least three independent directors to elect to be subject, by provision in its charter or bylaws or a resolution of its board of directors and notwithstanding any contrary provision in the charter or bylaws, to any or all of the following five provisions:</w:t>
      </w:r>
    </w:p>
    <w:p>
      <w:pPr>
        <w:spacing w:after="0" w:line="174"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remaining directors and for the remainder of the full term of the class of directors in which the vacancy occurred;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bylaws provide, and we have elected to be subject to the provision of Subtitle 8 that requires, that a vacancy on the board be filled only by the remaining directors and for the remainder of the full term of the class of directors in which the vacancy occurred. Through provisions in our charter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bylaws unrelated to Subtitle 8, we also (a) have a classified board and (b) vest in the board the exclusive power to fix the number of directorships.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Certain Provisions of Maryland Law</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business combination provisions, the control share acquisition provisions and Subtitle 8 of the MGCL could delay, defer or prevent a transaction or a change in control of our company that might involve a premium price for holders of securities or otherwise be in their best interests.</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6" w:name="page87"/>
    <w:bookmarkEnd w:id="86"/>
    <w:p>
      <w:pPr>
        <w:jc w:val="center"/>
        <w:ind w:right="40"/>
        <w:spacing w:after="0"/>
        <w:rPr>
          <w:sz w:val="20"/>
          <w:szCs w:val="20"/>
          <w:color w:val="auto"/>
        </w:rPr>
      </w:pPr>
      <w:r>
        <w:rPr>
          <w:rFonts w:ascii="Arial" w:cs="Arial" w:eastAsia="Arial" w:hAnsi="Arial"/>
          <w:sz w:val="18"/>
          <w:szCs w:val="18"/>
          <w:b w:val="1"/>
          <w:bCs w:val="1"/>
          <w:color w:val="auto"/>
        </w:rPr>
        <w:t>RESTRICTIONS ON OWNERSHIP OF CAPITAL STOCK</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The terms "we," "us" and "our" as such terms are used in the following summary of certain provisions of the charter of SL Green relating to restrictions on ownership of capital stock refer to SL Green Realty Corp. unless the context requires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Stock</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Our charter provides that we may issue up to 75,000,000 shares of excess stock, par value $0.01 per share. For a description of excess stock, see "— Restrictions on Ownership"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For us to qualify as a REIT under the Code, among other things, not more than 50% in value of our outstanding capital stock may be owned, directly or indirectly, by five or fewer individuals during the last half of a taxable year, other than the first year, and the shares of capital stock must be beneficially owned by 100 or more persons during at least 335 days of a taxable year of 12 months, other than the first year, or during a proportionate part of a shorter taxable year. Pursuant to the Code, common stock held by specific types of entities, such as pension trusts qualifying under Section 401(a) of the Code, United States investment companies registered under the Investment Company Act of 1940, as amended, partnerships, trusts and corporations, will be attributed to the beneficial owners of these entities for purposes of the five or fewer requirement. Generally, for the purposes of restrictions on ownership, the beneficial owners of these entities will be counted as our stockholders.</w:t>
      </w:r>
    </w:p>
    <w:p>
      <w:pPr>
        <w:spacing w:after="0" w:line="172"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order to protect us against the risk of losing our status as a REIT due to a concentration of ownership among our stockholders, our charter, subject to exceptions, provides that no stockholder may own, or be deemed to own by virtue of certain attribution provisions of the Code, more than 9.0%, which we refer to as the "Ownership Limit," of the lesser of the aggregate number or value of our outstanding shares of common stock. Limitations on the ownership of preferred stock may also be imposed by us. See "Description of Preferred Stock—Restrictions on Ownership" beginning on page 18 of this prospectus. Our charter provides that any direct or indirect ownership of shares of stock in excess of the Ownership Limit or that would result in our disqualification as a REIT, including any transfer that results in shares of capital stock being owned by fewer than 100 persons or results in our being "closely held" within the meaning of</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Section 856(h) of the Code, shall be null and void, and the intended transferee will acquire no rights to the shares of capital stock. The foregoing restrictions on transferability and ownership will not apply if our board of directors determines that it is no longer in our best interests to attempt to qualify, or to continue to qualify, as a REIT. Our board of directors may, in its sole discretion, waive the Ownership Limit if evidence satisfactory to the board of directors and our tax counsel is presented that the changes in ownership will not then or in the future jeopardize our REIT status and our board of directors otherwise decides that this action is in our best interest.</w:t>
      </w:r>
    </w:p>
    <w:p>
      <w:pPr>
        <w:spacing w:after="0" w:line="19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charter provides that shares of capital stock owned, or deemed to be owned, or transferred to a stockholder in excess of the Ownership Limit will automatically be converted into shares of excess stock that will be transferred, by operation of law, to the trustee of a trust for the exclusive benefit of one or more charitable organizations described in Section 170(b)(1)(A) and 170(c) of the Code. The trustee of the trust will be deemed to own the excess stock for the benefit of the charitable beneficiary on the date of the violative transfer to the original transferee-stockholder. Any dividend or distribution paid to the original transferee-stockholder of excess stock prior to the discovery by us that capital stock has been transferred in violation of the provisions of our charter shall be repaid to the trustee upon demand. Any dividend or distribution authorized and declared but unpaid shall be rescinded as void from the beginning with respect to the original transferee-stockholder and shall instead be paid to the trustee of the trust for the benefit of the charitable beneficiary. Any vote cast by an original transferee-stockholder of shares of capital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spacing w:after="0" w:line="284" w:lineRule="auto"/>
        <w:rPr>
          <w:sz w:val="20"/>
          <w:szCs w:val="20"/>
          <w:color w:val="auto"/>
        </w:rPr>
      </w:pPr>
      <w:r>
        <w:rPr>
          <w:rFonts w:ascii="Arial" w:cs="Arial" w:eastAsia="Arial" w:hAnsi="Arial"/>
          <w:sz w:val="16"/>
          <w:szCs w:val="16"/>
          <w:color w:val="auto"/>
        </w:rPr>
        <w:t>constituting excess stock prior to the discovery by us that shares of capital stock have been transferred in violation of the provisions of the charter shall be rescinded as void from the beginning. While the excess stock is held in trust, the original transferee-stockholder will be deemed to have given an irrevocable proxy to the trustee to vote the capital stock for the benefit of the charitable beneficiary. The trustee of the trust may transfer the interest in the trust representing the excess stock to any person whose ownership of the shares of capital stock converted into this excess stock would be permitted under the Ownership Limit. If this transfer is made, the interest of the charitable beneficiary shall terminate and the proceeds of the sale shall be payable to the original transferee-stockholder and to the charitable beneficiary as described herein. The original transferee-stockholder shall receive the lesser of (a) the price paid by the original transferee-stockholder for the shares of capital stock that were converted into excess stock or, if the original transferee-stockholder did not give value for the shares, the average closing price for the class of shares from which the shares of capital stock were converted for the ten trading days immediately preceding the sale or gift, and (b) the price received by the trustee from the sale or other disposition of the excess stock held in trust. The trustee may reduce the amount payable to the original transferee-stockholder by the amount of dividends and distributions relating to the shares of excess stock which have been paid to the original transferee-stockholder and are owed by the original transferee-stockholder to the trustee. Any proceeds in excess of the amount payable to the original transferee-stockholder shall be paid by the trustee to the charitable beneficiary. Any liquidation distributions relating to excess stock shall be distributed, with respect to excess stock converted from preferred stock, ratably with each other holder of preferred stock of the same class or excess stock converted from preferred stock of the same class, and with respect to excess stock converted from common stock, ratably with each other holder of common stock or excess stock converted from common stock. The liquidation distributions allocated to a share of excess stock will be distributed in the same manner as proceeds from a sale of such share of excess stock would be distributed. If the foregoing transfer restrictions are determined to be void or invalid by virtue of any legal decision, statute, rule or regulations, then the original transferee-stockholder of any shares of excess stock may be deemed, at our option, to have acted as an agent on behalf of us in acquiring the shares of excess stock and to hold the shares of excess stock on our behalf.</w:t>
      </w:r>
    </w:p>
    <w:p>
      <w:pPr>
        <w:spacing w:after="0" w:line="18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Shares of excess stock shall be deemed to have been offered to the corporation or its designee for 90 days at a price per share payable to the purported transferee equal to the lesser of (a) the price per share in the transaction that created the excess shares (or, in the case of a devise or gift, the market price at the time of such devise or gift) and (b) the market price of the common stock or preferred stock which was converted into such excess stock on the date the corporation or its designee accepts the offer. We may reduce the amount payable to the original transferee-stockholder by the amount of dividends and distributions relating to the shares of excess stock which have been paid to the original transferee-stockholder and are owed by the original transferee-stockholder to the trustee. We may pay the amount of the reductions to the trustee for the benefit of the charitable beneficiary. The 90-day period begins on the later of the date on which notice is received of the violative transfer if the original transferee-stockholder gives notice to us of the transfer and, if no notice is given, the date the board of directors determines that a violative transfer has been made.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restrictions will not preclude settlement of transactions through the NYSE.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certificates representing shares of stock will bear a legend referring to the restrictions described above.</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Each stockholder shall upon demand be required to disclose to us in writing any information with respect to the direct, indirect and constructive ownership of capital stock of our company as the board of directors deems necessary to comply with the provisions of the Code applicable to REITs, to comply with the requirements of any taxing authority or governmental agency or to determine any such compliance.</w:t>
      </w:r>
    </w:p>
    <w:p>
      <w:pPr>
        <w:spacing w:after="0" w:line="194" w:lineRule="exact"/>
        <w:rPr>
          <w:sz w:val="20"/>
          <w:szCs w:val="20"/>
          <w:color w:val="auto"/>
        </w:rPr>
      </w:pPr>
    </w:p>
    <w:p>
      <w:pPr>
        <w:jc w:val="both"/>
        <w:ind w:right="400" w:firstLine="348"/>
        <w:spacing w:after="0" w:line="370" w:lineRule="auto"/>
        <w:rPr>
          <w:sz w:val="20"/>
          <w:szCs w:val="20"/>
          <w:color w:val="auto"/>
        </w:rPr>
      </w:pPr>
      <w:r>
        <w:rPr>
          <w:rFonts w:ascii="Arial" w:cs="Arial" w:eastAsia="Arial" w:hAnsi="Arial"/>
          <w:sz w:val="15"/>
          <w:szCs w:val="15"/>
          <w:color w:val="auto"/>
        </w:rPr>
        <w:t>The Ownership Limit and the other provisions of the charter of SL Green summarized above may have the effect of delaying, deferring or preventing a change in control of our company unless the board of directors determines that maintenance of REIT status is no longer in the best interest of our company.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terms "we," "us" and "our" as such terms are used in the following summary refer to SL Green Realty Corp. unless the context requires otherwise.</w:t>
      </w:r>
    </w:p>
    <w:p>
      <w:pPr>
        <w:spacing w:after="0" w:line="248"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following discussion summarizes the material United States federal income tax consequences that are generally applicable to prospective holders of the offered securities. The specific tax consequences of owning the offered securities will vary depending on the circumstances of a particular stockholder or noteholder. The discussion contained herein does not address all aspects of federal income taxation that may be relevant to particular holders. Therefore, we strongly recommend that stockholders and noteholders review the following discussion and then consult with a tax advisor to determine the anticipated tax consequences of owning the offered securities.</w:t>
      </w:r>
    </w:p>
    <w:p>
      <w:pPr>
        <w:spacing w:after="0" w:line="197"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information in this section and the opinions of Greenberg Traurig, LLP are based on the Code, existing and proposed Treasury regulations thereunder, current administrative interpretations and court decisions. We cannot assume that future legislation, Treasury regulations, administrative interpretations and court decisions will not significantly change current law or affect existing interpretations of current law in a manner which is adverse to stockholders or noteholders. Any such change could apply retroactively to transactions preceding the date of change. We cannot assume that the opinions and statements set forth herein, which do not bind the Internal Revenue Service, or the IRS, or the courts, will not be challenged by the IRS or will be sustained by a court if so challenged.</w:t>
      </w:r>
    </w:p>
    <w:p>
      <w:pPr>
        <w:spacing w:after="0" w:line="15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summary does not discuss state, local or foreign tax considerations. Except where indicated, the discussion below describes general federal income tax considerations applicable to individuals who are U.S. persons for federal income tax purposes (as described below) and who hold the offered securities as "capital assets" within the meaning of Section 1221 of the Code. Accordingly, the following discussion has limited application to domestic corporations and persons subject to specialized federal income tax treatment, such as foreign persons, trusts, estates, tax-exempt entities, regulated investment companies and insurance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Under applicable Treasury regulations a provider of advice on specific issues of law is not considered an income tax return preparer unless the advice is</w:t>
      </w:r>
    </w:p>
    <w:p>
      <w:pPr>
        <w:spacing w:after="0" w:line="38" w:lineRule="exact"/>
        <w:rPr>
          <w:sz w:val="20"/>
          <w:szCs w:val="20"/>
          <w:color w:val="auto"/>
        </w:rPr>
      </w:pPr>
    </w:p>
    <w:p>
      <w:pPr>
        <w:ind w:right="60" w:firstLine="8"/>
        <w:spacing w:after="0" w:line="290" w:lineRule="auto"/>
        <w:tabs>
          <w:tab w:leader="none" w:pos="21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given with respect to events that have occurred at the time the advice is rendered and is not given with respect to the consequences of contemplated actions, and (ii) is directly relevant to the determination of an entry on a tax return. Accordingly, prospective stockholders and noteholders should consult their respective tax advisors and tax return preparers regarding the preparation of any item on a tax return, even where the anticipated tax treatment has been discussed herein. </w:t>
      </w:r>
      <w:r>
        <w:rPr>
          <w:rFonts w:ascii="Arial" w:cs="Arial" w:eastAsia="Arial" w:hAnsi="Arial"/>
          <w:sz w:val="16"/>
          <w:szCs w:val="16"/>
          <w:b w:val="1"/>
          <w:bCs w:val="1"/>
          <w:color w:val="auto"/>
        </w:rPr>
        <w:t>In</w:t>
      </w:r>
      <w:r>
        <w:rPr>
          <w:rFonts w:ascii="Arial" w:cs="Arial" w:eastAsia="Arial" w:hAnsi="Arial"/>
          <w:sz w:val="16"/>
          <w:szCs w:val="16"/>
          <w:color w:val="auto"/>
        </w:rPr>
        <w:t xml:space="preserve"> </w:t>
      </w:r>
      <w:r>
        <w:rPr>
          <w:rFonts w:ascii="Arial" w:cs="Arial" w:eastAsia="Arial" w:hAnsi="Arial"/>
          <w:sz w:val="16"/>
          <w:szCs w:val="16"/>
          <w:b w:val="1"/>
          <w:bCs w:val="1"/>
          <w:color w:val="auto"/>
        </w:rPr>
        <w:t>addition, prospective stockholders and noteholders are urged to consult with their own tax advisors with regard to the application of the federal income tax laws to such stockholders' and noteholders' respective personal tax situations, as well as any tax consequences arising under the laws of any state, local or foreign taxing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SL Green</w:t>
      </w:r>
    </w:p>
    <w:p>
      <w:pPr>
        <w:spacing w:after="0" w:line="231"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We elected to be taxed as a REIT under Sections 856 through 860 of the Code effective for our taxable year ended December 31, 1997. We believe that we have been organized and have operated, and we intend to continue to operate, in a manner to qualify as a REIT. In the opinion of Greenberg Traurig, LLP, commencing with our taxable year ended December 31, 2001, we have been organized and have been operated in conformity with the requirements for qualification and taxation as a REIT under the Code and our proposed method of operation will enable us to continue to meet the requirements for qualification and taxation as a REIT under the Code. This opinion is based on factual representations relating to the organization and operation of us, SL Green Operating Partnership, our respective subsidiaries, factual representations relating to our continued efforts to comply with the various REIT tests and such documents that Greenberg Traurig, LLP has considered necessary or appropriate to review as a basis for rendering this opinion. Qualification and taxation as a REIT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9" w:name="page90"/>
    <w:bookmarkEnd w:id="89"/>
    <w:p>
      <w:pPr>
        <w:ind w:right="360"/>
        <w:spacing w:after="0" w:line="332" w:lineRule="auto"/>
        <w:rPr>
          <w:sz w:val="20"/>
          <w:szCs w:val="20"/>
          <w:color w:val="auto"/>
        </w:rPr>
      </w:pPr>
      <w:r>
        <w:rPr>
          <w:rFonts w:ascii="Arial" w:cs="Arial" w:eastAsia="Arial" w:hAnsi="Arial"/>
          <w:sz w:val="16"/>
          <w:szCs w:val="16"/>
          <w:color w:val="auto"/>
        </w:rPr>
        <w:t>depends upon our ability to meet on a continuing basis, through actual annual or quarterly operating results, the various qualification tests imposed under the Code. Greenberg Traurig, LLP will not review compliance with these tests on a continuing basis. See "Failure to Qualify" below.</w:t>
      </w:r>
    </w:p>
    <w:p>
      <w:pPr>
        <w:spacing w:after="0" w:line="139"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is a general summary of the material Code provisions that govern the federal income tax treatment of a REIT and its stockholders. These provisions of the Code are highly technical and complex.</w:t>
      </w:r>
    </w:p>
    <w:p>
      <w:pPr>
        <w:spacing w:after="0" w:line="186" w:lineRule="exact"/>
        <w:rPr>
          <w:sz w:val="20"/>
          <w:szCs w:val="20"/>
          <w:color w:val="auto"/>
        </w:rPr>
      </w:pPr>
    </w:p>
    <w:p>
      <w:pPr>
        <w:jc w:val="both"/>
        <w:ind w:right="560" w:firstLine="351"/>
        <w:spacing w:after="0" w:line="306" w:lineRule="auto"/>
        <w:rPr>
          <w:sz w:val="20"/>
          <w:szCs w:val="20"/>
          <w:color w:val="auto"/>
        </w:rPr>
      </w:pPr>
      <w:r>
        <w:rPr>
          <w:rFonts w:ascii="Arial" w:cs="Arial" w:eastAsia="Arial" w:hAnsi="Arial"/>
          <w:sz w:val="16"/>
          <w:szCs w:val="16"/>
          <w:color w:val="auto"/>
        </w:rPr>
        <w:t>If we qualify for taxation as a REIT, we generally will not be subject to federal corporate income taxes on net income that we distribute currently to stockholders. This treatment substantially eliminates the double taxation (taxation at both the corporate and stockholder levels) that generally results from investment in a corporation. However, we will be subject to federal income and excise tax in specific circumstances, including the following:</w:t>
      </w:r>
    </w:p>
    <w:p>
      <w:pPr>
        <w:spacing w:after="0" w:line="174"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REIT taxable income, including undistributed net capital gains;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be subject to the alternative minimum tax on our items of tax preference;</w:t>
      </w:r>
    </w:p>
    <w:p>
      <w:pPr>
        <w:spacing w:after="0" w:line="238" w:lineRule="exact"/>
        <w:rPr>
          <w:rFonts w:ascii="Arial" w:cs="Arial" w:eastAsia="Arial" w:hAnsi="Arial"/>
          <w:sz w:val="18"/>
          <w:szCs w:val="18"/>
          <w:color w:val="auto"/>
        </w:rPr>
      </w:pPr>
    </w:p>
    <w:p>
      <w:pPr>
        <w:ind w:left="1080" w:right="420" w:hanging="532"/>
        <w:spacing w:after="0" w:line="306"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we have (a) net income from the sale or other disposition of foreclosure property (which is, in general, property acquired by foreclosure or otherwise on default of a loan secured by the property) held primarily for sale to customers in the ordinary course of business or (b) other nonqualifying income from foreclosure property, we will be subject to tax at the highest corporate rate on such income;</w:t>
      </w:r>
    </w:p>
    <w:p>
      <w:pPr>
        <w:spacing w:after="0" w:line="174" w:lineRule="exact"/>
        <w:rPr>
          <w:rFonts w:ascii="Arial" w:cs="Arial" w:eastAsia="Arial" w:hAnsi="Arial"/>
          <w:sz w:val="16"/>
          <w:szCs w:val="16"/>
          <w:color w:val="auto"/>
        </w:rPr>
      </w:pPr>
    </w:p>
    <w:p>
      <w:pPr>
        <w:ind w:left="1080" w:right="6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have net income from prohibited transactions, which are, in general, sales or other dispositions of property held primarily for sale to customers in the ordinary course of business, such income will be subject to a 100% tax;</w:t>
      </w:r>
    </w:p>
    <w:p>
      <w:pPr>
        <w:spacing w:after="0" w:line="212" w:lineRule="exact"/>
        <w:rPr>
          <w:rFonts w:ascii="Arial" w:cs="Arial" w:eastAsia="Arial" w:hAnsi="Arial"/>
          <w:sz w:val="18"/>
          <w:szCs w:val="18"/>
          <w:color w:val="auto"/>
        </w:rPr>
      </w:pPr>
    </w:p>
    <w:p>
      <w:pPr>
        <w:jc w:val="both"/>
        <w:ind w:left="1080" w:right="120" w:hanging="532"/>
        <w:spacing w:after="0" w:line="306"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we fail to satisfy either the 75% gross income test or the 95% gross income test, but nonetheless maintain our qualification as a REIT because other requirements have been met, we will be subject to a 100% tax on (i) the greater of (a) the amount by which we fail the 75% test and (b) the amount by which we fail the 95% test, multiplied by (ii) a fraction intended to reflect our profitability;</w:t>
      </w:r>
    </w:p>
    <w:p>
      <w:pPr>
        <w:spacing w:after="0" w:line="174" w:lineRule="exact"/>
        <w:rPr>
          <w:rFonts w:ascii="Arial" w:cs="Arial" w:eastAsia="Arial" w:hAnsi="Arial"/>
          <w:sz w:val="16"/>
          <w:szCs w:val="16"/>
          <w:color w:val="auto"/>
        </w:rPr>
      </w:pPr>
    </w:p>
    <w:p>
      <w:pPr>
        <w:jc w:val="both"/>
        <w:ind w:left="1080" w:right="38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(a) 85% of our REIT ordinary income for such year, (b) 95% of our REIT capital gain net income for such year and (c) any undistributed taxable income from prior years, we will be subject to a 4% excise tax on the excess of such required distribution over the amounts actually distributed;</w:t>
      </w:r>
    </w:p>
    <w:p>
      <w:pPr>
        <w:spacing w:after="0" w:line="207" w:lineRule="exact"/>
        <w:rPr>
          <w:rFonts w:ascii="Arial" w:cs="Arial" w:eastAsia="Arial" w:hAnsi="Arial"/>
          <w:sz w:val="18"/>
          <w:szCs w:val="18"/>
          <w:color w:val="auto"/>
        </w:rPr>
      </w:pPr>
    </w:p>
    <w:p>
      <w:pPr>
        <w:ind w:left="1080" w:right="140" w:hanging="532"/>
        <w:spacing w:after="0" w:line="25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we fail to satisfy any of the REIT asset tests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failure to meet the 5% or 10% asset test) due to reasonable cause and not due to willful neglect, and we nonetheless maintain our REIT qualification because of specified cure provisions, we will be required to pay a tax equal to the greater of $50,000 or the highest corporate tax rate multiplied by the net income generated during a certain period by the nonqualifying assets that caused us to fail such test;</w:t>
      </w:r>
    </w:p>
    <w:p>
      <w:pPr>
        <w:spacing w:after="0" w:line="224"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satisfy any provision of the Code that would result in our failure to qualify as a REIT (other than a violation of the REIT gross income tests or certain violations of the asset tests) and the violation is due to reasonable cause, and not due to willful neglect, we may retain our REIT qualification but we will be required to pay a penalty of $50,000 for each such failure;</w:t>
      </w:r>
    </w:p>
    <w:p>
      <w:pPr>
        <w:spacing w:after="0" w:line="207"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acquire any asset from a corporation generally subject to full corporate level tax in a transaction in which the basis of the asset in our hands is determined by reference to the basis of the asset in the hands of the corporation and we recognize gain on the disposition of such asset during the ten-year period beginning on the date on which such asset was acquired by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ind w:left="1080" w:right="60"/>
        <w:spacing w:after="0" w:line="259" w:lineRule="auto"/>
        <w:rPr>
          <w:sz w:val="20"/>
          <w:szCs w:val="20"/>
          <w:color w:val="auto"/>
        </w:rPr>
      </w:pPr>
      <w:r>
        <w:rPr>
          <w:rFonts w:ascii="Arial" w:cs="Arial" w:eastAsia="Arial" w:hAnsi="Arial"/>
          <w:sz w:val="18"/>
          <w:szCs w:val="18"/>
          <w:color w:val="auto"/>
        </w:rPr>
        <w:t>then we will be subject to the built-in gain rule. Built-in gain is the excess of the fair market value of such property at the time of acquisition by us over the adjusted basis in such property at such time. Under the built-in gain rule, we will be subject to tax on such gain at the highest regular corporate rate applicable;</w:t>
      </w:r>
    </w:p>
    <w:p>
      <w:pPr>
        <w:spacing w:after="0" w:line="208" w:lineRule="exact"/>
        <w:rPr>
          <w:sz w:val="20"/>
          <w:szCs w:val="20"/>
          <w:color w:val="auto"/>
        </w:rPr>
      </w:pPr>
    </w:p>
    <w:p>
      <w:pPr>
        <w:ind w:left="1080" w:right="2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it is determined that amounts of certain income and expense were not allocated between us and a Taxable REIT Subsidiary (as defined herein) on the basis of arm's-length dealing, or to the extent we charge a Taxable REIT Subsidiary interest in excess of a commercially reasonable rate, we will be subject to a tax equal to 100% of those amounts;</w:t>
      </w:r>
    </w:p>
    <w:p>
      <w:pPr>
        <w:spacing w:after="0" w:line="221"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we fail to comply with the requirement to send annual letters to our stockholders requesting information regarding the actual ownership of our shares, and the failure was not due to reasonable cause or to willful neglect, we will be required to pay a penalty of $25,000, or if the failure is intentional, a $50,000 penalty;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of our subsidiaries are C corporations, the earnings of which will be subject to U.S. federal and state income tax.</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Requirements for Qualification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Sections 856 through 859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during the last half of each taxable year not more than 50% in value of the outstanding stock of which is owned, directly or indirectly, by five or fewer individuals;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meets other tests, described below, regarding the nature of its income and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Code provides that conditions (a) through (d), inclusive, must be met during the entire taxable year and that condition (e) must be met during at least</w:t>
      </w:r>
    </w:p>
    <w:p>
      <w:pPr>
        <w:spacing w:after="0" w:line="3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335 days of a taxable year of 12 months, or during a proportionate part of a taxable year of less than 12 months. Conditions (e) and (f), however, will not apply until after the first taxable year for which an election is made to be taxed as a REIT. We believe we have issued and have outstanding sufficient shares of stock with sufficient diversity of ownership to allow us to satisfy conditions (e) and (f). In addition, we intend to comply with Treasury regulations requiring us to ascertain the actual ownership of our outstanding shares. Our charter includes restrictions regarding the transfer of shares of capital stock that are intended to assist us in continuing to satisfy the share ownership requirements described in (e) and (f) above. See "Restrictions on Ownership of Capital Stock" discussed in the prior section of this prospectus.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 REIT owns a corporate subsidiary that is a qualified REIT subsidiary (generally, a corporation wholly owned by the REIT), that subsidiary is disregarded for federal income tax purposes and all assets, liabilities and items of income, deduction and credit of the subsidiary are treated as assets, liabilities and items of the REIT itself. Similarly, a single member limited liability company owned by the REIT or by SL Green Operating Partnership is generally disregarded as a separate entity for federal income tax purposes.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ind w:right="40" w:firstLine="351"/>
        <w:spacing w:after="0" w:line="291" w:lineRule="auto"/>
        <w:rPr>
          <w:sz w:val="20"/>
          <w:szCs w:val="20"/>
          <w:color w:val="auto"/>
        </w:rPr>
      </w:pPr>
      <w:r>
        <w:rPr>
          <w:rFonts w:ascii="Arial" w:cs="Arial" w:eastAsia="Arial" w:hAnsi="Arial"/>
          <w:sz w:val="16"/>
          <w:szCs w:val="16"/>
          <w:color w:val="auto"/>
        </w:rPr>
        <w:t>In the case of a REIT that is a partner in a partnership, Treasury regulations provide that for purposes of the gross income tests and asset tests, the REIT will be deemed to own its proportionate share, based on its interest in partnership capital, of the assets of the partnership and will be deemed to be entitled to the income of the partnership attributable to such share. In addition, the assets and gross income of the partnership will retain the same character in the hands of the REIT for purposes of Section 856 of the Code, including satisfying the gross income tests and asset tests, that they have in the hands of the partnership. Thus, our proportionate share of the assets, liabilities and items of gross income of SL Green Operating Partnership will be treated as our assets, liabilities and items of gross income for purposes of applying the requirements described herein.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a corporation may not elect to become a REIT unless its taxable year is the calendar year. Our taxable year is the calendar year.</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Income Tests. </w:t>
      </w:r>
      <w:r>
        <w:rPr>
          <w:rFonts w:ascii="Arial" w:cs="Arial" w:eastAsia="Arial" w:hAnsi="Arial"/>
          <w:sz w:val="16"/>
          <w:szCs w:val="16"/>
          <w:color w:val="auto"/>
        </w:rPr>
        <w:t>In order to maintain qualification as a REIT, we must annually satisfy two gross income tests. First, at least 75% of the REIT's gross income,</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gross income from prohibited transactions, certain hedging transactions entered into after July 30, 2008, and certain foreign currency gains recognized after July 30, 2008, for each taxable year must be derived directly or indirectly from investments relating to real property or mortgages on real property, including rents from real property and, in specific circumstances, from certain types of temporary investments. Second, at least 95% of the REIT's gross income, excluding gross income from prohibited transactions, certain hedging transactions, and certain foreign currency gains recognized after July 30, 2008, for each taxable year must be derived from such real property investments described above and from dividends, interest and gain from the sale or disposition of stock or securities, or from any combination of the foregoing. If we fail to satisfy one or both of the 75% or the 95% gross income tests for any taxable year, we nevertheless may qualify as a REIT for such year if we are entitled to relief under specific provisions of the Code. These relief provisions generally are available if our failure to meet any such tests was due to reasonable cause and not due to willful neglect, we attach a schedule of the sources of our income to our federal corporate income tax return and any incorrect information on the schedule was not due to fraud with intent to evade tax. It is not possible, however, to state whether in all circumstances we would be entitled to the benefit of these relief provisions. As discussed above, even if these relief provisions were to apply, a tax would be imposed with respect to the non-qualifying gross income.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income tests, rents received by a REIT will qualify as rents from real property only if the following conditions are met:</w:t>
      </w:r>
    </w:p>
    <w:p>
      <w:pPr>
        <w:spacing w:after="0" w:line="239" w:lineRule="exact"/>
        <w:rPr>
          <w:sz w:val="20"/>
          <w:szCs w:val="20"/>
          <w:color w:val="auto"/>
        </w:rPr>
      </w:pPr>
    </w:p>
    <w:p>
      <w:pPr>
        <w:ind w:left="1080" w:right="24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of rent must not be based in whole or in part on the income or profits of any person. However, an amount received or accrued generally will not be excluded from rents from real property solely by reason of being based on a fixed percentage or percentages of receipts or sales;</w:t>
      </w:r>
    </w:p>
    <w:p>
      <w:pPr>
        <w:spacing w:after="0" w:line="221"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rents received from a tenant generally will not qualify as rents from real property in satisfying the gross income tests if the REIT, or a direct or indirect owner of 10% or more of the REIT, directly or constructively, owns 10% or more of such tenant;</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rent attributable to personal property, leased in connection with a lease of real property, is greater than 15% of the total rent received under the lease, then the portion of rent attributable to such personal property will not qualify as rents from real property; and</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REIT generally must not operate or manage the property or furnish or render services to tenants, except through a Taxable REIT Subsidiary (as defined herein) or through an independent contractor who is adequately compensated and from whom the REIT derives no income.</w:t>
      </w:r>
    </w:p>
    <w:p>
      <w:pPr>
        <w:spacing w:after="0" w:line="139"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independent contractor requirement, however, does not apply to the extent the services provided by the REIT are usually or customarily rendered in connection with the rental of space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jc w:val="both"/>
        <w:ind w:right="120"/>
        <w:spacing w:after="0" w:line="298" w:lineRule="auto"/>
        <w:rPr>
          <w:sz w:val="20"/>
          <w:szCs w:val="20"/>
          <w:color w:val="auto"/>
        </w:rPr>
      </w:pPr>
      <w:r>
        <w:rPr>
          <w:rFonts w:ascii="Arial" w:cs="Arial" w:eastAsia="Arial" w:hAnsi="Arial"/>
          <w:sz w:val="16"/>
          <w:szCs w:val="16"/>
          <w:color w:val="auto"/>
        </w:rPr>
        <w:t xml:space="preserve">occupancy only and are not otherwise considered rendered to the occupant. Additionally,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rule for noncustomary services, if the value of the noncustomary service income with respect to a property, valued at no less than 150% of the REIT's direct costs of performing such services, is 1% or less of the total income derived from the property, then the noncustomary service income will not cause other income from the property to fail to qualify as rents from real property (but the noncustomary service income itself will never qualify as rents from real property).</w:t>
      </w:r>
    </w:p>
    <w:p>
      <w:pPr>
        <w:spacing w:after="0" w:line="16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received a favorable ruling from the IRS with respect to our provision of telecommunication services, including high-speed Internet access, to our tenants. Under the ruling, providing these services to a property will not disqualify rents received from the property. In addition, amounts that we receive for providing these services will constitute rents from real property.</w:t>
      </w:r>
    </w:p>
    <w:p>
      <w:pPr>
        <w:spacing w:after="0" w:line="194"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and thus will be exempt from the 95% gross income test to the extent such a hedging transaction is entered into on or after January 1, 2005, and will not constitute gross income and thus will be exempt from the 75% gross income test as well as the 95% gross income test to the extent such hedging transaction is entered into after July 30, 2008. Income and gain from a hedging transaction, including gain from the sale or disposition of such a transaction, entered into on or prior to July 30, 2008 will be treated as nonqualifying income for purposes of the 75% gross income test. Income and gain from a hedging transaction, including gain from the sale or disposition of such a transaction, entered into prior to January 1, 2005 will be qualifying income for purposes of the 95% gross income test. The term "hedging transaction," as used above, generally means any transaction we enter into in the normal course of our business primarily to manage risk of</w:t>
      </w:r>
    </w:p>
    <w:p>
      <w:pPr>
        <w:spacing w:after="0" w:line="5" w:lineRule="exact"/>
        <w:rPr>
          <w:sz w:val="20"/>
          <w:szCs w:val="20"/>
          <w:color w:val="auto"/>
        </w:rPr>
      </w:pPr>
    </w:p>
    <w:p>
      <w:pPr>
        <w:ind w:right="40" w:firstLine="8"/>
        <w:spacing w:after="0" w:line="253"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 rate changes or fluctuations with respect to borrowings made or to be made by us to acquire or carry real estate assets, or (2) for hedging transactions entered into after July 30, 2008, currency fluctuations with respect to an item of qualifying income under the 75% or 95% gross income test. To the extent that we do not properly identify such transactions as hedges or we hedge with other types of financial instruments, the income from those transactions is not likely to be treated as qualifying income for purposes of the gross income tests. We intend to structure any hedging transactions in a manner that does not jeopardize our status as a REIT.</w:t>
      </w:r>
    </w:p>
    <w:p>
      <w:pPr>
        <w:spacing w:after="0" w:line="199"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i w:val="1"/>
          <w:iCs w:val="1"/>
          <w:color w:val="auto"/>
        </w:rPr>
        <w:t xml:space="preserve">Prohibited Transaction Income. </w:t>
      </w:r>
      <w:r>
        <w:rPr>
          <w:rFonts w:ascii="Arial" w:cs="Arial" w:eastAsia="Arial" w:hAnsi="Arial"/>
          <w:sz w:val="16"/>
          <w:szCs w:val="16"/>
          <w:color w:val="auto"/>
        </w:rPr>
        <w:t>Any gain that we realize (including any net foreign currency gain recognized after July 30, 2008) on the sale of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held as inventory or otherwise held primarily for sale to customers in the ordinary course of business (other than foreclosure property) will be treated as income from a prohibited transaction that is subject to a 100% penalty tax. This prohibited transaction income may also adversely affect our ability to satisfy the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We intend to hold our properties for investment with a view to long-term appreciation, to engage in the business of acquiring, developing and owning our properties and to make occasional sales of the properties as are consistent with our investment objectives. We do not intend to enter into any sales that are prohibited transactions. However, the IRS may successfully contend that some or all of our sales are prohibited transactions, and we would be required to pay the 100% penalty tax on the gains resulting from any such sales.</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Penalty Tax. </w:t>
      </w:r>
      <w:r>
        <w:rPr>
          <w:rFonts w:ascii="Arial" w:cs="Arial" w:eastAsia="Arial" w:hAnsi="Arial"/>
          <w:sz w:val="18"/>
          <w:szCs w:val="18"/>
          <w:color w:val="auto"/>
        </w:rPr>
        <w:t>Any redetermined rents, redetermined deductions or excess interest we generate will be subject to a 100% penalty tax.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redetermined rents are rents from real property that are overstated as a result of any services furnished to any of our tenants by one of our taxable REIT subsidiaries, and redetermined deductions and excess interest represent any amounts that are deducted by a taxable REIT subsidiary for amounts paid to us that are in excess of the amounts that would have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ind w:right="560"/>
        <w:spacing w:after="0" w:line="268" w:lineRule="auto"/>
        <w:rPr>
          <w:sz w:val="20"/>
          <w:szCs w:val="20"/>
          <w:color w:val="auto"/>
        </w:rPr>
      </w:pPr>
      <w:r>
        <w:rPr>
          <w:rFonts w:ascii="Arial" w:cs="Arial" w:eastAsia="Arial" w:hAnsi="Arial"/>
          <w:sz w:val="18"/>
          <w:szCs w:val="18"/>
          <w:color w:val="auto"/>
        </w:rPr>
        <w:t>been deducted based on arm's-length negotiations. Rents we receive will not constitute redetermined rents if they qualify for certain safe harbor provisions contained in the Code.</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From time to time our taxable REIT subsidiaries may provide services to our tenants. We intend to set any fees paid to our taxable REIT subsidiaries for such services at arm's-length rates, although the fees paid may not satisfy the safe-harbor provisions described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the excess of an arm's-length fee for tenant services over the amount actually paid.</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i w:val="1"/>
          <w:iCs w:val="1"/>
          <w:color w:val="auto"/>
        </w:rPr>
        <w:t xml:space="preserve">Asset Tests. </w:t>
      </w:r>
      <w:r>
        <w:rPr>
          <w:rFonts w:ascii="Arial" w:cs="Arial" w:eastAsia="Arial" w:hAnsi="Arial"/>
          <w:sz w:val="18"/>
          <w:szCs w:val="18"/>
          <w:color w:val="auto"/>
        </w:rPr>
        <w:t>In order to maintain qualification as a REIT, we must also satisfy, at the close of each quarter of our taxable year, the following tests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nature of our assets:</w:t>
      </w:r>
    </w:p>
    <w:p>
      <w:pPr>
        <w:spacing w:after="0" w:line="199" w:lineRule="exact"/>
        <w:rPr>
          <w:sz w:val="20"/>
          <w:szCs w:val="20"/>
          <w:color w:val="auto"/>
        </w:rPr>
      </w:pPr>
    </w:p>
    <w:p>
      <w:pPr>
        <w:ind w:left="1080" w:right="140" w:hanging="532"/>
        <w:spacing w:after="0" w:line="256"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be represented by real estate assets, including (a) our allocable share of real estate assets held by SL Green Operating Partnership or any partnerships in which SL Green Operating Partnership owns an interest and (b) stock or debt instruments held for not more than one year purchased with the proceeds of a stock offering or long-term (i.e., at least five-year) public debt offering by us, cash, cash items and government securities;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more than 25% of the value of our total assets may consist of securities other than those that qualify under the 75% test described above;</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more than 25% (20% for our taxable years beginning before January 1, 2009) of the value of our total assets may be securities of one or more Taxable REIT Subsidiaries; and</w:t>
      </w:r>
    </w:p>
    <w:p>
      <w:pPr>
        <w:spacing w:after="0" w:line="19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for securities in the 75% asset class and securities of a Taxable REIT Subsidiary or a qualified REIT subsidiary: (a) the value of any one issuer's securities owned by us may not exceed 5% of the value of our total assets; (b) we may not own more than 10% of the total voting power of any one issuer's outstanding securities; and (c) we may not own more than 10% of the total value of any one issuer's outstanding securities (other than certain "straight debt" securities).</w:t>
      </w:r>
    </w:p>
    <w:p>
      <w:pPr>
        <w:spacing w:after="0" w:line="197" w:lineRule="exact"/>
        <w:rPr>
          <w:sz w:val="20"/>
          <w:szCs w:val="20"/>
          <w:color w:val="auto"/>
        </w:rPr>
      </w:pPr>
    </w:p>
    <w:p>
      <w:pPr>
        <w:ind w:right="160" w:firstLine="348"/>
        <w:spacing w:after="0" w:line="314" w:lineRule="auto"/>
        <w:rPr>
          <w:sz w:val="20"/>
          <w:szCs w:val="20"/>
          <w:color w:val="auto"/>
        </w:rPr>
      </w:pPr>
      <w:r>
        <w:rPr>
          <w:rFonts w:ascii="Arial" w:cs="Arial" w:eastAsia="Arial" w:hAnsi="Arial"/>
          <w:sz w:val="15"/>
          <w:szCs w:val="15"/>
          <w:color w:val="auto"/>
        </w:rPr>
        <w:t>We own in excess of 10% of the stock of a number of private REITs, each of which has elected to be taxed as a REIT for federal income tax purposes. As a REIT, each of these companies is subject to the various REIT qualification requirements. We believe that each of these companies has been organized and has operated in a manner to qualify for taxation as a REIT for federal income tax purposes and will continue to be organized and operated in this manner. If any of these companies were to fail to qualify as a REIT, our interest in the stock of such company could cease to be a qualifying real estate asset for purposes of the 75% asset test and could thus become subject to the 5% asset test, the 10% voting stock limitation and the 10% value limitation applicable to our ownership in corporations generally (other than REITs, qualified REIT subsidiaries and Taxable REIT Subsidiaries). As a result, we could fail to qualify as a REIT.</w:t>
      </w:r>
    </w:p>
    <w:p>
      <w:pPr>
        <w:spacing w:after="0" w:line="159"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Taxable REIT Subsidiary</w:t>
      </w:r>
      <w:r>
        <w:rPr>
          <w:rFonts w:ascii="Arial" w:cs="Arial" w:eastAsia="Arial" w:hAnsi="Arial"/>
          <w:sz w:val="18"/>
          <w:szCs w:val="18"/>
          <w:color w:val="auto"/>
        </w:rPr>
        <w:t>" is a corporation in which we own an interest that may earn income that would not be qualifying income if we earned it directly and may hold assets that would not be qualifying assets if we held them directly. We may hold up to 100% of the stock in a Taxable REIT Subsidiary. To treat a corporation as a Taxable REIT Subsidiary, we and the corporation must make a joint election by filing a Form 8875 with the IRS. A Taxable REIT Subsidiary will be liable for tax at corporate rates on any income it earns. Moreover, to prevent shifting of income and expenses between us and a Taxable REIT Subsidiary, the Code imposes on us a tax equal to 100% of certain items of income and expense that are not allocated between us and the Taxable REIT Subsidiary at arm's length (as described above). The 100% tax is also imposed to the extent we charge a Taxable REIT Subsidiary interest in excess of a commercially reasonable rate (as described above).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ind w:firstLine="341"/>
        <w:spacing w:after="0" w:line="298" w:lineRule="auto"/>
        <w:rPr>
          <w:sz w:val="20"/>
          <w:szCs w:val="20"/>
          <w:color w:val="auto"/>
        </w:rPr>
      </w:pPr>
      <w:r>
        <w:rPr>
          <w:rFonts w:ascii="Arial" w:cs="Arial" w:eastAsia="Arial" w:hAnsi="Arial"/>
          <w:sz w:val="16"/>
          <w:szCs w:val="16"/>
          <w:color w:val="auto"/>
        </w:rPr>
        <w:t>After initially meeting an asset test at the close of any quarter, we will not lose our status as a REIT for failure to satisfy that asset test at the end of a later quarter solely by reason of changes in asset values (including, for tax years beginning after July 30, 2008, a discrepancy caused solely by the change in the foreign currency exchange rate used to value a foreign asset). If the failure to satisfy the asset test results from an acquisition of securities or other property during a quarter, the failure can be cured by disposition of sufficient nonqualifying assets within 30 days after the close of that quarter.</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beginning with our 2005 taxable year, we would not lose our REIT status as the result of a failure to meet the 5% test, the 10% vote test or the 10% value test if the value of the assets causing the violation did not exceed the lesser of 1% of the value of our assets at the end of the quarter in which the violation occurred or $10,000,000 and we were to cure the violation by disposing of assets within six months of the end of the quarter in which we identified the failure. In addition, for a failure to meet the 5% test, the 10% vote test or the 10% value test that is larger than this amount, and for a failure to meet the 75% test, the 25% test, or the 25% (20% for our taxable years beginning before January 1, 2009) taxable REIT subsidiary asset test, we would not lose our REIT status if the failure were for reasonable cause and not due to willful neglect and we were to (i) file a schedule with the IRS describing the assets causing the violation, (ii) cure the violation by disposing of assets within six months of the end of the quarter in which we identified the failure and (iii) pay a tax equal to the greater of $50,000 or the product derived by multiplying the highest federal corporate income tax rate by the net income generated by the non-qualifying assets during the period of the failure. It is not possible, however, to state whether in all cases we would be entitled to these relief provisions.</w:t>
      </w:r>
    </w:p>
    <w:p>
      <w:pPr>
        <w:spacing w:after="0" w:line="174" w:lineRule="exact"/>
        <w:rPr>
          <w:sz w:val="20"/>
          <w:szCs w:val="20"/>
          <w:color w:val="auto"/>
        </w:rPr>
      </w:pPr>
    </w:p>
    <w:p>
      <w:pPr>
        <w:ind w:right="20" w:firstLine="348"/>
        <w:spacing w:after="0" w:line="308" w:lineRule="auto"/>
        <w:rPr>
          <w:sz w:val="20"/>
          <w:szCs w:val="20"/>
          <w:color w:val="auto"/>
        </w:rPr>
      </w:pPr>
      <w:r>
        <w:rPr>
          <w:rFonts w:ascii="Arial" w:cs="Arial" w:eastAsia="Arial" w:hAnsi="Arial"/>
          <w:sz w:val="15"/>
          <w:szCs w:val="15"/>
          <w:i w:val="1"/>
          <w:iCs w:val="1"/>
          <w:color w:val="auto"/>
        </w:rPr>
        <w:t xml:space="preserve">Annual Distribution Requirements. </w:t>
      </w:r>
      <w:r>
        <w:rPr>
          <w:rFonts w:ascii="Arial" w:cs="Arial" w:eastAsia="Arial" w:hAnsi="Arial"/>
          <w:sz w:val="15"/>
          <w:szCs w:val="15"/>
          <w:color w:val="auto"/>
        </w:rPr>
        <w:t>In order to qualify as a REIT, we are required to distribute dividends, other than capital gain dividends, to our</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stockholders in an amount at least equal to (a) the sum of (A) 90% of our REIT taxable income (computed without regard to the dividends paid deduction and our net capital gain) and (B) 90% of the net income, after tax, if any, from foreclosure property, minus (b) the sum of specific items of non-cash income. We must pay the distribution during the taxable year to which the distributions relate, or during the following taxable year, if declared before we timely file our tax return for the preceding year and paid on or before the first regular dividend payment after the declaration. In addition, a dividend declared and payable to a stockholder of record in October, November or December of any year may be treated as paid and received on December 31 of such year even if paid in January of the following year. To the extent that we do not distribute all of our net capital gain or distribute at least 90%, but less than 100%, of our REIT ordinary taxable income, we will be subject to tax on the undistributed amount at regular corporate capital gain and ordinary income rates, respectively. Furthermore, if we fail to distribute during each calendar year at least the sum of (a) 85% of our REIT ordinary income for such year, (b) 95% of our REIT capital gain income for such year and (c) any undistributed taxable income from prior periods, we will be subject to a 4% excise tax on the excess of such amounts over the amounts actually distributed.</w:t>
      </w:r>
    </w:p>
    <w:p>
      <w:pPr>
        <w:spacing w:after="0" w:line="163"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intend to make timely distributions sufficient to satisfy the annual distribution requirements. In this regard, it is expected that our REIT taxable income will be less than our cash flow due to the allowance of depreciation and other non-cash charges in computing REIT taxable income. Moreover, the partnership agreement of SL Green Operating Partnership authorizes us, as general partner, to take such steps as may be necessary to cause SL Green Operating Partnership to make distributions to its partners in amounts sufficient to permit us to meet these distribution requirements. It is possible, however, that we may not have sufficient cash or other liquid assets to meet the 90% distribution requirement. In the event that such circumstances do occur, then in order to meet the 90% distribution requirement, we may cause SL Green Operating Partnership to arrange for short-term, or possibly long-term, borrowings to permit the payment of required distributions.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ind w:right="20" w:firstLine="351"/>
        <w:spacing w:after="0" w:line="290" w:lineRule="auto"/>
        <w:rPr>
          <w:sz w:val="20"/>
          <w:szCs w:val="20"/>
          <w:color w:val="auto"/>
        </w:rPr>
      </w:pPr>
      <w:r>
        <w:rPr>
          <w:rFonts w:ascii="Arial" w:cs="Arial" w:eastAsia="Arial" w:hAnsi="Arial"/>
          <w:sz w:val="16"/>
          <w:szCs w:val="16"/>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The decision to authorize and pay dividends on our common stock in the future, as well as the timing, amount and composition of any such dividends, is at the sole discretion of our board of directors.</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Under specific circumstances, we may rectify a failure to meet the distribution requirement for a year by paying deficiency dividends to stockholders in a later year that may be included in our deduction for dividends paid for the earlier year. Thus, we may be able to avoid being taxed on amounts distributed as deficiency dividends. However, we would be required to pay to the IRS interest based upon the amount of any deduction taken for deficiency dividends.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Failure to Qualify</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we fail to qualify for taxation as a REIT in any taxable year and certain relief provisions do not apply, we will be subject to tax, including any applicable alternative minimum tax, on our taxable income at regular corporate rates. Distributions to stockholders in any year in which we fail to qualify as a REIT will not be deductible by us, nor will we be required to make distributions. Unless entitled to relief under specific statutory provisions, we also will be disqualified from taxation as a REIT for the four taxable years following the year during which qualification was lost. It is not possible to state whether in all circumstances we would be entitled to such statutory relief.</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Effective beginning with our 2005 taxable year, we would not lose our REIT status as the result of a failure to satisfy certain REIT requirements, such as requirements involving our organizational structure, if the failure was due to reasonable cause and not due to willful neglect and we were to pay a tax of $50,000. It is not possible, however, to state whether in all cases we would be entitled to this statutory relief.</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Effect of Tax Status of SL Green Operating Partnership and Other Entities on REIT Qualification</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All of our significant investments are held through SL Green Operating Partnership. SL Green Operating Partnership may hold interests in properties through property-owning entities. SL Green Operating Partnership and the property-owning entities involve special tax considerations. These tax considerations include:</w:t>
      </w:r>
    </w:p>
    <w:p>
      <w:pPr>
        <w:spacing w:after="0" w:line="153" w:lineRule="exact"/>
        <w:rPr>
          <w:sz w:val="20"/>
          <w:szCs w:val="20"/>
          <w:color w:val="auto"/>
        </w:rPr>
      </w:pPr>
    </w:p>
    <w:p>
      <w:pPr>
        <w:ind w:left="1080" w:right="1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allocations of income and expense items of SL Green Operating Partnership and the property owning entities, which could affect the computation of our taxable income;</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status of SL Green Operating Partnership and the property-owning entities as partnerships or entities that are disregarded as entities separate from their owners, as opposed to associations taxable as corporations, for income tax purposes;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taking of actions by SL Green Operating Partnership or any of the property-owning entities that could adversely affect our qualification as a REIT.</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the opinion of Greenberg Traurig, LLP, based on the factual representations by us and SL Green Operating Partnership, as set forth in the first paragraph of this section, for federal income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jc w:val="both"/>
        <w:ind w:right="100"/>
        <w:spacing w:after="0" w:line="306" w:lineRule="auto"/>
        <w:rPr>
          <w:sz w:val="20"/>
          <w:szCs w:val="20"/>
          <w:color w:val="auto"/>
        </w:rPr>
      </w:pPr>
      <w:r>
        <w:rPr>
          <w:rFonts w:ascii="Arial" w:cs="Arial" w:eastAsia="Arial" w:hAnsi="Arial"/>
          <w:sz w:val="16"/>
          <w:szCs w:val="16"/>
          <w:color w:val="auto"/>
        </w:rPr>
        <w:t>tax purposes SL Green Operating Partnership will be treated as a partnership and none of the property-owning entities (other than a Taxable REIT Subsidiary or an entity that is a REIT) will be treated as an association taxable as a corporation. If, however, SL Green Operating Partnership or any of such other entities were treated as an association taxable as a corporation, we would fail to qualify as a REIT for a number of reasons.</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partnership agreement requires that SL Green Operating Partnership be operated in a manner that will enable us to satisfy the requirements for classification as a REIT. In this regard, we will control the operation of SL Green Operating Partnership through our rights as the sole general partner of SL Green Operating Partnership.</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Allocations with respect to the Properties</w:t>
      </w:r>
    </w:p>
    <w:p>
      <w:pPr>
        <w:spacing w:after="0" w:line="225"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When property is contributed to a partnership in exchange for an interest in the partnership, the partnership generally takes a carryover basis in that property for tax purposes. Therefore, the partnership's basis is equal to the adjusted basis of the contributing partner in the property, rather than a basis equal to the fair market value of the property at the time of contribution. Pursuant to Section 704(c) of the Code, income, gain, loss and deductions attributable to such contributed property must be allocated in a manner such that the contributing partner is charged with, or benefits from, respectively, the unrealized gain or unrealized loss associated with the property at the time of the contribution. The amount of unrealized gain or unrealized loss is generally equal to the difference between the fair market value of the contributed property at the time of contribution and the adjusted tax basis of such property at the time of contribution, which we refer to as a "Book-Tax Difference." Such allocations are solely for federal income tax purposes and do not affect the book capital accounts or other economic or legal arrangements among the partners. SL Green Operating Partnership has acquired properties in connection with its formation and subsequent thereto by way of contributions of appreciated property to SL Green Operating Partnership in the transactions leading to its formation. Consequently, the partnership agreement requires these allocations to be made in a manner consistent with Section 704(c) of the Code and the Treasury regulations thereunder, which we refer to as the "Section 704(c) Regulations." The Section 704(c) Regulations require partnerships to use a "reasonable method" for allocation of items affected by Section 704(c) of the Code and they outline three methods which may be considered reasonable for these purposes. SL Green Operating Partnership generally uses the "traditional method" of Section 704(c) allocations, which is the least favorable method from our perspective because of technical limitations. Under the traditional method, depreciation with respect to a contributed property for which there is a Book-Tax Difference first will be allocated to us and other partners that did not have an interest in the property until they have been allocated an amount of depreciation equal to what they would have been allocated if SL Green Operating Partnership had purchased such property for its fair market value at the time of contribution. In addition, if this property is sold, gain equal to the Book-Tax Difference at the time of sale will be specially allocated to the contributor of the property. These allocations tend to eliminate the Book-Tax Differences with respect to the contributed properties over the depreciable lives of the contributed property. However, they may not always entirely eliminate the Book-Tax Difference on an annual basis or with respect to a specific taxable transaction such as a sale. This could cause us (a) to be allocated lower depreciation deductions for tax purposes than would be allocated to us if all properties were to have a tax basis equal to their fair market value at the time of contribution and (b) to be allocated lower amounts of taxable loss in the event of a sale of interests in such contributed properties at a book loss, than the economic or book loss allocated to us as a result of such sale, with a corresponding benefit to the other partners in SL Green Operating Partnership. These allocations might adversely affect our ability to comply with REIT distribution requirements, although we do not anticipate that this will occur. These allocations may also affect our earnings and profits for purposes of determining the portion of distributions taxable as dividend income. The application of these rules over time may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ind w:right="440"/>
        <w:spacing w:after="0" w:line="268" w:lineRule="auto"/>
        <w:rPr>
          <w:sz w:val="20"/>
          <w:szCs w:val="20"/>
          <w:color w:val="auto"/>
        </w:rPr>
      </w:pPr>
      <w:r>
        <w:rPr>
          <w:rFonts w:ascii="Arial" w:cs="Arial" w:eastAsia="Arial" w:hAnsi="Arial"/>
          <w:sz w:val="18"/>
          <w:szCs w:val="18"/>
          <w:color w:val="auto"/>
        </w:rPr>
        <w:t>result in a higher portion of distributions being taxed as dividends than would have occurred had we purchased our interests in the properties at their agreed values.</w:t>
      </w:r>
    </w:p>
    <w:p>
      <w:pPr>
        <w:spacing w:after="0" w:line="186"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Interests in properties purchased by SL Green Operating Partnership for cash will initially have a tax basis equal to their fair market values. Thus, Section 704(c) of the Code will not apply to such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discussion does not address all of the tax consequences that may be relevant to particular stockholders in light of their particular circumstances.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Stockholders should consult their own tax advisors for a complete description of the tax consequences of investing in our stock.</w:t>
      </w:r>
    </w:p>
    <w:p>
      <w:pPr>
        <w:spacing w:after="0" w:line="219"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As used herein, the term "U.S. Stockholder" means a stockholder who is a U.S. Person. A U.S. Person means any beneficial owner of our stock or notes, other than an entity or arrangement treated as a partnership for U.S. federal income tax purposes, that is, for U.S. federal income tax purposes (i) a citizen or resident of the United States, (ii) a corporation (or other entity treated as a corporation for U.S. federal income tax purposes) created or organized in or under the laws of the United States, any state thereof or the District of Columbia, (iii) an estate the income of which is subject to U.S. federal income taxation regardless of its source, (iv) a trust if (A) a court within the United States is able to exercise primary supervision over the administration of the trust and (B) one or more U.S. persons have the authority to control all substantial decisions of the trust, or (v) an eligible trust that elects to be taxed as a U.S. person under applicable Treasury Regulations.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used herein, the term "Non-U.S. Stockholder" means a beneficial owner of our stock, other than an entity or arrangement treated as a partnership for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that is not a U.S. Stockholder.</w:t>
      </w:r>
    </w:p>
    <w:p>
      <w:pPr>
        <w:spacing w:after="0" w:line="219"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If a partnership (including for this purpose any entity or arrangement treated as a partnership for U.S. federal income tax purposes) is a beneficial owner of our common stock, the treatment of a partner in the partnership will generally depend upon the status of the partner, the activities of the partnership and certain determinations made at the partner level. A beneficial owner of our common stock that is a partnership and partners in such partnership should consult their tax advisors about the U.S. federal income tax consequences of owning and disposing of our common stock.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Stockholders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As long as we qualify as a REIT, distributions made to our taxable U.S. Stockholders out of current or accumulated earnings and profits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not designated as capital gain dividends will be taken into account by them as ordinary income. Corporate stockholders will not be eligible for the dividends received deduction as to such amounts. Earnings and profits are allocated to distributions with respect to preferred stock before they are allocated to distributions with respect to common stock. Distributions that are designated as capital gain dividends will be taxed as capital gains to the extent they do not exceed our actual net capital gain for the taxable year without regard to the period for which the stockholder has held our stock. If we elect to retain and pay income tax on any net capital gain, a U.S. Stockholder would include in its income as capital gain its proportionate share of such net capital gain. A U.S. Stockholder would also receive the right to claim a refundable tax credit for such stockholder's proportionate share of the tax paid by us on such retained capital gains and an increase in its basis in our stock. This increase in basis will be in an amount equal to the excess of the undistributed capital gains over the amount of tax paid thereon by us. Distributions in excess of current and accumulated earnings and profits will not be taxable to a U.S. Stockholder to the extent that they do not exceed the adjusted basis of the stock, but rather will reduce the adjusted basis of such U.S. Stockholder's stock. To the extent that such distributions exceed a U.S. Stockholder's adjusted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basis in the stock, such distributions will be included in income as capital gain, assuming the stock is a capital asset in the hands of the stockholder.</w:t>
      </w:r>
    </w:p>
    <w:p>
      <w:pPr>
        <w:spacing w:after="0" w:line="248"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Any dividend declared by us in October, November or December of any year payable to a stockholder of record on a specific date in any such month shall be treated as both paid by us and received by the stockholder on December 31 of such year, provided the dividend is actually paid by us during January of the following calendar year.</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If we pay such a dividend, taxable U.S. Stockholders would generally be required to report the full amount of the dividend, including fair market value of any stock distributed, as ordinary income. The decision to authorize and pay dividends on our common stock in the future, as well as the timing, amount and composition of any such dividends, is at the sole discretion of our board of directors.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Sale or Exchange. </w:t>
      </w:r>
      <w:r>
        <w:rPr>
          <w:rFonts w:ascii="Arial" w:cs="Arial" w:eastAsia="Arial" w:hAnsi="Arial"/>
          <w:sz w:val="16"/>
          <w:szCs w:val="16"/>
          <w:color w:val="auto"/>
        </w:rPr>
        <w:t>In general, a taxable U.S. Stockholder recognizes capital gain or loss on the sale or exchange of our stock equal to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 the amount of cash and the fair market value of any property received on such disposition, and (b) the stockholder's adjusted basis in the stock. To the extent a U.S. Stockholder who is an individual, a trust or an estate holds the stock for more than one year, any gain recognized would be subject to tax rates applicable to long-term capital gains. However, any loss recognized by a U.S. Stockholder from selling or otherwise disposing of our stock held for six months or less will be treated as long-term capital loss to the extent of dividends received by the stockholder that were required to be treated as long-term capital gains.</w:t>
      </w:r>
    </w:p>
    <w:p>
      <w:pPr>
        <w:spacing w:after="0" w:line="170"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For taxable years beginning on or after January 1, 2013, the highest tax rate on capital gains of non-corporate U.S. Stockholders and qualifying</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to U.S. Stockholders is 20% and the highest marginal tax rate on ordinary income of individuals that are U.S. Stockholders is 39.6%.</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Certain U.S. Stockholders who are individuals, estates or trusts are required to pay a 3.8% Medicare tax on, among other things, dividends on and capital gains from the sale or other disposition of our stock, subject to certain exceptions. U.S. Stockholders should consult their tax advisors regarding the effect, if any, of this tax on their ownership and disposition of our stock.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be required to withhold a portion of capital gain distributions made to any stockholders who fail to certify their U.S. status to us.</w:t>
      </w:r>
    </w:p>
    <w:p>
      <w:pPr>
        <w:spacing w:after="0" w:line="225" w:lineRule="exact"/>
        <w:rPr>
          <w:sz w:val="20"/>
          <w:szCs w:val="20"/>
          <w:color w:val="auto"/>
        </w:rPr>
      </w:pPr>
    </w:p>
    <w:p>
      <w:pPr>
        <w:jc w:val="both"/>
        <w:ind w:right="220" w:firstLine="351"/>
        <w:spacing w:after="0" w:line="284" w:lineRule="auto"/>
        <w:rPr>
          <w:sz w:val="20"/>
          <w:szCs w:val="20"/>
          <w:color w:val="auto"/>
        </w:rPr>
      </w:pPr>
      <w:r>
        <w:rPr>
          <w:rFonts w:ascii="Arial" w:cs="Arial" w:eastAsia="Arial" w:hAnsi="Arial"/>
          <w:sz w:val="16"/>
          <w:szCs w:val="16"/>
          <w:i w:val="1"/>
          <w:iCs w:val="1"/>
          <w:color w:val="auto"/>
        </w:rPr>
        <w:t xml:space="preserve">Backup Withholding. </w:t>
      </w:r>
      <w:r>
        <w:rPr>
          <w:rFonts w:ascii="Arial" w:cs="Arial" w:eastAsia="Arial" w:hAnsi="Arial"/>
          <w:sz w:val="16"/>
          <w:szCs w:val="16"/>
          <w:color w:val="auto"/>
        </w:rPr>
        <w:t>We will report to our U.S. Stockholders and the IRS the amount of dividends paid during each calendar year and the amount of tax</w:t>
      </w:r>
      <w:r>
        <w:rPr>
          <w:rFonts w:ascii="Arial" w:cs="Arial" w:eastAsia="Arial" w:hAnsi="Arial"/>
          <w:sz w:val="16"/>
          <w:szCs w:val="16"/>
          <w:i w:val="1"/>
          <w:iCs w:val="1"/>
          <w:color w:val="auto"/>
        </w:rPr>
        <w:t xml:space="preserve"> </w:t>
      </w:r>
      <w:r>
        <w:rPr>
          <w:rFonts w:ascii="Arial" w:cs="Arial" w:eastAsia="Arial" w:hAnsi="Arial"/>
          <w:sz w:val="16"/>
          <w:szCs w:val="16"/>
          <w:color w:val="auto"/>
        </w:rPr>
        <w:t>withheld, if any, with respect thereto. Under the backup withholding rules, a stockholder may be subject to backup withholding currently at a rate of 28% with respect to dividends paid unless the stockholder (a) is a corporation or comes within other exempt categories and, when required, demonstrates this fact, or</w:t>
      </w:r>
    </w:p>
    <w:p>
      <w:pPr>
        <w:spacing w:after="0" w:line="1" w:lineRule="exact"/>
        <w:rPr>
          <w:sz w:val="20"/>
          <w:szCs w:val="20"/>
          <w:color w:val="auto"/>
        </w:rPr>
      </w:pPr>
    </w:p>
    <w:p>
      <w:pPr>
        <w:ind w:right="60" w:firstLine="8"/>
        <w:spacing w:after="0" w:line="261" w:lineRule="auto"/>
        <w:tabs>
          <w:tab w:leader="none" w:pos="2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provides a taxpayer identification number and certifies with respect to certain matters, and otherwise complies with the applicable requirements of the backup withholding rules.</w:t>
      </w:r>
    </w:p>
    <w:p>
      <w:pPr>
        <w:spacing w:after="0" w:line="192"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 individual who is a U.S. Stockholder may satisfy the requirements for avoiding backup withholding by providing us with an appropriately prepared IRS Form W-9. If a U.S. Stockholder does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not provide us with its correct taxpayer identification number, then the U.S. Stockholder may also be subject to penalties imposed by the IRS.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will be refunded or credited against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Stockholder's federal income tax liability, provided the U.S. Stockholder timely furnishes the required information to the IRS.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Tax-Exempt Stockholders</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IRS has ruled that amounts distributed as dividends by a REIT generally do not constitute unrelated business taxable income, or UBTI, when received by a U.S. tax-exempt entity. Based on that ruling, the dividend income from our stock will not be UBTI to a U.S. tax-exempt stockholder, provided that the U.S. tax-exempt stockholder has not held stock as debt financed property within the meaning of the Code and such stock is not otherwise used in a trade or business unrelated to the U.S. tax-exempt stockholder's exempt purpose. Similarly, income from the sale of the stock will not constitute UBTI unless such tax-exempt stockholder has held such stock as debt financed property within the meaning of the Code or has used the stock in a trade or business.</w:t>
      </w:r>
    </w:p>
    <w:p>
      <w:pPr>
        <w:spacing w:after="0" w:line="17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Notwithstanding the above paragraph, if we are a pension-held REIT, then any qualified pension trust that holds more than 10% of our stock will have to treat dividends as UBTI in the same proportion that our gross income would be UBTI. A qualified pension trust is any trust described in Section 401(a) of the Code that is exempt from tax under Section 501(a) of the Code. In general, we will be treated as a pension-held REIT if both (a) we are predominantly owned by qualified pension trusts (i.e., if one such trust holds more than 25% of the value of our stock or one or more such trusts, each holding more than 10% of the value of our stock, collectively hold more than 50% of the value of our stock) and (b) we would not be a REIT if we had to treat our stock held by qualified pension trust as owned by the qualified pension trust (instead of treating such stock as owned by the qualified pension trust's multiple beneficiaries). Although we do not anticipate being classified as a pension-held REIT, we cannot assume that this will always be the case.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you are a tax-exempt stockholder described in Section 512(a)(3) of the Code, then distributions received from us may also constitute UBTI.</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are described in Section 512(a)(3) of the Code if you qualify for exemption under Sections 501(c)(7), (9), (17), or (20) of the Code.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Non-U.S. Stockholders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rules governing the U.S. federal income taxation of a Non-U.S. Stockholder are complex and no attempt will be made herein to provide more than a summary of such rules. Non-U.S. Stockholders should consult with their own tax advisors to determine the impact of U.S. federal, state and local income tax laws with regard to an investment in our stock, including any reporting requirements.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Ordinary Dividends. </w:t>
      </w:r>
      <w:r>
        <w:rPr>
          <w:rFonts w:ascii="Arial" w:cs="Arial" w:eastAsia="Arial" w:hAnsi="Arial"/>
          <w:sz w:val="16"/>
          <w:szCs w:val="16"/>
          <w:color w:val="auto"/>
        </w:rPr>
        <w:t>Distributions, other than distributions that are treated as attributable to gain from sales or exchanges by us of U.S.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and other than distributions designated by us as capital gain dividends, will be treated as ordinary income to the extent that they are made out of our current or accumulated earnings and profits. Such distributions to Non-U.S. Stockholders will ordinarily be subject to a withholding of U.S. federal income tax equal to 30% of the gross amount of the distribution, unless an applicable tax treaty reduces that tax rate. However, if income from the investment in the shares of our stock is treated as effectively connected with the Non-U.S. Stockholder's conduct of a U.S. trade or business, the Non-U.S. Stockholder generally will be subject to a tax at graduated rates in the same manner as U.S. stockholders are taxed with respect to such dividends and may also be subject to the 30% branch profits tax if the stockholder is a foreign corporation.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ind w:firstLine="351"/>
        <w:spacing w:after="0" w:line="288" w:lineRule="auto"/>
        <w:rPr>
          <w:sz w:val="20"/>
          <w:szCs w:val="20"/>
          <w:color w:val="auto"/>
        </w:rPr>
      </w:pPr>
      <w:r>
        <w:rPr>
          <w:rFonts w:ascii="Arial" w:cs="Arial" w:eastAsia="Arial" w:hAnsi="Arial"/>
          <w:sz w:val="16"/>
          <w:szCs w:val="16"/>
          <w:color w:val="auto"/>
        </w:rPr>
        <w:t>IRS revenue procedures allowed us to satisfy the REIT distribution requirements with respect to years 2008 through 2011 by making distributions partly in cash and partly in shares of our common stock, so long as we followed certain procedures. We did not utilize this procedure for those years, and the IRS has not renewed the procedure for later years. However, we obtained a favorable ruling from the IRS pursuant to which we may pay distributions partly in cash and partly in shares of our common stock with respect to 2014, 2015 and 2016, so long as we follow procedures set forth in the ruling. We paid all 2014 dividends and all 2015 dividends to date entirely in the form of cash. However, we may pay a portion of remaining 2015 dividends and 2016 dividends on our common stock with shares of our common stock. If we were to pay such a dividend, we generally would be required to withhold U.S. federal income tax with respect to such dividends paid to Non-U.S. Stockholders, including in respect of all or a portion of such dividend that is payable in stock. The decision to authorize and pay dividends on our common stock in the future, as well as the timing, amount and composition of any such dividends, is at the sole discretion of our board of directors.</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Dividends paid to an address in a country outside the United States are not presumed to be paid to a resident of such country for purposes of determining the applicability of withholding discussed above and the applicability of a tax treaty rate. A Non-U.S. Stockholder who wishes to claim the benefit of an applicable treaty rate generally will need to satisfy certification and other requirements, such as providing an IRS Form W-8BEN or W-8BEN-E, as applicable. A Non-U.S. Stockholder who wishes to claim that distributions are effectively connected with a United States trade or business, generally will need to satisfy certification and other requirements in order to avoid withholding, such as providing IRS Form W-8ECI. Other requirements may apply to Non-U.S. Stockholders that hold their shares through a financial intermediary or foreign partnership.</w:t>
      </w:r>
    </w:p>
    <w:p>
      <w:pPr>
        <w:spacing w:after="0" w:line="17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i w:val="1"/>
          <w:iCs w:val="1"/>
          <w:color w:val="auto"/>
        </w:rPr>
        <w:t xml:space="preserve">Return of Capital. </w:t>
      </w:r>
      <w:r>
        <w:rPr>
          <w:rFonts w:ascii="Arial" w:cs="Arial" w:eastAsia="Arial" w:hAnsi="Arial"/>
          <w:sz w:val="16"/>
          <w:szCs w:val="16"/>
          <w:color w:val="auto"/>
        </w:rPr>
        <w:t>Distributions in excess of our current and accumulated earnings and profits, which are not treated as attributable to the gain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by us of a U.S. real property interest, will not be taxable to a Non-U.S. Stockholder to the extent that they do not exceed the adjusted basis of our stock, but rather will reduce the adjusted basis of such stock. To the extent that such distributions exceed the adjusted basis of the stock, they will give rise to tax liability if the Non-U.S. Stockholder otherwise would be subject to tax on any gain from the sale or disposition of its stock, as described below. If it cannot be determined at the time a distribution is made whether such distribution will be in excess of current and accumulated earnings and profits, the distribution will be subject to withholding of U.S. federal income tax at the rate applicable to dividends. However, the Non-U.S. Stockholder may seek a refund of such amounts from the IRS to the extent it is subsequently determined that such distribution was, in fact, in excess of our current and accumulated earnings and profits.</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Capital Gain Dividends. </w:t>
      </w:r>
      <w:r>
        <w:rPr>
          <w:rFonts w:ascii="Arial" w:cs="Arial" w:eastAsia="Arial" w:hAnsi="Arial"/>
          <w:sz w:val="16"/>
          <w:szCs w:val="16"/>
          <w:color w:val="auto"/>
        </w:rPr>
        <w:t>For any year in which we qualify as a REIT, distributions that are attributable to gain from sales or exchanges by us of U.S. real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interests will be taxed to a Non-U.S. Stockholder under the provisions of the Foreign Investment in Real Property Tax Act of 1980, as amended, or FIRPTA. Under FIRPTA, these distributions are taxed to a Non-U.S. Stockholder as if such gain were effectively connected with a U.S. business. Thus, Non-U.S. Stockholders will be taxed on such distributions at the same capital gain rates applicable to U.S. stockholders, subject to any applicable alternative minimum tax and special alternative minimum tax (in the case of nonresident alien individuals), without regard to whether such distributions are designated by us as capital gain dividends. Also, distributions subject to FIRPTA may be subject to a 30% branch profits tax in the hands of a corporate Non-U.S. Stockholder not entitled to treaty relief or exemption. We are required by applicable Treasury Regulations under FIRPTA to withhold 35% of any distribution that could be designated by us as a capital gain dividend. However, capital gain dividends paid to a Non-U.S. Stockholder with respect to a class of REIT stock that is regularly traded on an established securities market in the United States will be treated as ordinary dividends, and not as capital gain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ind w:right="480"/>
        <w:spacing w:after="0" w:line="268" w:lineRule="auto"/>
        <w:rPr>
          <w:sz w:val="20"/>
          <w:szCs w:val="20"/>
          <w:color w:val="auto"/>
        </w:rPr>
      </w:pPr>
      <w:r>
        <w:rPr>
          <w:rFonts w:ascii="Arial" w:cs="Arial" w:eastAsia="Arial" w:hAnsi="Arial"/>
          <w:sz w:val="18"/>
          <w:szCs w:val="18"/>
          <w:color w:val="auto"/>
        </w:rPr>
        <w:t>dividends subject to FIRPTA, if the Non-U.S. Stockholder owns no more than 5% of the class of stock at any time during the one-year period ending on the dividend payment date.</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Sale or Exchange of Stock. </w:t>
      </w:r>
      <w:r>
        <w:rPr>
          <w:rFonts w:ascii="Arial" w:cs="Arial" w:eastAsia="Arial" w:hAnsi="Arial"/>
          <w:sz w:val="16"/>
          <w:szCs w:val="16"/>
          <w:color w:val="auto"/>
        </w:rPr>
        <w:t>Gain recognized by a Non-U.S. Stockholder upon a sale or exchange of stock, including a redemption that is treated as a sale,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not be taxed under the provisions of FIRPTA if we are a domestically controlled qualified investment entity. A REIT is a "domestically controlled qualified investment entity" if at all times during a specified testing period less than 50% in value of its stock is held directly or indirectly by non-U.S. persons. However, gain not subject to FIRPTA will be taxable to a Non-U.S. Stockholder if (a) investment in the stock is treated as effectively connected with the Non-U.S. Stockholder's U.S. trade or business, in which case the Non-U.S. Stockholder will be subject to the same treatment as U.S. stockholders with respect to such gain, or (b) the Non-U.S. Stockholder is a nonresident alien individual who was present in the United States for 183 days or more during the taxable year (and certain other requirements are met), in which case the nonresident alien individual will be subject to a 30% tax on the individual's capital gains. A similar rule will apply to capital gain dividends not subject to FIRPTA.</w:t>
      </w:r>
    </w:p>
    <w:p>
      <w:pPr>
        <w:spacing w:after="0" w:line="172"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We will be a domestically controlled qualified investment entity if at all times during a specified testing period we are a REIT and less than 50% in value of our common stock is held, directly or indirectly, by non-U.S. persons. We believe that we currently are a domestically controlled qualified investment entity and, therefore, that the sale of our common stock would not be subject to taxation under FIRPTA. However, because our common stock is publicly traded, no assurance can be given that we are or will continue to be a domestically controlled qualified investment entity. If we were not a domestically controlled qualified investment entity, whether or not a Non-U.S. Stockholder's sale of stock would be subject to tax under FIRPTA would depend on whether or not the stock was regularly traded on an established securities market and on the size of the selling Non-U.S. Stockholder's interest in us. Currently, our stock is regularly traded on an established securities market. However, we cannot assure you that our stock will be so traded at the time you may wish to dispose of our stock. If the gain on the sale of the stock were to be subject to tax under FIRPTA, the Non-U.S. Stockholder would be subject to the same treatment as U.S. stockholders with respect to such gain, subject to any applicable alternative minimum tax and a special alternative minimum tax (in the case of nonresident alien individuals) and the purchaser of such stock may be required to withhold 10% of the gross purchase price.</w:t>
      </w:r>
    </w:p>
    <w:p>
      <w:pPr>
        <w:spacing w:after="0" w:line="17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Backup Withholding. </w:t>
      </w:r>
      <w:r>
        <w:rPr>
          <w:rFonts w:ascii="Arial" w:cs="Arial" w:eastAsia="Arial" w:hAnsi="Arial"/>
          <w:sz w:val="16"/>
          <w:szCs w:val="16"/>
          <w:color w:val="auto"/>
        </w:rPr>
        <w:t>Backup withholding tax will not apply to payments made by us or our agent on stock to a Non-U.S. Stockholder if an IRS Form W-8BEN or W-8BEN-E (or a suitable substitute form) is provided by such holder. Backup withholding is not an additional tax. Any amounts withheld under the backup withholding rules from a payment to a Non-U.S. Stockholder may be refunded or credited against the Non-U.S. Stockholder's federal income tax liability, provided the Non-U.S. Stockholder furnishes the required information timely to the IRS. For additional information on backup withholding See "—Taxation of Noteholders—Non-U.S. Noteholders—Backup Withholding and Information Reporting."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Shelter Reporting</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If a stockholder recognizes a loss with respect to the shares of (i) $2 million or more in a single taxable year or $4 million or more in a combination of taxable years, for a holder that is an individual, S corporation, trust, or a partnership with at least one noncorporate partner, or (ii) $10 million or more in a single taxable year or $20 million or more in a combination of taxable years, for a holder that is either a corporation or a partnership with only corporate partners, the stockholder may be required to file a disclosure statement with the Internal Revenue Service on Form 8886. Direct stockholders of portfolio securities are in many cases exempt from this reporting requirement, but stockholders of a REIT currently are not excepted. The fact that a loss is reportable under these regulations does not affect the legal determination of whether the taxpayer's treatment of the loss 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proper. Stockholders should consult their tax advisors to determine the applicability of these regulations in light of their individual circumstances.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Noteholders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This section describes the material United States federal income tax consequences of owning fixed rate notes that SL Green Operating Partnership or Reckson Operating Partnership may offer. It is not tax advice. It applies to you only if you purchase the notes in the initial offering at the offering price. If you purchase fixed rate notes at other than the offering price, the amortizable bond premium or market discount rules may apply to you. You should consult your own tax advisor regarding this possibility. The tax consequences of owning any floating rate debt securities, convertible or exchangeable debt securities or indexed debt securities will be discussed in the applicable prospectus supplement.</w:t>
      </w:r>
    </w:p>
    <w:p>
      <w:pPr>
        <w:spacing w:after="0" w:line="17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used herein, the term "U.S. Noteholder" means any beneficial owner of a note that is, for U.S. federal income tax purposes, a U.S. Person. See "— Taxation of Stockholders" above. As used herein, the term "Non-U.S. Noteholder" means a beneficial owner of a note, other than an entity or arrangement treated as a partnership for U.S. federal income tax purposes, that is not a U.S. Noteholder.</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a partnership (including for this purpose any entity treated as a partnership for U.S. federal income tax purposes) is a beneficial owner of notes, the treatment of a partner in the partnership will generally depend upon the status of the partner and upon the activities of the partnership. A partner of a partnership holding a note should consult its tax advisor regarding U.S. federal, state, local and non-U.S. income tax considerations of the purchase, ownership and disposition of the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Noteholders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Stated Interest. </w:t>
      </w:r>
      <w:r>
        <w:rPr>
          <w:rFonts w:ascii="Arial" w:cs="Arial" w:eastAsia="Arial" w:hAnsi="Arial"/>
          <w:sz w:val="18"/>
          <w:szCs w:val="18"/>
          <w:color w:val="auto"/>
        </w:rPr>
        <w:t>The stated interest on a note generally will be taxable to a U.S. Noteholder as ordinary interest income either at the time it accrues or is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depending on such U.S. Noteholder's method of accounting for federal income tax purposes.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Original Issue Discount. </w:t>
      </w:r>
      <w:r>
        <w:rPr>
          <w:rFonts w:ascii="Arial" w:cs="Arial" w:eastAsia="Arial" w:hAnsi="Arial"/>
          <w:sz w:val="16"/>
          <w:szCs w:val="16"/>
          <w:color w:val="auto"/>
        </w:rPr>
        <w:t>It is possible that notes will be issued with original issue discount, or OID, for U.S. federal income tax purposes.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OID on a note will generally equal the excess of the "stated redemption price at maturity" of a note over its "issue price." A note will not be treated as issued with OID for U.S. federal income tax purposes, however, if the stated redemption price at maturity exceeds the issue price by less than .25% of the stated redemption price at maturity multiplied by the number of complete years to maturity. The stated redemption price at maturity of a note will equal the sum of its principal amount and all other payments thereunder, other than payments of "qualified stated interest," defined generally as stated interest that is unconditionally payable in cash or other property, other than our debt instruments, at least annually at a single fixed rate. The "issue price" of a note will equal the first price at which a substantial amount of notes are sold for money, excluding sales to underwriters, placement agents or wholesalers. The stated interest on the notes will constitute qualified stated interest.</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notes are issued with OID, a U.S. Noteholder will be required to include in taxable income for any particular taxable year the daily portion of the OID described in the preceding paragraph that accrues on the note for each day during the taxable year on which such holder holds the note, whether reporting on the cash or accrual basis of accounting for U.S. federal income tax purposes. Thus, a U.S. Noteholder will be required to include OID in income in advance of the receipt of the cash to which such OID is attributable. The daily portion is determined by allocating to each day of an accrual period (generally, the period between interest payments or compounding dates) a pro rata portion of the OID allocable to such accrual period. The amount of OID that will accrue during an accrual period is the product of the "adjusted issue price" of the note at the beginning of the accrual period multiplied by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ind w:right="220"/>
        <w:spacing w:after="0" w:line="306" w:lineRule="auto"/>
        <w:rPr>
          <w:sz w:val="20"/>
          <w:szCs w:val="20"/>
          <w:color w:val="auto"/>
        </w:rPr>
      </w:pPr>
      <w:r>
        <w:rPr>
          <w:rFonts w:ascii="Arial" w:cs="Arial" w:eastAsia="Arial" w:hAnsi="Arial"/>
          <w:sz w:val="16"/>
          <w:szCs w:val="16"/>
          <w:color w:val="auto"/>
        </w:rPr>
        <w:t>the yield to maturity of the note less the amount of any qualified stated interest allocable to such accrual period. The "adjusted issue price" of a note at the beginning of an accrual period will equal its issue price, increased by the aggregate amount of OID that has accrued on the note in all prior accrual periods, and decreased by any payments made during all prior accrual periods on the notes other than qualified stated interest.</w:t>
      </w:r>
    </w:p>
    <w:p>
      <w:pPr>
        <w:spacing w:after="0" w:line="161"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 U.S. Noteholder may elect to treat all interest on a note as OID and calculate the amount includible in gross income under the constant yield method described above. The election is to be made for the taxable year in which a U.S. Noteholder acquires a note and may not be revoked without the consent of the IRS. U.S. Noteholders should consult with their tax advisors about this election.</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Sale, Exchange, Retirement or Other Disposition. </w:t>
      </w:r>
      <w:r>
        <w:rPr>
          <w:rFonts w:ascii="Arial" w:cs="Arial" w:eastAsia="Arial" w:hAnsi="Arial"/>
          <w:sz w:val="16"/>
          <w:szCs w:val="16"/>
          <w:color w:val="auto"/>
        </w:rPr>
        <w:t>A U.S. Noteholder generally will recognize capital gain or loss upon the sale, exchange, redemption,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of the notes in an amount equal to the difference, if any, between the amount realized on the disposition, other than any amount attributable to accrued but unpaid interest, and the U.S. Noteholder's adjusted tax basis in the notes. A U.S. Noteholder's adjusted tax basis in a note will generally be equal to the purchase price of such note, increased by any OID included in the U.S. Noteholder's income prior to the disposition of the note (if any) and decreased by any payments received on the note other than qualified stated interest. Any such gain or loss will be long-term if the notes have been held for more than one year. The claim of a deduction in respect of a capital loss, for U.S. federal income tax purposes, is subject to limitations.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Backup Withholding and Information Reporting. </w:t>
      </w:r>
      <w:r>
        <w:rPr>
          <w:rFonts w:ascii="Arial" w:cs="Arial" w:eastAsia="Arial" w:hAnsi="Arial"/>
          <w:sz w:val="16"/>
          <w:szCs w:val="16"/>
          <w:color w:val="auto"/>
        </w:rPr>
        <w:t>U.S. Noteholders may be subject to information reporting and backup withholding with respect to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paid during each calendar year and the amount of tax withheld, if any, with respect thereto. Under the backup withholding rules, a U.S. Noteholder may be subject to backup withholding currently at a rate of 28% with respect to interest paid unless the holder (a) is a corporation or comes within other exempt categories and, when required, demonstrates this fact, or (b) provides a taxpayer identification number and certifies as to no loss of exemption, and otherwise complies with the applicable requirements of the backup withholding rules. In addition, we may be required to withhold a portion of capital gain distributions made to any stockholders who fail to certify their non-foreign status to us.</w:t>
      </w:r>
    </w:p>
    <w:p>
      <w:pPr>
        <w:spacing w:after="0" w:line="174"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An individual who is a U.S. Noteholder may satisfy the requirements for avoiding backup withholding by providing us with an appropriately prepared IRS Form W-9. If a U.S. Noteholder does not provide us with its correct taxpayer identification number, then the U.S. Noteholder may also be subject to penalties imposed by the IRS.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Backup withholding tax is not an additional tax. Any amounts withheld under the backup withholding tax rules will be refunded or credited against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Noteholder's federal income tax liability, provided the U.S. Noteholder furnishes the required information to the IRS.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Non-U.S. Noteholders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Payments of interest (including OID, if any) on notes made to a Non-U.S. Noteholder generally will not be subject to U.S. federal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or withholding tax provided that (i) such holder (A) does not actually or constructively own 10% or more of the total combined voting power of all classes of our stock entitled to vote, (B) is not a controlled foreign corporation that is related to us through stock ownership for U.S. federal income tax purposes and (C) is not a bank receiving certain types of interest and (ii) the requirements described below under the heading "Backup Withholding and Information Reporting" are satisfied. If a Non-U.S. Noteholder does not satisfy the preceding requirements, payments of interest on the notes held by such holder will generally be subject to U.S. withholding tax at a 30% rate (or a lower applicable treaty rate).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Sale, Exchange, Retirement or Other Disposition. </w:t>
      </w:r>
      <w:r>
        <w:rPr>
          <w:rFonts w:ascii="Arial" w:cs="Arial" w:eastAsia="Arial" w:hAnsi="Arial"/>
          <w:sz w:val="18"/>
          <w:szCs w:val="18"/>
          <w:color w:val="auto"/>
        </w:rPr>
        <w:t>A Non-U.S. Noteholder generally will not be subject to U.S. federal income tax on gain recognized on a</w:t>
      </w:r>
      <w:r>
        <w:rPr>
          <w:rFonts w:ascii="Arial" w:cs="Arial" w:eastAsia="Arial" w:hAnsi="Arial"/>
          <w:sz w:val="18"/>
          <w:szCs w:val="18"/>
          <w:i w:val="1"/>
          <w:iCs w:val="1"/>
          <w:color w:val="auto"/>
        </w:rPr>
        <w:t xml:space="preserve"> </w:t>
      </w:r>
      <w:r>
        <w:rPr>
          <w:rFonts w:ascii="Arial" w:cs="Arial" w:eastAsia="Arial" w:hAnsi="Arial"/>
          <w:sz w:val="18"/>
          <w:szCs w:val="18"/>
          <w:color w:val="auto"/>
        </w:rPr>
        <w:t>sale, exchange, redemption or other disposition of a note.</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Backup Withholding and Information Reporting. </w:t>
      </w:r>
      <w:r>
        <w:rPr>
          <w:rFonts w:ascii="Arial" w:cs="Arial" w:eastAsia="Arial" w:hAnsi="Arial"/>
          <w:sz w:val="18"/>
          <w:szCs w:val="18"/>
          <w:color w:val="auto"/>
        </w:rPr>
        <w:t>Information reporting requirements and backup withholding generally will not apply to payments on a</w:t>
      </w:r>
      <w:r>
        <w:rPr>
          <w:rFonts w:ascii="Arial" w:cs="Arial" w:eastAsia="Arial" w:hAnsi="Arial"/>
          <w:sz w:val="18"/>
          <w:szCs w:val="18"/>
          <w:i w:val="1"/>
          <w:iCs w:val="1"/>
          <w:color w:val="auto"/>
        </w:rPr>
        <w:t xml:space="preserve"> </w:t>
      </w:r>
      <w:r>
        <w:rPr>
          <w:rFonts w:ascii="Arial" w:cs="Arial" w:eastAsia="Arial" w:hAnsi="Arial"/>
          <w:sz w:val="18"/>
          <w:szCs w:val="18"/>
          <w:color w:val="auto"/>
        </w:rPr>
        <w:t>note to a Non-U.S. Noteholder if IRS Form W-8BEN or W-8BEN-E, as applicable is duly provided by such holder, provided that the withholding agent does not have actual knowledge that the holder is a U.S. person.</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Information reporting requirements and backup withholding will not apply to any payment of the proceeds of the sale of a note effected outside the United States by a foreign office of a "broker" (as defined in applicable Treasury Regulations), unless such broker (i) is a United States person, (ii) derives 50% or more of its gross income for certain periods from the conduct of a trade or business in the United States, (iii) is a controlled foreign corporation within the meaning of the Code or (iv) is a U.S. branch of a foreign bank or a foreign insurance company. Payment of the proceeds of any such sale effected outside the United States by a foreign office of any broker that is described in (i), (ii) or (iii) of the preceding sentence will not be subject to backup withholding, but will be subject to the information reporting requirements unless such broker has documentary evidence in its records that the beneficial owner is a Non-U.S. Noteholder and certain other conditions are met, or the beneficial owner otherwise establishes an exemption.</w:t>
      </w:r>
    </w:p>
    <w:p>
      <w:pPr>
        <w:spacing w:after="0" w:line="172"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Payment of the proceeds of any such sale to or through the United States office of a broker is subject to information reporting and backup withholding requirements, unless the beneficial owner of the note provides IRS Form W-8BEN or W-8BEN-E, as applicable or otherwise establishes an exemption.</w:t>
      </w:r>
    </w:p>
    <w:p>
      <w:pPr>
        <w:spacing w:after="0" w:line="139"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Any amount withheld from a payment to a holder of a note under the backup withholding rules is allowable as a credit against such holder's U.S. federal income tax liability (which might entitle such holder to a refund), provided that such holder furnishes the required information to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31"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Foreign Account Tax Compliance Act, which is referred to herein as FATCA, was originally enacted in 2010. Based on recent Internal Revenue Service guidance, the FATCA rules currently impose a U.S. federal withholding tax of 30% on (i) interest, dividends, and certain other withholdable payments from U.S. sources made after June 30, 2014, and (ii) the gross proceeds from the disposition of any property of the type that can produce interest or dividends from U.S. sources occurring after December 31, 2018. FATCA withholding generally applies to the payments or proceeds paid to certain non-U.S. entities (including, in some circumstances, where such an entity is receiving payment as an intermediary) that fail to comply with certain certification and information reporting requirements. Prospective investors should consult their own tax advisors regarding the effect, if any, of the FATCA rules for them based on their particular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general, if an individual who is not a citizen or resident (as defined in the Code) of the United States owns (or is treated as owning) our stock at the date of death, such stock will be included in the individual's estate for U.S. federal estate tax purposes, unless an applicable estate tax treaty provides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and our stockholders may be subject to state and local tax in states and localities in which we and/or they do business or own property. Our tax treatment and the tax treatment of our stockholders in such jurisdictions may differ from the U.S. federal income tax treatment described above.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Selling stockholders include certain persons or entities that, directly or indirectly, have acquired or may from time to time acquire from us, shares of SL Green's common stock in various private transactions. Such selling stockholders may be parties to registration rights agreements with us, or we otherwise may have agreed or will agree to register their securities for resale. The initial purchasers of our securities, as well as their transferees, pledges, donees or successors, all of whom we refer to as "selling stockholders," may from time to time offer and sell the securities pursuant to this prospectus and any applicable prospectus supplement.</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applicable prospectus supplement will set forth the name of each of the selling stockholders and the number of shares of SL Green's common stock beneficially owned by such selling stockholders that are covered by such prospectus supplement. The applicable prospectus supplement will also disclose whether any of the selling stockholders has held any position or office with us, has been employed by us or otherwise has had a material relationship with us during the three years prior to the date of the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may sell the securities to one or more underwriters for public offering and sale by them, to investors directly or through agents or through a combination of any of these methods of sale. Any underwriter or agent involved in the offer and sale of the securities will be named in the applicable prospectus supplement.</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distribution of the securities may be effected from time to time in one or more transactions at a fixed price or prices, which may be changed, at market prices prevailing at the time of sale, at prices related to the prevailing market prices or at negotiated prices. We may engage in at-the-market offerings in an existing trading market in accordance with Rule 415(a)(4) of the Securities Act. We also may, from time to time, authorize underwriters acting as an agent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the dealers may receive compensation in the form of discounts, concessions or commissions from the underwriters and/or commissions from the purchasers for whom they may act as agent.</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underwriting compensation paid by us to underwriters or agents in connection with the offering of securities offered by means of this prospectus, and any discounts, concessions or commissions allowed by underwriters to participating dealers, will be set forth in the applicable prospectus supplement. Underwriters,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SL Green, SL Green Operating Partnership and/or Reckson Operating Partnership, as applicable, to indemnification against and contribution toward civil liabilities, including liabilities under the Securities Act.</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Unless we specify otherwise in the applicable prospectus supplement, any securities issued hereunder (other than SL Green's common stock and Series I Preferred Stock) will be new issues of securities with no established trading market. Any underwriters or agents to or through whom such securities are sold by us for public offering and sale may make a market in such securities, but such underwriters or agents will not be obligated to do so and may discontinue any market making at any time without notice. We cannot assure you as to the liquidity of the trading market for any such securities.</w:t>
      </w:r>
    </w:p>
    <w:p>
      <w:pPr>
        <w:spacing w:after="0" w:line="16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will be identified in the applicable prospectus supplement or a post-effective amendment.</w:t>
      </w:r>
    </w:p>
    <w:p>
      <w:pPr>
        <w:spacing w:after="0" w:line="19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connection with an offering of securities, the underwriters may engage in stabilizing and syndicate covering transactions. These transactions may include over-allotments or short sales of the securities, which involves sales of securities in excess of the principal amount of securities to be purchased by the underwriters in an offering, which creates a short position for the underwriters. Covering transactions involve purchases of the securities in the open market after the distribution has been completed in order to cover short positions. Stabilizing transactions consist of certain bids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7" w:name="page108"/>
    <w:bookmarkEnd w:id="107"/>
    <w:p>
      <w:pPr>
        <w:spacing w:after="0" w:line="255" w:lineRule="auto"/>
        <w:rPr>
          <w:sz w:val="20"/>
          <w:szCs w:val="20"/>
          <w:color w:val="auto"/>
        </w:rPr>
      </w:pPr>
      <w:r>
        <w:rPr>
          <w:rFonts w:ascii="Arial" w:cs="Arial" w:eastAsia="Arial" w:hAnsi="Arial"/>
          <w:sz w:val="18"/>
          <w:szCs w:val="18"/>
          <w:color w:val="auto"/>
        </w:rPr>
        <w:t>purchases of securities made for the purpose of preventing or retarding a decline in the market price of the securities while the offering is in progress. Any of these activities may have the effect of preventing or retarding a decline in the market price of the securities being offered. They may also cause the price of the securities being offered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underwriters, dealers and agents and their affiliates may be customers of, engage in transactions with and perform services for us in the ordinary course of business.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validity of the issuance of the securities of SL Green Operating Partnership and Reckson Operating Partnership offered hereby and certain matters related to SL Green will be passed upon by Skadden, Arps, Slate, Meagher &amp; Flom LLP, New York, New York. The validity of the issuance of the shares of capital stock of SL Green offered hereby and certain other legal matters relating to Maryland law will be passed upon by Ballard Spahr LLP, Baltimore, Maryland. Legal matters described under "Material United States Federal Income Tax Consequences" will be passed upon by Greenberg Traurig, LLP, New York, New York.</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consolidated financial statements of SL Green Realty Corp., appearing in SL Green Realty Corp.'s Annual Report (Form 10-K) for the year ended December 31, 2014 including schedules appearing therein, and the effectiveness of SL Green Realty Corp.'s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consolidated financial statements of SL Green Operating Partnership, L.P. appearing in SL Green Operating Partnership, L.P.'s Annual Report (Form 10-</w:t>
      </w:r>
    </w:p>
    <w:p>
      <w:pPr>
        <w:spacing w:after="0" w:line="50" w:lineRule="exact"/>
        <w:rPr>
          <w:sz w:val="20"/>
          <w:szCs w:val="20"/>
          <w:color w:val="auto"/>
        </w:rPr>
      </w:pPr>
    </w:p>
    <w:p>
      <w:pPr>
        <w:ind w:right="40" w:firstLine="8"/>
        <w:spacing w:after="0" w:line="290" w:lineRule="auto"/>
        <w:tabs>
          <w:tab w:leader="none" w:pos="229"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the year ended December 31, 2014 including schedules appearing therein, and the effectiveness of SL Green Operating Partnership, L.P.'s internal control over financial reporting as of December 31, 2014,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consolidated financial statements of Reckson Operating Partnership, L.P. appearing in Reckson Operating Partnership, L.P.'s Annual Report (Form 10-</w:t>
      </w:r>
    </w:p>
    <w:p>
      <w:pPr>
        <w:spacing w:after="0" w:line="38" w:lineRule="exact"/>
        <w:rPr>
          <w:sz w:val="20"/>
          <w:szCs w:val="20"/>
          <w:color w:val="auto"/>
        </w:rPr>
      </w:pPr>
    </w:p>
    <w:p>
      <w:pPr>
        <w:ind w:right="40" w:firstLine="8"/>
        <w:spacing w:after="0" w:line="253" w:lineRule="auto"/>
        <w:tabs>
          <w:tab w:leader="none" w:pos="2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year ended December 31, 2014 including the schedules appearing therein,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by reference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9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statement of revenues and certain expenses (Historical Summary) of 11 Madison Avenue Owner LLC appearing in SL Green Realty Corp.'s Form 8-K/A dated October 30, 2015, for the year ended December 31, 2014,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SL Green, SL Green Operating Partnership and Reckson Operating Partnership are subject to the informational requirements of the Exchange Act and, in accordance therewith, each files annual, quarterly and current reports, and other information with the SEC. In addition, SL Green files proxy statements with the SEC. You may read and copy any reports, statements or other information we file with the SEC at the SEC's Public Reference Room located at 100 F Street, N.E., Washington, D.C. 20549. Please call the SEC at 1-800-SEC-0330 for further information on the operation of the Public Reference Room. The SEC maintains an Internet website (http://www.sec.gov) that contains reports, proxy statements and information statements, and other information regarding issuers that file electronically with the SEC. Our SEC filings are also available on our Internet website (http://www.slgreen.com). The information contained on or connected to our website is not, and you must not consider the information to be, a part of this prospectus. SL Green's common stock and Series I Preferred Stock are listed on the NYSE and all such material filed by us with the NYSE also can be inspected at the offices of the NYSE, 20 Broad Street, New York, New York 10005.</w:t>
      </w:r>
    </w:p>
    <w:p>
      <w:pPr>
        <w:spacing w:after="0" w:line="162" w:lineRule="exact"/>
        <w:rPr>
          <w:sz w:val="20"/>
          <w:szCs w:val="20"/>
          <w:color w:val="auto"/>
        </w:rPr>
      </w:pPr>
    </w:p>
    <w:p>
      <w:pPr>
        <w:jc w:val="both"/>
        <w:ind w:right="100" w:firstLine="348"/>
        <w:spacing w:after="0" w:line="294" w:lineRule="auto"/>
        <w:rPr>
          <w:sz w:val="20"/>
          <w:szCs w:val="20"/>
          <w:color w:val="auto"/>
        </w:rPr>
      </w:pPr>
      <w:r>
        <w:rPr>
          <w:rFonts w:ascii="Arial" w:cs="Arial" w:eastAsia="Arial" w:hAnsi="Arial"/>
          <w:sz w:val="16"/>
          <w:szCs w:val="16"/>
          <w:color w:val="auto"/>
        </w:rPr>
        <w:t>We have filed with the SEC a registration statement on Form S-3, of which this prospectus is a part, under the Securities Act, with respect to the securities. This prospectus does not contain all of the information set forth in the registration statement, certain parts of which are omitted in accordance with the rules and regulations of the SEC. For further information concerning our company and the securities, reference is made to the registration statement. Statements contained in this prospectus as to the contents of any contract or other documents are not necessarily complete, and in each instance, reference is made to the copy of such contract or documents filed as exhibits to the registration statement, each such statement being qualified in all respects by such reference.</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except for any information superseded by information in this prospectus or any document that we file in the future with the SEC. This prospectus incorporates by reference the documents set forth below that we have previously filed with the SEC and all documents that we file with the SEC under Sections 13(a), 13(c), 14 or 15(d) of the Exchange Act (other than any portion of the respective filings that are furnished pursuant to Item 2.02 or Item 7.01 of a Current Report on Form 8-K (including exhibits related thereto) or other applicable SEC rules, rather than filed) after the date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color w:val="auto"/>
        </w:rPr>
        <w:t>this prospectus from their respective filing dates. These documents contain important information about us, our business and our finances.</w:t>
      </w:r>
    </w:p>
    <w:p>
      <w:pPr>
        <w:sectPr>
          <w:pgSz w:w="11900" w:h="16838" w:orient="portrait"/>
          <w:cols w:equalWidth="0" w:num="1">
            <w:col w:w="11420"/>
          </w:cols>
          <w:pgMar w:left="240" w:top="131" w:right="239" w:bottom="1440" w:gutter="0" w:footer="0" w:header="0"/>
        </w:sectPr>
      </w:pPr>
    </w:p>
    <w:p>
      <w:pPr>
        <w:spacing w:after="0" w:line="255"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7134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SL Green Realty Corp.'s Annual Report on Form 10-K (File No. 1-13199)</w:t>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SL Green Realty Corp.'s Quarterly Report on Form 10-Q (File No. 1-13199)</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9812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Year ended December 31, 2014</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Quarter ended March 31,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ended June 30, 2015</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Quarter ended September 30, 2015</w:t>
      </w:r>
    </w:p>
    <w:p>
      <w:pPr>
        <w:spacing w:after="0" w:line="200" w:lineRule="exact"/>
        <w:rPr>
          <w:sz w:val="20"/>
          <w:szCs w:val="20"/>
          <w:color w:val="auto"/>
        </w:rPr>
      </w:pPr>
    </w:p>
    <w:p>
      <w:pPr>
        <w:sectPr>
          <w:pgSz w:w="11900" w:h="16838" w:orient="portrait"/>
          <w:cols w:equalWidth="0" w:num="2">
            <w:col w:w="6520" w:space="640"/>
            <w:col w:w="4260"/>
          </w:cols>
          <w:pgMar w:left="240" w:top="131" w:right="239" w:bottom="1440" w:gutter="0" w:footer="0" w:header="0"/>
          <w:type w:val="continuous"/>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60" w:type="dxa"/>
            <w:vAlign w:val="bottom"/>
            <w:gridSpan w:val="2"/>
          </w:tcPr>
          <w:p>
            <w:pPr>
              <w:ind w:left="1360"/>
              <w:spacing w:after="0"/>
              <w:rPr>
                <w:sz w:val="20"/>
                <w:szCs w:val="20"/>
                <w:color w:val="auto"/>
              </w:rPr>
            </w:pPr>
            <w:r>
              <w:rPr>
                <w:rFonts w:ascii="Arial" w:cs="Arial" w:eastAsia="Arial" w:hAnsi="Arial"/>
                <w:sz w:val="14"/>
                <w:szCs w:val="14"/>
                <w:b w:val="1"/>
                <w:bCs w:val="1"/>
                <w:color w:val="auto"/>
              </w:rPr>
              <w:t>Filed</w:t>
            </w:r>
          </w:p>
        </w:tc>
      </w:tr>
      <w:tr>
        <w:trPr>
          <w:trHeight w:val="208"/>
        </w:trPr>
        <w:tc>
          <w:tcPr>
            <w:tcW w:w="7060" w:type="dxa"/>
            <w:vAlign w:val="bottom"/>
          </w:tcPr>
          <w:p>
            <w:pPr>
              <w:ind w:left="1140"/>
              <w:spacing w:after="0"/>
              <w:rPr>
                <w:sz w:val="20"/>
                <w:szCs w:val="20"/>
                <w:color w:val="auto"/>
              </w:rPr>
            </w:pPr>
            <w:r>
              <w:rPr>
                <w:rFonts w:ascii="Arial" w:cs="Arial" w:eastAsia="Arial" w:hAnsi="Arial"/>
                <w:sz w:val="18"/>
                <w:szCs w:val="18"/>
                <w:color w:val="auto"/>
              </w:rPr>
              <w:t>SL Green Realty Corp.'s Current Reports on Form 8-K (File No. 1-13199)</w:t>
            </w:r>
          </w:p>
        </w:tc>
        <w:tc>
          <w:tcPr>
            <w:tcW w:w="100" w:type="dxa"/>
            <w:vAlign w:val="bottom"/>
          </w:tcPr>
          <w:p>
            <w:pPr>
              <w:spacing w:after="0"/>
              <w:rPr>
                <w:sz w:val="18"/>
                <w:szCs w:val="18"/>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January 6, 2015</w:t>
            </w:r>
          </w:p>
        </w:tc>
        <w:tc>
          <w:tcPr>
            <w:tcW w:w="1140" w:type="dxa"/>
            <w:vAlign w:val="bottom"/>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January 8,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February 13,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March 20,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April 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April 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April 23,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June 5,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June 9,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June 22,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July 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July 23,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July 24,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August 5,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August 21, 2015</w:t>
            </w:r>
          </w:p>
        </w:tc>
      </w:tr>
      <w:tr>
        <w:trPr>
          <w:trHeight w:val="216"/>
        </w:trPr>
        <w:tc>
          <w:tcPr>
            <w:tcW w:w="7060" w:type="dxa"/>
            <w:vAlign w:val="bottom"/>
          </w:tcPr>
          <w:p>
            <w:pPr>
              <w:spacing w:after="0"/>
              <w:rPr>
                <w:sz w:val="18"/>
                <w:szCs w:val="18"/>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August 21, 2015 (as amended by Form 8-</w:t>
            </w:r>
          </w:p>
        </w:tc>
      </w:tr>
      <w:tr>
        <w:trPr>
          <w:trHeight w:val="222"/>
        </w:trPr>
        <w:tc>
          <w:tcPr>
            <w:tcW w:w="7060" w:type="dxa"/>
            <w:vAlign w:val="bottom"/>
          </w:tcPr>
          <w:p>
            <w:pPr>
              <w:spacing w:after="0"/>
              <w:rPr>
                <w:sz w:val="19"/>
                <w:szCs w:val="19"/>
                <w:color w:val="auto"/>
              </w:rPr>
            </w:pPr>
          </w:p>
        </w:tc>
        <w:tc>
          <w:tcPr>
            <w:tcW w:w="4360" w:type="dxa"/>
            <w:vAlign w:val="bottom"/>
            <w:gridSpan w:val="3"/>
          </w:tcPr>
          <w:p>
            <w:pPr>
              <w:ind w:left="100"/>
              <w:spacing w:after="0"/>
              <w:rPr>
                <w:sz w:val="20"/>
                <w:szCs w:val="20"/>
                <w:color w:val="auto"/>
              </w:rPr>
            </w:pPr>
            <w:r>
              <w:rPr>
                <w:rFonts w:ascii="Arial" w:cs="Arial" w:eastAsia="Arial" w:hAnsi="Arial"/>
                <w:sz w:val="18"/>
                <w:szCs w:val="18"/>
                <w:color w:val="auto"/>
              </w:rPr>
              <w:t>K/A on October 30, 2015)</w:t>
            </w:r>
          </w:p>
        </w:tc>
      </w:tr>
      <w:tr>
        <w:trPr>
          <w:trHeight w:val="455"/>
        </w:trPr>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2"/>
          </w:tcPr>
          <w:p>
            <w:pPr>
              <w:ind w:left="1360"/>
              <w:spacing w:after="0"/>
              <w:rPr>
                <w:sz w:val="20"/>
                <w:szCs w:val="20"/>
                <w:color w:val="auto"/>
              </w:rPr>
            </w:pPr>
            <w:r>
              <w:rPr>
                <w:rFonts w:ascii="Arial" w:cs="Arial" w:eastAsia="Arial" w:hAnsi="Arial"/>
                <w:sz w:val="14"/>
                <w:szCs w:val="14"/>
                <w:b w:val="1"/>
                <w:bCs w:val="1"/>
                <w:color w:val="auto"/>
              </w:rPr>
              <w:t>Filed</w:t>
            </w:r>
          </w:p>
        </w:tc>
      </w:tr>
      <w:tr>
        <w:trPr>
          <w:trHeight w:val="208"/>
        </w:trPr>
        <w:tc>
          <w:tcPr>
            <w:tcW w:w="7060" w:type="dxa"/>
            <w:vAlign w:val="bottom"/>
          </w:tcPr>
          <w:p>
            <w:pPr>
              <w:ind w:left="1140"/>
              <w:spacing w:after="0"/>
              <w:rPr>
                <w:sz w:val="20"/>
                <w:szCs w:val="20"/>
                <w:color w:val="auto"/>
              </w:rPr>
            </w:pPr>
            <w:r>
              <w:rPr>
                <w:rFonts w:ascii="Arial" w:cs="Arial" w:eastAsia="Arial" w:hAnsi="Arial"/>
                <w:sz w:val="18"/>
                <w:szCs w:val="18"/>
                <w:color w:val="auto"/>
                <w:w w:val="91"/>
              </w:rPr>
              <w:t>SL Green Realty Corp.'s Definitive Proxy Statement on Schedule 14A (File No. 1-</w:t>
            </w:r>
          </w:p>
        </w:tc>
        <w:tc>
          <w:tcPr>
            <w:tcW w:w="100" w:type="dxa"/>
            <w:vAlign w:val="bottom"/>
          </w:tcPr>
          <w:p>
            <w:pPr>
              <w:spacing w:after="0"/>
              <w:rPr>
                <w:sz w:val="18"/>
                <w:szCs w:val="18"/>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April 24, 2015</w:t>
            </w:r>
          </w:p>
        </w:tc>
        <w:tc>
          <w:tcPr>
            <w:tcW w:w="1140" w:type="dxa"/>
            <w:vAlign w:val="bottom"/>
          </w:tcPr>
          <w:p>
            <w:pPr>
              <w:spacing w:after="0"/>
              <w:rPr>
                <w:sz w:val="18"/>
                <w:szCs w:val="18"/>
                <w:color w:val="auto"/>
              </w:rPr>
            </w:pPr>
          </w:p>
        </w:tc>
      </w:tr>
      <w:tr>
        <w:trPr>
          <w:trHeight w:val="222"/>
        </w:trPr>
        <w:tc>
          <w:tcPr>
            <w:tcW w:w="7060" w:type="dxa"/>
            <w:vAlign w:val="bottom"/>
          </w:tcPr>
          <w:p>
            <w:pPr>
              <w:ind w:left="1300"/>
              <w:spacing w:after="0"/>
              <w:rPr>
                <w:sz w:val="20"/>
                <w:szCs w:val="20"/>
                <w:color w:val="auto"/>
              </w:rPr>
            </w:pPr>
            <w:r>
              <w:rPr>
                <w:rFonts w:ascii="Arial" w:cs="Arial" w:eastAsia="Arial" w:hAnsi="Arial"/>
                <w:sz w:val="18"/>
                <w:szCs w:val="18"/>
                <w:color w:val="auto"/>
              </w:rPr>
              <w:t>13199)</w:t>
            </w:r>
          </w:p>
        </w:tc>
        <w:tc>
          <w:tcPr>
            <w:tcW w:w="1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5"/>
        </w:trPr>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2"/>
          </w:tcPr>
          <w:p>
            <w:pPr>
              <w:ind w:left="1360"/>
              <w:spacing w:after="0"/>
              <w:rPr>
                <w:sz w:val="20"/>
                <w:szCs w:val="20"/>
                <w:color w:val="auto"/>
              </w:rPr>
            </w:pPr>
            <w:r>
              <w:rPr>
                <w:rFonts w:ascii="Arial" w:cs="Arial" w:eastAsia="Arial" w:hAnsi="Arial"/>
                <w:sz w:val="14"/>
                <w:szCs w:val="14"/>
                <w:b w:val="1"/>
                <w:bCs w:val="1"/>
                <w:color w:val="auto"/>
              </w:rPr>
              <w:t>Filed</w:t>
            </w:r>
          </w:p>
        </w:tc>
      </w:tr>
      <w:tr>
        <w:trPr>
          <w:trHeight w:val="208"/>
        </w:trPr>
        <w:tc>
          <w:tcPr>
            <w:tcW w:w="7060" w:type="dxa"/>
            <w:vAlign w:val="bottom"/>
          </w:tcPr>
          <w:p>
            <w:pPr>
              <w:ind w:left="1140"/>
              <w:spacing w:after="0"/>
              <w:rPr>
                <w:sz w:val="20"/>
                <w:szCs w:val="20"/>
                <w:color w:val="auto"/>
              </w:rPr>
            </w:pPr>
            <w:r>
              <w:rPr>
                <w:rFonts w:ascii="Arial" w:cs="Arial" w:eastAsia="Arial" w:hAnsi="Arial"/>
                <w:sz w:val="18"/>
                <w:szCs w:val="18"/>
                <w:color w:val="auto"/>
              </w:rPr>
              <w:t>Description of SL Green Realty Corp.'s common stock contained in our</w:t>
            </w:r>
          </w:p>
        </w:tc>
        <w:tc>
          <w:tcPr>
            <w:tcW w:w="100" w:type="dxa"/>
            <w:vAlign w:val="bottom"/>
          </w:tcPr>
          <w:p>
            <w:pPr>
              <w:spacing w:after="0"/>
              <w:rPr>
                <w:sz w:val="18"/>
                <w:szCs w:val="18"/>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July 21, 1997</w:t>
            </w:r>
          </w:p>
        </w:tc>
        <w:tc>
          <w:tcPr>
            <w:tcW w:w="1140" w:type="dxa"/>
            <w:vAlign w:val="bottom"/>
          </w:tcPr>
          <w:p>
            <w:pPr>
              <w:spacing w:after="0"/>
              <w:rPr>
                <w:sz w:val="18"/>
                <w:szCs w:val="18"/>
                <w:color w:val="auto"/>
              </w:rPr>
            </w:pPr>
          </w:p>
        </w:tc>
      </w:tr>
      <w:tr>
        <w:trPr>
          <w:trHeight w:val="222"/>
        </w:trPr>
        <w:tc>
          <w:tcPr>
            <w:tcW w:w="7060" w:type="dxa"/>
            <w:vAlign w:val="bottom"/>
          </w:tcPr>
          <w:p>
            <w:pPr>
              <w:ind w:left="1300"/>
              <w:spacing w:after="0"/>
              <w:rPr>
                <w:sz w:val="20"/>
                <w:szCs w:val="20"/>
                <w:color w:val="auto"/>
              </w:rPr>
            </w:pPr>
            <w:r>
              <w:rPr>
                <w:rFonts w:ascii="Arial" w:cs="Arial" w:eastAsia="Arial" w:hAnsi="Arial"/>
                <w:sz w:val="18"/>
                <w:szCs w:val="18"/>
                <w:color w:val="auto"/>
              </w:rPr>
              <w:t>Registration Statement on Form 8-A (File No. 1-13199)</w:t>
            </w:r>
          </w:p>
        </w:tc>
        <w:tc>
          <w:tcPr>
            <w:tcW w:w="1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7060" w:type="dxa"/>
            <w:vAlign w:val="bottom"/>
          </w:tcPr>
          <w:p>
            <w:pPr>
              <w:ind w:left="56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7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SL Green Operating Partnership, L.P.</w:t>
      </w:r>
    </w:p>
    <w:p>
      <w:pPr>
        <w:sectPr>
          <w:pgSz w:w="11900" w:h="16838" w:orient="portrait"/>
          <w:cols w:equalWidth="0" w:num="1">
            <w:col w:w="11180"/>
          </w:cols>
          <w:pgMar w:left="240" w:top="125" w:right="479" w:bottom="1440" w:gutter="0" w:footer="0" w:header="0"/>
        </w:sectPr>
      </w:pPr>
    </w:p>
    <w:p>
      <w:pPr>
        <w:spacing w:after="0" w:line="250" w:lineRule="exact"/>
        <w:rPr>
          <w:sz w:val="20"/>
          <w:szCs w:val="20"/>
          <w:color w:val="auto"/>
        </w:rPr>
      </w:pPr>
    </w:p>
    <w:p>
      <w:pPr>
        <w:jc w:val="center"/>
        <w:ind w:left="1200"/>
        <w:spacing w:after="0"/>
        <w:rPr>
          <w:sz w:val="20"/>
          <w:szCs w:val="20"/>
          <w:color w:val="auto"/>
        </w:rPr>
      </w:pPr>
      <w:r>
        <w:rPr>
          <w:rFonts w:ascii="Arial" w:cs="Arial" w:eastAsia="Arial" w:hAnsi="Arial"/>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353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ind w:left="1320" w:hanging="179"/>
        <w:spacing w:after="0" w:line="249" w:lineRule="auto"/>
        <w:rPr>
          <w:sz w:val="20"/>
          <w:szCs w:val="20"/>
          <w:color w:val="auto"/>
        </w:rPr>
      </w:pPr>
      <w:r>
        <w:rPr>
          <w:rFonts w:ascii="Arial" w:cs="Arial" w:eastAsia="Arial" w:hAnsi="Arial"/>
          <w:sz w:val="18"/>
          <w:szCs w:val="18"/>
          <w:color w:val="auto"/>
        </w:rPr>
        <w:t>SL Green Operating Partnership, L.P.'s Annual Report on Form 10-K (File No. 333-167793-02)</w:t>
      </w:r>
    </w:p>
    <w:p>
      <w:pPr>
        <w:spacing w:after="0" w:line="1" w:lineRule="exact"/>
        <w:rPr>
          <w:sz w:val="20"/>
          <w:szCs w:val="20"/>
          <w:color w:val="auto"/>
        </w:rPr>
      </w:pPr>
    </w:p>
    <w:p>
      <w:pPr>
        <w:ind w:left="1320" w:right="220" w:hanging="179"/>
        <w:spacing w:after="0" w:line="261" w:lineRule="auto"/>
        <w:rPr>
          <w:sz w:val="20"/>
          <w:szCs w:val="20"/>
          <w:color w:val="auto"/>
        </w:rPr>
      </w:pPr>
      <w:r>
        <w:rPr>
          <w:rFonts w:ascii="Arial" w:cs="Arial" w:eastAsia="Arial" w:hAnsi="Arial"/>
          <w:sz w:val="18"/>
          <w:szCs w:val="18"/>
          <w:color w:val="auto"/>
        </w:rPr>
        <w:t>SL Green Operating Partnership, L.P.'s Quarterly Report on Form 10-Q (File No. 333-167793-02)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right="300" w:hanging="143"/>
        <w:spacing w:after="0" w:line="268" w:lineRule="auto"/>
        <w:rPr>
          <w:sz w:val="20"/>
          <w:szCs w:val="20"/>
          <w:color w:val="auto"/>
        </w:rPr>
      </w:pPr>
      <w:r>
        <w:rPr>
          <w:rFonts w:ascii="Arial" w:cs="Arial" w:eastAsia="Arial" w:hAnsi="Arial"/>
          <w:sz w:val="18"/>
          <w:szCs w:val="18"/>
          <w:color w:val="auto"/>
        </w:rPr>
        <w:t>SL Green Operating Partnership, L.P.'s Current Reports on Forms 8-K (File No. 333-167793-02)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Reckson Operating Partnership, L.P.</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3412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Year ended December 31, 2014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Quarter ended March 31,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Quarter ended June 30,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ended September 30, 2015</w:t>
      </w:r>
    </w:p>
    <w:p>
      <w:pPr>
        <w:spacing w:after="0" w:line="282"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3412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January 6,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9,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21, 2015</w:t>
      </w:r>
    </w:p>
    <w:p>
      <w:pPr>
        <w:spacing w:after="0" w:line="9" w:lineRule="exact"/>
        <w:rPr>
          <w:sz w:val="20"/>
          <w:szCs w:val="20"/>
          <w:color w:val="auto"/>
        </w:rPr>
      </w:pPr>
    </w:p>
    <w:p>
      <w:pPr>
        <w:ind w:right="1140"/>
        <w:spacing w:after="0" w:line="261" w:lineRule="auto"/>
        <w:rPr>
          <w:sz w:val="20"/>
          <w:szCs w:val="20"/>
          <w:color w:val="auto"/>
        </w:rPr>
      </w:pPr>
      <w:r>
        <w:rPr>
          <w:rFonts w:ascii="Arial" w:cs="Arial" w:eastAsia="Arial" w:hAnsi="Arial"/>
          <w:sz w:val="18"/>
          <w:szCs w:val="18"/>
          <w:color w:val="auto"/>
        </w:rPr>
        <w:t>August 21, 2015 (as amended by Form 8-K/A on October 30, 2015)</w:t>
      </w:r>
    </w:p>
    <w:p>
      <w:pPr>
        <w:spacing w:after="0" w:line="592" w:lineRule="exact"/>
        <w:rPr>
          <w:sz w:val="20"/>
          <w:szCs w:val="20"/>
          <w:color w:val="auto"/>
        </w:rPr>
      </w:pPr>
    </w:p>
    <w:p>
      <w:pPr>
        <w:sectPr>
          <w:pgSz w:w="11900" w:h="16838" w:orient="portrait"/>
          <w:cols w:equalWidth="0" w:num="2">
            <w:col w:w="6380" w:space="220"/>
            <w:col w:w="4580"/>
          </w:cols>
          <w:pgMar w:left="240" w:top="125" w:right="479" w:bottom="1440" w:gutter="0" w:footer="0" w:header="0"/>
          <w:type w:val="continuous"/>
        </w:sectPr>
      </w:pP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Document</w:t>
            </w:r>
          </w:p>
        </w:tc>
        <w:tc>
          <w:tcPr>
            <w:tcW w:w="160" w:type="dxa"/>
            <w:vAlign w:val="bottom"/>
          </w:tcPr>
          <w:p>
            <w:pPr>
              <w:spacing w:after="0"/>
              <w:rPr>
                <w:sz w:val="14"/>
                <w:szCs w:val="14"/>
                <w:color w:val="auto"/>
              </w:rPr>
            </w:pPr>
          </w:p>
        </w:tc>
        <w:tc>
          <w:tcPr>
            <w:tcW w:w="38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Period</w:t>
            </w:r>
          </w:p>
        </w:tc>
      </w:tr>
      <w:tr>
        <w:trPr>
          <w:trHeight w:val="201"/>
        </w:trPr>
        <w:tc>
          <w:tcPr>
            <w:tcW w:w="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Reckson Operating Partnership, L.P.'s Annual Report on Form 10-K</w:t>
            </w:r>
          </w:p>
        </w:tc>
        <w:tc>
          <w:tcPr>
            <w:tcW w:w="16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Year ended December 31, 2014</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(File No. 033-84580)</w:t>
            </w:r>
          </w:p>
        </w:tc>
        <w:tc>
          <w:tcPr>
            <w:tcW w:w="16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w w:val="92"/>
              </w:rPr>
              <w:t>Reckson Operating Partnership, L.P.'s Quarterly Report on Form 10-Q</w:t>
            </w: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Quarter ended March 31, 2015</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(File No. 033-84580)</w:t>
            </w: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Quarter ended June 30, 2015</w:t>
            </w: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Quarter ended September 30, 2015</w:t>
            </w:r>
          </w:p>
        </w:tc>
      </w:tr>
      <w:tr>
        <w:trPr>
          <w:trHeight w:val="45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Filed</w:t>
            </w:r>
          </w:p>
        </w:tc>
      </w:tr>
      <w:tr>
        <w:trPr>
          <w:trHeight w:val="208"/>
        </w:trPr>
        <w:tc>
          <w:tcPr>
            <w:tcW w:w="5180" w:type="dxa"/>
            <w:vAlign w:val="bottom"/>
            <w:gridSpan w:val="2"/>
          </w:tcPr>
          <w:p>
            <w:pPr>
              <w:spacing w:after="0"/>
              <w:rPr>
                <w:sz w:val="20"/>
                <w:szCs w:val="20"/>
                <w:color w:val="auto"/>
              </w:rPr>
            </w:pPr>
            <w:r>
              <w:rPr>
                <w:rFonts w:ascii="Arial" w:cs="Arial" w:eastAsia="Arial" w:hAnsi="Arial"/>
                <w:sz w:val="18"/>
                <w:szCs w:val="18"/>
                <w:color w:val="auto"/>
                <w:w w:val="93"/>
              </w:rPr>
              <w:t>Reckson Operating Partnership, L.P.'s Current Reports on Forms 8-K</w:t>
            </w:r>
          </w:p>
        </w:tc>
        <w:tc>
          <w:tcPr>
            <w:tcW w:w="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January 6, 2015</w:t>
            </w: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(File No. 033-84580)</w:t>
            </w: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January 8,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April 1,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June 9,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July 2,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August 5, 2015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w w:val="97"/>
              </w:rPr>
              <w:t>August 21, 2015 (as amended by Form 8-K/A on</w:t>
            </w: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October 30, 2015)</w:t>
            </w:r>
          </w:p>
        </w:tc>
      </w:tr>
    </w:tbl>
    <w:p>
      <w:pPr>
        <w:spacing w:after="0" w:line="210"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At your request, either orally or in writing, we will provide you with a copy of any or all documents which are incorporated by reference. Such documents will be provided to you free of charge, but will not contain any exhibits, unless those exhibits are specifically incorporated by reference into those documents. Requests should be addressed to Andrew S. Levine, Esq., SL Green Realty Corp., 420 Lexington Avenue, New York, NY 10170, telephone number (212) 594-2700.</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160020</wp:posOffset>
            </wp:positionV>
            <wp:extent cx="2272665" cy="651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726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SL Green Operating Partnership,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Floating Rate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516890</wp:posOffset>
            </wp:positionV>
            <wp:extent cx="18954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5480" w:val="left"/>
          <w:tab w:leader="none" w:pos="9980" w:val="left"/>
        </w:tabs>
        <w:rPr>
          <w:sz w:val="20"/>
          <w:szCs w:val="20"/>
          <w:color w:val="auto"/>
        </w:rPr>
      </w:pPr>
      <w:r>
        <w:rPr>
          <w:rFonts w:ascii="Arial" w:cs="Arial" w:eastAsia="Arial" w:hAnsi="Arial"/>
          <w:sz w:val="24"/>
          <w:szCs w:val="24"/>
          <w:b w:val="1"/>
          <w:bCs w:val="1"/>
          <w:color w:val="auto"/>
        </w:rPr>
        <w:t>Deutsche Bank Securities</w:t>
      </w:r>
      <w:r>
        <w:rPr>
          <w:sz w:val="20"/>
          <w:szCs w:val="20"/>
          <w:color w:val="auto"/>
        </w:rPr>
        <w:tab/>
      </w:r>
      <w:r>
        <w:rPr>
          <w:rFonts w:ascii="Arial" w:cs="Arial" w:eastAsia="Arial" w:hAnsi="Arial"/>
          <w:sz w:val="24"/>
          <w:szCs w:val="24"/>
          <w:b w:val="1"/>
          <w:bCs w:val="1"/>
          <w:color w:val="auto"/>
        </w:rPr>
        <w:t>BMO Capital Markets</w:t>
      </w:r>
      <w:r>
        <w:rPr>
          <w:sz w:val="20"/>
          <w:szCs w:val="20"/>
          <w:color w:val="auto"/>
        </w:rPr>
        <w:tab/>
      </w:r>
      <w:r>
        <w:rPr>
          <w:rFonts w:ascii="Arial" w:cs="Arial" w:eastAsia="Arial" w:hAnsi="Arial"/>
          <w:sz w:val="22"/>
          <w:szCs w:val="22"/>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5"/>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lowerRoman"/>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Roman"/>
      <w:start w:val="1"/>
    </w:lvl>
  </w:abstractNum>
  <w:abstractNum w:abstractNumId="30">
    <w:nsid w:val="749ABB43"/>
    <w:multiLevelType w:val="hybridMultilevel"/>
    <w:lvl w:ilvl="0">
      <w:lvlJc w:val="left"/>
      <w:lvlText w:val="(%1)"/>
      <w:numFmt w:val="lowerRoman"/>
      <w:start w:val="2"/>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2"/>
    </w:lvl>
  </w:abstractNum>
  <w:abstractNum w:abstractNumId="34">
    <w:nsid w:val="75C6C33A"/>
    <w:multiLevelType w:val="hybridMultilevel"/>
    <w:lvl w:ilvl="0">
      <w:lvlJc w:val="left"/>
      <w:lvlText w:val="(%1)"/>
      <w:numFmt w:val="lowerRoman"/>
      <w:start w:val="1"/>
    </w:lvl>
  </w:abstractNum>
  <w:abstractNum w:abstractNumId="35">
    <w:nsid w:val="12E685FB"/>
    <w:multiLevelType w:val="hybridMultilevel"/>
    <w:lvl w:ilvl="0">
      <w:lvlJc w:val="left"/>
      <w:lvlText w:val="%1)"/>
      <w:numFmt w:val="upperLetter"/>
      <w:start w:val="1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3"/>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lowerRoman"/>
      <w:start w:val="10"/>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lowerRoman"/>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1)"/>
      <w:numFmt w:val="lowerLetter"/>
      <w:start w:val="2"/>
    </w:lvl>
  </w:abstractNum>
  <w:abstractNum w:abstractNumId="67">
    <w:nsid w:val="100F8FCA"/>
    <w:multiLevelType w:val="hybridMultilevel"/>
    <w:lvl w:ilvl="0">
      <w:lvlJc w:val="left"/>
      <w:lvlText w:val="%1)"/>
      <w:numFmt w:val="upperLetter"/>
      <w:start w:val="11"/>
    </w:lvl>
  </w:abstractNum>
  <w:abstractNum w:abstractNumId="68">
    <w:nsid w:val="6590700B"/>
    <w:multiLevelType w:val="hybridMultilevel"/>
    <w:lvl w:ilvl="0">
      <w:lvlJc w:val="left"/>
      <w:lvlText w:val="%1)"/>
      <w:numFmt w:val="upp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2019-12-06T10:57:22Z</dcterms:created>
  <dcterms:modified xsi:type="dcterms:W3CDTF">2019-12-06T10:57:22Z</dcterms:modified>
</cp:coreProperties>
</file>