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240"/>
          </w:cols>
          <w:pgMar w:left="240" w:top="685" w:right="419" w:bottom="148"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3420"/>
          </w:cols>
          <w:pgMar w:left="240" w:top="685" w:right="419" w:bottom="148" w:gutter="0" w:footer="0" w:header="0"/>
          <w:type w:val="continuous"/>
        </w:sectPr>
      </w:pPr>
    </w:p>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246" w:lineRule="exact"/>
        <w:rPr>
          <w:sz w:val="24"/>
          <w:szCs w:val="24"/>
          <w:color w:val="auto"/>
        </w:rPr>
      </w:pPr>
    </w:p>
    <w:p>
      <w:pPr>
        <w:ind w:left="260"/>
        <w:spacing w:after="0"/>
        <w:tabs>
          <w:tab w:leader="none" w:pos="62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ectPr>
          <w:pgSz w:w="11900" w:h="16838" w:orient="portrait"/>
          <w:cols w:equalWidth="0" w:num="1">
            <w:col w:w="11240"/>
          </w:cols>
          <w:pgMar w:left="240" w:top="685" w:right="419" w:bottom="148" w:gutter="0" w:footer="0" w:header="0"/>
          <w:type w:val="continuous"/>
        </w:sectPr>
      </w:pPr>
    </w:p>
    <w:p>
      <w:pPr>
        <w:spacing w:after="0" w:line="260" w:lineRule="exact"/>
        <w:rPr>
          <w:sz w:val="24"/>
          <w:szCs w:val="24"/>
          <w:color w:val="auto"/>
        </w:rPr>
      </w:pPr>
    </w:p>
    <w:p>
      <w:pPr>
        <w:jc w:val="cente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400" w:space="240"/>
            <w:col w:w="10600"/>
          </w:cols>
          <w:pgMar w:left="240" w:top="685" w:right="419" w:bottom="148" w:gutter="0" w:footer="0" w:header="0"/>
          <w:type w:val="continuous"/>
        </w:sectPr>
      </w:pPr>
    </w:p>
    <w:p>
      <w:pPr>
        <w:spacing w:after="0" w:line="75" w:lineRule="exact"/>
        <w:rPr>
          <w:sz w:val="24"/>
          <w:szCs w:val="24"/>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40"/>
        <w:spacing w:after="0" w:line="268"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00" w:right="580" w:hanging="392"/>
        <w:spacing w:after="0" w:line="332"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-3247390</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-2947035</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-2509520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-2209165</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-1909445</wp:posOffset>
            </wp:positionV>
            <wp:extent cx="6723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-734060</wp:posOffset>
            </wp:positionV>
            <wp:extent cx="6723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-434340</wp:posOffset>
            </wp:positionV>
            <wp:extent cx="6723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-133985</wp:posOffset>
            </wp:positionV>
            <wp:extent cx="6723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165735</wp:posOffset>
            </wp:positionV>
            <wp:extent cx="6723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240"/>
          </w:cols>
          <w:pgMar w:left="240" w:top="685" w:right="419" w:bottom="148"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15,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240" w:firstLine="345"/>
        <w:spacing w:after="0" w:line="259" w:lineRule="auto"/>
        <w:rPr>
          <w:sz w:val="20"/>
          <w:szCs w:val="20"/>
          <w:color w:val="auto"/>
        </w:rPr>
      </w:pPr>
      <w:r>
        <w:rPr>
          <w:rFonts w:ascii="Arial" w:cs="Arial" w:eastAsia="Arial" w:hAnsi="Arial"/>
          <w:sz w:val="18"/>
          <w:szCs w:val="18"/>
          <w:color w:val="auto"/>
        </w:rPr>
        <w:t>You are invited to attend the 2011 annual meeting of stockholders of SL Green Realty Corp., a Maryland corporation, which will be held on Wednesday, June 15, 2011, at 11:00 a.m., local time, at The Grand Hyatt New York, 109 East 42nd Street at Grand Central Terminal, New York, New York. At the annual meeting, stockholders will be asked to consider and vote upon the following proposals:</w:t>
      </w:r>
    </w:p>
    <w:p>
      <w:pPr>
        <w:spacing w:after="0" w:line="194"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 directors to serve on our Board of Directors for a three-year term and until their successors are duly elected and qualify;</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as disclosed in these materials;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whether an advisory vote on executive compensation should be held every one, two or three years;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2011.</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March 31, 2011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165735</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Stockholder Meeting to be Held on June 15, 2011.</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2010 Annual Report to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800" w:type="dxa"/>
            <w:vAlign w:val="bottom"/>
            <w:gridSpan w:val="31"/>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ANNUAL MEETING</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800" w:type="dxa"/>
            <w:vAlign w:val="bottom"/>
            <w:gridSpan w:val="31"/>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What is the Notice of Internet Availability of Proxy Materials that I received in the mail this year instead of a full set of</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proxy materials?</w:t>
              </w:r>
            </w:hyperlink>
          </w:p>
        </w:tc>
        <w:tc>
          <w:tcPr>
            <w:tcW w:w="7020" w:type="dxa"/>
            <w:vAlign w:val="bottom"/>
            <w:tcBorders>
              <w:top w:val="single" w:sz="8" w:color="0000EE"/>
            </w:tcBorders>
            <w:gridSpan w:val="25"/>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Who is entitled to vote at the annual meeting?</w:t>
              </w:r>
            </w:hyperlink>
          </w:p>
        </w:tc>
        <w:tc>
          <w:tcPr>
            <w:tcW w:w="5420" w:type="dxa"/>
            <w:vAlign w:val="bottom"/>
            <w:gridSpan w:val="1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1"/>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What is the purpose of the annual meeting?</w:t>
              </w:r>
            </w:hyperlink>
          </w:p>
        </w:tc>
        <w:tc>
          <w:tcPr>
            <w:tcW w:w="180" w:type="dxa"/>
            <w:vAlign w:val="bottom"/>
            <w:gridSpan w:val="2"/>
          </w:tcPr>
          <w:p>
            <w:pPr>
              <w:spacing w:after="0"/>
              <w:rPr>
                <w:sz w:val="24"/>
                <w:szCs w:val="24"/>
                <w:color w:val="auto"/>
              </w:rPr>
            </w:pPr>
          </w:p>
        </w:tc>
        <w:tc>
          <w:tcPr>
            <w:tcW w:w="5420" w:type="dxa"/>
            <w:vAlign w:val="bottom"/>
            <w:gridSpan w:val="1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constitutes a quorum?</w:t>
              </w:r>
            </w:hyperlink>
          </w:p>
        </w:tc>
        <w:tc>
          <w:tcPr>
            <w:tcW w:w="5600" w:type="dxa"/>
            <w:vAlign w:val="bottom"/>
            <w:gridSpan w:val="19"/>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vote is required to approve each proposal?</w:t>
              </w:r>
            </w:hyperlink>
          </w:p>
        </w:tc>
        <w:tc>
          <w:tcPr>
            <w:tcW w:w="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Can I change my vote after I submit my proxy card?</w:t>
              </w:r>
            </w:hyperlink>
          </w:p>
        </w:tc>
        <w:tc>
          <w:tcPr>
            <w:tcW w:w="3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spacing w:after="0"/>
              <w:rPr>
                <w:rFonts w:ascii="Arial" w:cs="Arial" w:eastAsia="Arial" w:hAnsi="Arial"/>
                <w:sz w:val="18"/>
                <w:szCs w:val="18"/>
                <w:color w:val="0000EE"/>
                <w:w w:val="84"/>
              </w:rPr>
            </w:pPr>
            <w:hyperlink w:anchor="page9">
              <w:r>
                <w:rPr>
                  <w:rFonts w:ascii="Arial" w:cs="Arial" w:eastAsia="Arial" w:hAnsi="Arial"/>
                  <w:sz w:val="18"/>
                  <w:szCs w:val="18"/>
                  <w:color w:val="0000EE"/>
                  <w:w w:val="84"/>
                </w:rPr>
                <w:t>How do I vote?</w:t>
              </w:r>
            </w:hyperlink>
          </w:p>
        </w:tc>
        <w:tc>
          <w:tcPr>
            <w:tcW w:w="2580" w:type="dxa"/>
            <w:vAlign w:val="bottom"/>
            <w:gridSpan w:val="12"/>
          </w:tcPr>
          <w:p>
            <w:pPr>
              <w:spacing w:after="0"/>
              <w:rPr>
                <w:sz w:val="24"/>
                <w:szCs w:val="24"/>
                <w:color w:val="auto"/>
              </w:rPr>
            </w:pPr>
          </w:p>
        </w:tc>
        <w:tc>
          <w:tcPr>
            <w:tcW w:w="4980" w:type="dxa"/>
            <w:vAlign w:val="bottom"/>
            <w:gridSpan w:val="15"/>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6"/>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How is my vote counted?</w:t>
              </w:r>
            </w:hyperlink>
          </w:p>
        </w:tc>
        <w:tc>
          <w:tcPr>
            <w:tcW w:w="6860" w:type="dxa"/>
            <w:vAlign w:val="bottom"/>
            <w:gridSpan w:val="24"/>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3"/>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How does the Board recommend that I vote on each of the proposals?</w:t>
              </w:r>
            </w:hyperlink>
          </w:p>
        </w:tc>
        <w:tc>
          <w:tcPr>
            <w:tcW w:w="3760" w:type="dxa"/>
            <w:vAlign w:val="bottom"/>
            <w:gridSpan w:val="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What other information should I review before voting?</w:t>
              </w:r>
            </w:hyperlink>
          </w:p>
        </w:tc>
        <w:tc>
          <w:tcPr>
            <w:tcW w:w="3760" w:type="dxa"/>
            <w:vAlign w:val="bottom"/>
            <w:gridSpan w:val="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Who is soliciting my proxy?</w:t>
              </w:r>
            </w:hyperlink>
          </w:p>
        </w:tc>
        <w:tc>
          <w:tcPr>
            <w:tcW w:w="480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How do I change how I receive proxy materials in the future?</w:t>
              </w:r>
            </w:hyperlink>
          </w:p>
        </w:tc>
        <w:tc>
          <w:tcPr>
            <w:tcW w:w="3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What should I do if I received more than one Notice of Internet Availability of Proxy Materials?</w:t>
              </w:r>
            </w:hyperlink>
          </w:p>
        </w:tc>
        <w:tc>
          <w:tcPr>
            <w:tcW w:w="3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gridSpan w:val="13"/>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1: ELECTION OF DIRECTORS</w:t>
              </w:r>
            </w:hyperlink>
          </w:p>
        </w:tc>
        <w:tc>
          <w:tcPr>
            <w:tcW w:w="5520" w:type="dxa"/>
            <w:vAlign w:val="bottom"/>
            <w:gridSpan w:val="18"/>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1"/>
          </w:tcPr>
          <w:p>
            <w:pPr>
              <w:spacing w:after="0"/>
              <w:rPr>
                <w:rFonts w:ascii="Arial" w:cs="Arial" w:eastAsia="Arial" w:hAnsi="Arial"/>
                <w:sz w:val="18"/>
                <w:szCs w:val="18"/>
                <w:color w:val="0000EE"/>
                <w:w w:val="86"/>
              </w:rPr>
            </w:pPr>
            <w:hyperlink w:anchor="page12">
              <w:r>
                <w:rPr>
                  <w:rFonts w:ascii="Arial" w:cs="Arial" w:eastAsia="Arial" w:hAnsi="Arial"/>
                  <w:sz w:val="18"/>
                  <w:szCs w:val="18"/>
                  <w:color w:val="0000EE"/>
                  <w:w w:val="86"/>
                </w:rPr>
                <w:t>Information Regarding the Nominees and the Continuing Directors</w:t>
              </w:r>
            </w:hyperlink>
          </w:p>
        </w:tc>
        <w:tc>
          <w:tcPr>
            <w:tcW w:w="4000" w:type="dxa"/>
            <w:vAlign w:val="bottom"/>
            <w:gridSpan w:val="9"/>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Class II Nominees—Terms Will Expire in 2014</w:t>
              </w:r>
            </w:hyperlink>
          </w:p>
        </w:tc>
        <w:tc>
          <w:tcPr>
            <w:tcW w:w="4000" w:type="dxa"/>
            <w:vAlign w:val="bottom"/>
            <w:gridSpan w:val="9"/>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17"/>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Class I Continuing Director—Term Will Expire in 2013</w:t>
              </w:r>
            </w:hyperlink>
          </w:p>
        </w:tc>
        <w:tc>
          <w:tcPr>
            <w:tcW w:w="472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Class III Continuing Directors—Terms Will Expire in 2012</w:t>
              </w:r>
            </w:hyperlink>
          </w:p>
        </w:tc>
        <w:tc>
          <w:tcPr>
            <w:tcW w:w="3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Biographical Information Regarding Executive Officers Who Are Not Directors</w:t>
              </w:r>
            </w:hyperlink>
          </w:p>
        </w:tc>
        <w:tc>
          <w:tcPr>
            <w:tcW w:w="34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The Board and its Committees</w:t>
              </w:r>
            </w:hyperlink>
          </w:p>
        </w:tc>
        <w:tc>
          <w:tcPr>
            <w:tcW w:w="3040" w:type="dxa"/>
            <w:vAlign w:val="bottom"/>
            <w:gridSpan w:val="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Borders>
              <w:top w:val="single" w:sz="8" w:color="0000EE"/>
            </w:tcBorders>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Director Compensation</w:t>
              </w:r>
            </w:hyperlink>
          </w:p>
        </w:tc>
        <w:tc>
          <w:tcPr>
            <w:tcW w:w="6520" w:type="dxa"/>
            <w:vAlign w:val="bottom"/>
            <w:gridSpan w:val="21"/>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17">
              <w:r>
                <w:rPr>
                  <w:rFonts w:ascii="Arial" w:cs="Arial" w:eastAsia="Arial" w:hAnsi="Arial"/>
                  <w:sz w:val="16"/>
                  <w:szCs w:val="16"/>
                  <w:color w:val="0000EE"/>
                  <w:w w:val="78"/>
                </w:rPr>
                <w:t>11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3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2: ADVISORY VOTE ON THE COMPENSATION OF OUR NAMED EXECUTIVE OFFICERS</w:t>
              </w:r>
            </w:hyperlink>
          </w:p>
        </w:tc>
        <w:tc>
          <w:tcPr>
            <w:tcW w:w="3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222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8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3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PROPOSAL 3: ADVISORY VOTE ON THE FREQUENCY OF STOCKHOLDER ADVISORY VOTES ON THE</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OF OUR NAMED EXECUTIVE OFFICERS</w:t>
              </w:r>
            </w:hyperlink>
          </w:p>
        </w:tc>
        <w:tc>
          <w:tcPr>
            <w:tcW w:w="6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222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PROPOSAL 4: RATIFICATION OF APPOINTMENT OF INDEPENDENT REGISTERED PUBLIC ACCOUNTING</w:t>
              </w:r>
            </w:hyperlink>
          </w:p>
        </w:tc>
        <w:tc>
          <w:tcPr>
            <w:tcW w:w="4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FIRM</w:t>
              </w:r>
            </w:hyperlink>
          </w:p>
        </w:tc>
        <w:tc>
          <w:tcPr>
            <w:tcW w:w="8180" w:type="dxa"/>
            <w:vAlign w:val="bottom"/>
            <w:gridSpan w:val="28"/>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22">
              <w:r>
                <w:rPr>
                  <w:rFonts w:ascii="Arial" w:cs="Arial" w:eastAsia="Arial" w:hAnsi="Arial"/>
                  <w:sz w:val="18"/>
                  <w:szCs w:val="18"/>
                  <w:color w:val="0000EE"/>
                  <w:w w:val="84"/>
                </w:rPr>
                <w:t>Fee Disclosure</w:t>
              </w:r>
            </w:hyperlink>
          </w:p>
        </w:tc>
        <w:tc>
          <w:tcPr>
            <w:tcW w:w="7560" w:type="dxa"/>
            <w:vAlign w:val="bottom"/>
            <w:gridSpan w:val="27"/>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Pre-Approval Policies and Procedures of our Audit Committee</w:t>
              </w:r>
            </w:hyperlink>
          </w:p>
        </w:tc>
        <w:tc>
          <w:tcPr>
            <w:tcW w:w="424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3">
              <w:r>
                <w:rPr>
                  <w:rFonts w:ascii="Arial" w:cs="Arial" w:eastAsia="Arial" w:hAnsi="Arial"/>
                  <w:sz w:val="16"/>
                  <w:szCs w:val="16"/>
                  <w:color w:val="0000EE"/>
                  <w:w w:val="78"/>
                </w:rPr>
                <w:t>17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AUDIT COMMITTEE REPORT</w:t>
              </w:r>
            </w:hyperlink>
          </w:p>
        </w:tc>
        <w:tc>
          <w:tcPr>
            <w:tcW w:w="3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11"/>
          </w:tcPr>
          <w:p>
            <w:pPr>
              <w:ind w:left="80"/>
              <w:spacing w:after="0"/>
              <w:rPr>
                <w:sz w:val="20"/>
                <w:szCs w:val="20"/>
                <w:color w:val="auto"/>
              </w:rPr>
            </w:pPr>
            <w:r>
              <w:rPr>
                <w:rFonts w:ascii="Arial" w:cs="Arial" w:eastAsia="Arial" w:hAnsi="Arial"/>
                <w:sz w:val="18"/>
                <w:szCs w:val="18"/>
                <w:color w:val="auto"/>
              </w:rPr>
              <w:t>i</w:t>
            </w: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gridSpan w:val="23"/>
            <w:vMerge w:val="restart"/>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CORPORATE GOVERNANCE MATTERS</w:t>
              </w:r>
            </w:hyperlink>
          </w:p>
        </w:tc>
        <w:tc>
          <w:tcPr>
            <w:tcW w:w="5660" w:type="dxa"/>
            <w:vAlign w:val="bottom"/>
            <w:gridSpan w:val="12"/>
            <w:vMerge w:val="restart"/>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140" w:type="dxa"/>
            <w:vAlign w:val="bottom"/>
            <w:tcBorders>
              <w:bottom w:val="single" w:sz="8" w:color="0000EE"/>
            </w:tcBorders>
            <w:gridSpan w:val="23"/>
            <w:vMerge w:val="continue"/>
          </w:tcPr>
          <w:p>
            <w:pPr>
              <w:spacing w:after="0"/>
              <w:rPr>
                <w:sz w:val="14"/>
                <w:szCs w:val="14"/>
                <w:color w:val="auto"/>
              </w:rPr>
            </w:pPr>
          </w:p>
        </w:tc>
        <w:tc>
          <w:tcPr>
            <w:tcW w:w="5660" w:type="dxa"/>
            <w:vAlign w:val="bottom"/>
            <w:gridSpan w:val="1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Corporate Governance Guidelines</w:t>
              </w:r>
            </w:hyperlink>
          </w:p>
        </w:tc>
        <w:tc>
          <w:tcPr>
            <w:tcW w:w="340" w:type="dxa"/>
            <w:vAlign w:val="bottom"/>
            <w:gridSpan w:val="2"/>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Borders>
              <w:top w:val="single" w:sz="8" w:color="0000EE"/>
            </w:tcBorders>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Director Independence</w:t>
              </w:r>
            </w:hyperlink>
          </w:p>
        </w:tc>
        <w:tc>
          <w:tcPr>
            <w:tcW w:w="6260" w:type="dxa"/>
            <w:vAlign w:val="bottom"/>
            <w:gridSpan w:val="1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top w:val="single" w:sz="8" w:color="0000EE"/>
            </w:tcBorders>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Code of Ethics</w:t>
              </w:r>
            </w:hyperlink>
          </w:p>
        </w:tc>
        <w:tc>
          <w:tcPr>
            <w:tcW w:w="7060" w:type="dxa"/>
            <w:vAlign w:val="bottom"/>
            <w:gridSpan w:val="2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Audit Committee Financial Expert</w:t>
              </w:r>
            </w:hyperlink>
          </w:p>
        </w:tc>
        <w:tc>
          <w:tcPr>
            <w:tcW w:w="622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Communications with the Board</w:t>
              </w:r>
            </w:hyperlink>
          </w:p>
        </w:tc>
        <w:tc>
          <w:tcPr>
            <w:tcW w:w="6360" w:type="dxa"/>
            <w:vAlign w:val="bottom"/>
            <w:gridSpan w:val="2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Whistleblowing and Whistleblower Protection Policy</w:t>
              </w:r>
            </w:hyperlink>
          </w:p>
        </w:tc>
        <w:tc>
          <w:tcPr>
            <w:tcW w:w="490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Director Attendance at Annual Meetings</w:t>
              </w:r>
            </w:hyperlink>
          </w:p>
        </w:tc>
        <w:tc>
          <w:tcPr>
            <w:tcW w:w="578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Identification of Director Candidates</w:t>
              </w:r>
            </w:hyperlink>
          </w:p>
        </w:tc>
        <w:tc>
          <w:tcPr>
            <w:tcW w:w="6060" w:type="dxa"/>
            <w:vAlign w:val="bottom"/>
            <w:gridSpan w:val="1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Executive Sessions of Non-Management Directors</w:t>
              </w:r>
            </w:hyperlink>
          </w:p>
        </w:tc>
        <w:tc>
          <w:tcPr>
            <w:tcW w:w="340" w:type="dxa"/>
            <w:vAlign w:val="bottom"/>
            <w:gridSpan w:val="2"/>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Disclosure Committee</w:t>
              </w:r>
            </w:hyperlink>
          </w:p>
        </w:tc>
        <w:tc>
          <w:tcPr>
            <w:tcW w:w="1980" w:type="dxa"/>
            <w:vAlign w:val="bottom"/>
            <w:tcBorders>
              <w:top w:val="single" w:sz="8" w:color="0000EE"/>
            </w:tcBorders>
            <w:gridSpan w:val="18"/>
          </w:tcPr>
          <w:p>
            <w:pPr>
              <w:spacing w:after="0"/>
              <w:rPr>
                <w:sz w:val="24"/>
                <w:szCs w:val="24"/>
                <w:color w:val="auto"/>
              </w:rPr>
            </w:pPr>
          </w:p>
        </w:tc>
        <w:tc>
          <w:tcPr>
            <w:tcW w:w="510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Policy on Majority Voting</w:t>
              </w:r>
            </w:hyperlink>
          </w:p>
        </w:tc>
        <w:tc>
          <w:tcPr>
            <w:tcW w:w="6820" w:type="dxa"/>
            <w:vAlign w:val="bottom"/>
            <w:gridSpan w:val="2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Board Leadership Structure</w:t>
              </w:r>
            </w:hyperlink>
          </w:p>
        </w:tc>
        <w:tc>
          <w:tcPr>
            <w:tcW w:w="340" w:type="dxa"/>
            <w:vAlign w:val="bottom"/>
            <w:gridSpan w:val="2"/>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Oversight</w:t>
              </w:r>
            </w:hyperlink>
          </w:p>
        </w:tc>
        <w:tc>
          <w:tcPr>
            <w:tcW w:w="6720" w:type="dxa"/>
            <w:vAlign w:val="bottom"/>
            <w:gridSpan w:val="2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Clawback Policy</w:t>
              </w:r>
            </w:hyperlink>
          </w:p>
        </w:tc>
        <w:tc>
          <w:tcPr>
            <w:tcW w:w="7460" w:type="dxa"/>
            <w:vAlign w:val="bottom"/>
            <w:gridSpan w:val="3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EXECUTIVE COMPENSATION</w:t>
              </w:r>
            </w:hyperlink>
          </w:p>
        </w:tc>
        <w:tc>
          <w:tcPr>
            <w:tcW w:w="6400" w:type="dxa"/>
            <w:vAlign w:val="bottom"/>
            <w:gridSpan w:val="2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34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top w:val="single" w:sz="8" w:color="0000EE"/>
            </w:tcBorders>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Compensation Committee Report</w:t>
              </w:r>
            </w:hyperlink>
          </w:p>
        </w:tc>
        <w:tc>
          <w:tcPr>
            <w:tcW w:w="588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3"/>
          </w:tcPr>
          <w:p>
            <w:pPr>
              <w:spacing w:after="0"/>
              <w:rPr>
                <w:sz w:val="24"/>
                <w:szCs w:val="24"/>
                <w:color w:val="auto"/>
              </w:rPr>
            </w:pPr>
          </w:p>
        </w:tc>
        <w:tc>
          <w:tcPr>
            <w:tcW w:w="6300" w:type="dxa"/>
            <w:vAlign w:val="bottom"/>
            <w:gridSpan w:val="20"/>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2010 Grants of Plan-Based Awards</w:t>
              </w:r>
            </w:hyperlink>
          </w:p>
        </w:tc>
        <w:tc>
          <w:tcPr>
            <w:tcW w:w="6180" w:type="dxa"/>
            <w:vAlign w:val="bottom"/>
            <w:gridSpan w:val="1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Outstanding Equity Awards at Fiscal Year-End 2010</w:t>
              </w:r>
            </w:hyperlink>
          </w:p>
        </w:tc>
        <w:tc>
          <w:tcPr>
            <w:tcW w:w="340" w:type="dxa"/>
            <w:vAlign w:val="bottom"/>
            <w:gridSpan w:val="2"/>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2010 Option Exercises and Stock Vested</w:t>
              </w:r>
            </w:hyperlink>
          </w:p>
        </w:tc>
        <w:tc>
          <w:tcPr>
            <w:tcW w:w="820" w:type="dxa"/>
            <w:vAlign w:val="bottom"/>
            <w:tcBorders>
              <w:top w:val="single" w:sz="8" w:color="0000EE"/>
            </w:tcBorders>
            <w:gridSpan w:val="5"/>
          </w:tcPr>
          <w:p>
            <w:pPr>
              <w:spacing w:after="0"/>
              <w:rPr>
                <w:sz w:val="24"/>
                <w:szCs w:val="24"/>
                <w:color w:val="auto"/>
              </w:rPr>
            </w:pPr>
          </w:p>
        </w:tc>
        <w:tc>
          <w:tcPr>
            <w:tcW w:w="498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SL Green Realty Corp. 2010 Notional Unit Plan</w:t>
              </w:r>
            </w:hyperlink>
          </w:p>
        </w:tc>
        <w:tc>
          <w:tcPr>
            <w:tcW w:w="340" w:type="dxa"/>
            <w:vAlign w:val="bottom"/>
            <w:gridSpan w:val="2"/>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Retirement Benefits</w:t>
              </w:r>
            </w:hyperlink>
          </w:p>
        </w:tc>
        <w:tc>
          <w:tcPr>
            <w:tcW w:w="1960" w:type="dxa"/>
            <w:vAlign w:val="bottom"/>
            <w:tcBorders>
              <w:top w:val="single" w:sz="8" w:color="0000EE"/>
            </w:tcBorders>
            <w:gridSpan w:val="18"/>
          </w:tcPr>
          <w:p>
            <w:pPr>
              <w:spacing w:after="0"/>
              <w:rPr>
                <w:sz w:val="24"/>
                <w:szCs w:val="24"/>
                <w:color w:val="auto"/>
              </w:rPr>
            </w:pPr>
          </w:p>
        </w:tc>
        <w:tc>
          <w:tcPr>
            <w:tcW w:w="52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Potential Payments Upon Termination or Change-in-Control</w:t>
              </w:r>
            </w:hyperlink>
          </w:p>
        </w:tc>
        <w:tc>
          <w:tcPr>
            <w:tcW w:w="34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180" w:type="dxa"/>
            <w:vAlign w:val="bottom"/>
            <w:gridSpan w:val="1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Compensation Committee Interlocks and Insider Participation</w:t>
              </w:r>
            </w:hyperlink>
          </w:p>
        </w:tc>
        <w:tc>
          <w:tcPr>
            <w:tcW w:w="4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34"/>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SECURITY OWNERSHIP OF CERTAIN BENEFICIAL OWNERS AND MANAGEMENT</w:t>
              </w:r>
            </w:hyperlink>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Section 16(a) Beneficial Ownership Reporting Compliance</w:t>
              </w:r>
            </w:hyperlink>
          </w:p>
        </w:tc>
        <w:tc>
          <w:tcPr>
            <w:tcW w:w="34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180" w:type="dxa"/>
            <w:vAlign w:val="bottom"/>
            <w:gridSpan w:val="1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LEGAL PROCEEDINGS</w:t>
              </w:r>
            </w:hyperlink>
          </w:p>
        </w:tc>
        <w:tc>
          <w:tcPr>
            <w:tcW w:w="6960" w:type="dxa"/>
            <w:vAlign w:val="bottom"/>
            <w:gridSpan w:val="2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340" w:type="dxa"/>
            <w:vAlign w:val="bottom"/>
            <w:tcBorders>
              <w:bottom w:val="single" w:sz="8" w:color="0000EE"/>
            </w:tcBorders>
            <w:gridSpan w:val="33"/>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CERTAIN RELATIONSHIPS AND RELATED PARTY TRANSACTIONS</w:t>
              </w:r>
            </w:hyperlink>
          </w:p>
        </w:tc>
        <w:tc>
          <w:tcPr>
            <w:tcW w:w="34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31"/>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Policies and Procedures With Respect to Related Party Transactions</w:t>
              </w:r>
            </w:hyperlink>
          </w:p>
        </w:tc>
        <w:tc>
          <w:tcPr>
            <w:tcW w:w="38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tcBorders>
              <w:bottom w:val="single" w:sz="8" w:color="0000EE"/>
            </w:tcBorders>
            <w:gridSpan w:val="27"/>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Cleaning/Security/Messenger and Restoration Services</w:t>
              </w:r>
            </w:hyperlink>
          </w:p>
        </w:tc>
        <w:tc>
          <w:tcPr>
            <w:tcW w:w="47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 Fees</w:t>
              </w:r>
            </w:hyperlink>
          </w:p>
        </w:tc>
        <w:tc>
          <w:tcPr>
            <w:tcW w:w="34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4"/>
          </w:tcPr>
          <w:p>
            <w:pPr>
              <w:ind w:left="20"/>
              <w:spacing w:after="0"/>
              <w:rPr>
                <w:sz w:val="20"/>
                <w:szCs w:val="20"/>
                <w:color w:val="auto"/>
              </w:rPr>
            </w:pPr>
            <w:r>
              <w:rPr>
                <w:rFonts w:ascii="Arial" w:cs="Arial" w:eastAsia="Arial" w:hAnsi="Arial"/>
                <w:sz w:val="18"/>
                <w:szCs w:val="18"/>
                <w:color w:val="auto"/>
              </w:rPr>
              <w:t>ii</w:t>
            </w: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762"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9"/>
            <w:vMerge w:val="restart"/>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Leases</w:t>
              </w:r>
            </w:hyperlink>
          </w:p>
        </w:tc>
        <w:tc>
          <w:tcPr>
            <w:tcW w:w="530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5300" w:type="dxa"/>
            <w:vAlign w:val="bottom"/>
          </w:tcPr>
          <w:p>
            <w:pPr>
              <w:spacing w:after="0"/>
              <w:rPr>
                <w:sz w:val="14"/>
                <w:szCs w:val="14"/>
                <w:color w:val="auto"/>
              </w:rPr>
            </w:pPr>
          </w:p>
        </w:tc>
        <w:tc>
          <w:tcPr>
            <w:tcW w:w="360" w:type="dxa"/>
            <w:vAlign w:val="bottom"/>
            <w:tcBorders>
              <w:top w:val="single" w:sz="8" w:color="auto"/>
            </w:tcBorders>
            <w:gridSpan w:val="3"/>
          </w:tcPr>
          <w:p>
            <w:pPr>
              <w:jc w:val="right"/>
              <w:ind w:right="20"/>
              <w:spacing w:after="0" w:line="170" w:lineRule="exact"/>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2">
              <w:r>
                <w:rPr>
                  <w:rFonts w:ascii="Arial" w:cs="Arial" w:eastAsia="Arial" w:hAnsi="Arial"/>
                  <w:sz w:val="18"/>
                  <w:szCs w:val="18"/>
                  <w:color w:val="0000EE"/>
                  <w:w w:val="86"/>
                </w:rPr>
                <w:t>Brokerage Services</w:t>
              </w:r>
            </w:hyperlink>
          </w:p>
        </w:tc>
        <w:tc>
          <w:tcPr>
            <w:tcW w:w="1980" w:type="dxa"/>
            <w:vAlign w:val="bottom"/>
            <w:gridSpan w:val="4"/>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w:t>
              </w:r>
            </w:hyperlink>
          </w:p>
        </w:tc>
        <w:tc>
          <w:tcPr>
            <w:tcW w:w="56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Gramercy Capital Corp.</w:t>
              </w:r>
            </w:hyperlink>
          </w:p>
        </w:tc>
        <w:tc>
          <w:tcPr>
            <w:tcW w:w="1620" w:type="dxa"/>
            <w:vAlign w:val="bottom"/>
            <w:gridSpan w:val="2"/>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OTHER MATTERS</w:t>
              </w:r>
            </w:hyperlink>
          </w:p>
        </w:tc>
        <w:tc>
          <w:tcPr>
            <w:tcW w:w="2060" w:type="dxa"/>
            <w:vAlign w:val="bottom"/>
            <w:gridSpan w:val="5"/>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Solicitation of Proxies</w:t>
              </w:r>
            </w:hyperlink>
          </w:p>
        </w:tc>
        <w:tc>
          <w:tcPr>
            <w:tcW w:w="1780" w:type="dxa"/>
            <w:vAlign w:val="bottom"/>
            <w:gridSpan w:val="3"/>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Stockholder Proposals</w:t>
              </w:r>
            </w:hyperlink>
          </w:p>
        </w:tc>
        <w:tc>
          <w:tcPr>
            <w:tcW w:w="1780" w:type="dxa"/>
            <w:vAlign w:val="bottom"/>
            <w:gridSpan w:val="3"/>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Householding of Proxy Materials</w:t>
              </w:r>
            </w:hyperlink>
          </w:p>
        </w:tc>
        <w:tc>
          <w:tcPr>
            <w:tcW w:w="56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69</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Matters</w:t>
              </w:r>
            </w:hyperlink>
          </w:p>
        </w:tc>
        <w:tc>
          <w:tcPr>
            <w:tcW w:w="1020" w:type="dxa"/>
            <w:vAlign w:val="bottom"/>
          </w:tcPr>
          <w:p>
            <w:pPr>
              <w:spacing w:after="0"/>
              <w:rPr>
                <w:sz w:val="24"/>
                <w:szCs w:val="24"/>
                <w:color w:val="auto"/>
              </w:rPr>
            </w:pPr>
          </w:p>
        </w:tc>
        <w:tc>
          <w:tcPr>
            <w:tcW w:w="54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70</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60" w:type="dxa"/>
            <w:vAlign w:val="bottom"/>
            <w:gridSpan w:val="2"/>
          </w:tcPr>
          <w:p>
            <w:pPr>
              <w:ind w:left="1000"/>
              <w:spacing w:after="0"/>
              <w:rPr>
                <w:sz w:val="20"/>
                <w:szCs w:val="20"/>
                <w:color w:val="auto"/>
              </w:rPr>
            </w:pPr>
            <w:r>
              <w:rPr>
                <w:rFonts w:ascii="Arial" w:cs="Arial" w:eastAsia="Arial" w:hAnsi="Arial"/>
                <w:sz w:val="18"/>
                <w:szCs w:val="18"/>
                <w:color w:val="auto"/>
              </w:rPr>
              <w:t>iii</w:t>
            </w:r>
          </w:p>
        </w:tc>
        <w:tc>
          <w:tcPr>
            <w:tcW w:w="180" w:type="dxa"/>
            <w:vAlign w:val="bottom"/>
            <w:tcBorders>
              <w:top w:val="single" w:sz="8" w:color="0000EE"/>
            </w:tcBorders>
          </w:tcPr>
          <w:p>
            <w:pPr>
              <w:spacing w:after="0"/>
              <w:rPr>
                <w:sz w:val="24"/>
                <w:szCs w:val="24"/>
                <w:color w:val="auto"/>
              </w:rPr>
            </w:pPr>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OUR 2011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2011</w:t>
      </w:r>
    </w:p>
    <w:p>
      <w:pPr>
        <w:spacing w:after="0" w:line="219"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2011 annual meeting of stockholders to be held on Wednesday, June 15, 2011, at 11:00 a.m., local time, at The Grand Hyatt New York, 109 East 42nd Street at Grand Central Terminal, New York, New York, or at any postponement or adjournment of the annual meeting. 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on or about May 6, 2011.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Notice of Internet Availability of Proxy Materials that I received in the mail this year instead of a full set of proxy materials?</w:t>
      </w:r>
    </w:p>
    <w:p>
      <w:pPr>
        <w:spacing w:after="0" w:line="2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accordance with rules adopted by the Securities and Exchange Commission, or SEC, we may furnish proxy materials, including this proxy statement and the Company's 2010 annual report to stockholders, by providing access to these documents on the Internet instead of mailing a printed copy of our proxy materials to our stockholders. In accordance with such rules, most of our stockholders already have received a Notice of Internet Availability of Proxy Materials, or the Notice, which provides a website address with instructions for accessing our proxy materials, including this proxy statement, and for requesting printed copies of the proxy materials by mail or electronically by e-mail.</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would like to receive a paper or an e-mail copy of our proxy materials for the 2011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March 31, 2011,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right="4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two Class II directors to serve on our Board of Directors for a three-year term and until their successors are duly</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and qualify;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an advisory vote on executive compensation as disclosed in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Proposal 3: </w:t>
      </w:r>
      <w:r>
        <w:rPr>
          <w:rFonts w:ascii="Arial" w:cs="Arial" w:eastAsia="Arial" w:hAnsi="Arial"/>
          <w:sz w:val="16"/>
          <w:szCs w:val="16"/>
          <w:color w:val="auto"/>
        </w:rPr>
        <w:t>an advisory vote on whether an advisory vote on executive compensation should be held every one, two or three years; and</w:t>
      </w:r>
    </w:p>
    <w:p>
      <w:pPr>
        <w:spacing w:after="0" w:line="275"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4: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2010.</w:t>
      </w:r>
    </w:p>
    <w:p>
      <w:pPr>
        <w:spacing w:after="0" w:line="186" w:lineRule="exact"/>
        <w:rPr>
          <w:sz w:val="20"/>
          <w:szCs w:val="20"/>
          <w:color w:val="auto"/>
        </w:rPr>
      </w:pPr>
    </w:p>
    <w:p>
      <w:pPr>
        <w:ind w:right="500" w:firstLine="345"/>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80,925,309 shares outstanding and entitled to vote at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plurality of all of the votes cast at the annual meeting at which a quorum is present is required for the election of directors. In addition, our Policy on Majority Voting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majority of all of the votes cast at the annual meeting at which a quorum is present is required for each of Proposals 2, 3 and 4.</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respect of Proposal 1 and Proposal 4, we will treat abstentions as shares that are present and entitled to vote for purposes of determining the presence or absence of a quorum. Abstentions in respect of such Proposals do not constitute a vote "for," "withheld" or "against" and will not be counted as "votes cast." Therefore, abstentions will have no effect on either Proposal 1 or Proposal 4. Broker non-votes with respect to Proposal 1 will be counted as present for quorum purposes, but will have no effect on Proposal 1. There will be no broker non-votes with respect to Proposal 4. Proposal 4 is a routine matter on which brokers are permitted to vote without instructions from the beneficial owner.</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respect of Proposal 2, abstentions and broker non-votes are not counted as a vote cast, and therefore, will have no effect on this vote. This vote is advisory and non-binding on the Board of Directors, the Compensation Committee and the Company.</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respect of Proposal 3, the option of one year, two years or three years that receives a majority of all the votes cast at a meeting at which a quorum is present will be the frequency for the advisory vote on executive compensation that has been recommended by stockholders. For purposes of this advisory vote, abstentions and broker non-votes will not be counted as votes cast and will have no effect on the result of the vote, although they will be considered present for the purpose of determining the presence of a quorum. In the event that no option receives a majority of the votes cast, we will consider the option that receives the most votes to be the option selected by stockholders. In either case, this vote is advisory and not binding on the Board or the Company in any way, and the Board of Directors or the Nominating and Corporate Governance Committee may determine that it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in the best interests of the Company to hold an advisory vote on executive compensation more or less frequently than the option recommended by our stockholders.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The Bank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Mellon Corporation,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9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i w:val="1"/>
          <w:iCs w:val="1"/>
          <w:color w:val="auto"/>
        </w:rPr>
        <w:t>Voting by Proxy.</w:t>
      </w:r>
      <w:r>
        <w:rPr>
          <w:sz w:val="20"/>
          <w:szCs w:val="20"/>
          <w:color w:val="auto"/>
        </w:rPr>
        <w:tab/>
      </w:r>
      <w:r>
        <w:rPr>
          <w:rFonts w:ascii="Arial" w:cs="Arial" w:eastAsia="Arial" w:hAnsi="Arial"/>
          <w:sz w:val="15"/>
          <w:szCs w:val="15"/>
          <w:color w:val="auto"/>
        </w:rPr>
        <w:t>You should submit your proxy or voting instructions as soon as possible.</w:t>
      </w:r>
    </w:p>
    <w:p>
      <w:pPr>
        <w:spacing w:after="0" w:line="219"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 Internet or by mail. The</w:t>
      </w:r>
      <w:r>
        <w:rPr>
          <w:rFonts w:ascii="Arial" w:cs="Arial" w:eastAsia="Arial" w:hAnsi="Arial"/>
          <w:sz w:val="16"/>
          <w:szCs w:val="16"/>
          <w:b w:val="1"/>
          <w:bCs w:val="1"/>
          <w:color w:val="auto"/>
        </w:rPr>
        <w:t xml:space="preserve"> </w:t>
      </w:r>
      <w:r>
        <w:rPr>
          <w:rFonts w:ascii="Arial" w:cs="Arial" w:eastAsia="Arial" w:hAnsi="Arial"/>
          <w:sz w:val="16"/>
          <w:szCs w:val="16"/>
          <w:color w:val="auto"/>
        </w:rPr>
        <w:t>deadline for voting by telephone or electronically via the Internet is 11:59 p.m., Eastern Daylight Time, on June 14, 2011. If voting by mail, you must:</w:t>
      </w:r>
    </w:p>
    <w:p>
      <w:pPr>
        <w:spacing w:after="0" w:line="14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promptly mail the proxy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0"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Notice. The deadline for voting electronically via the Internet is 11:59 p.m., Eastern Daylight Time, on June 14, 2011.</w:t>
      </w:r>
    </w:p>
    <w:p>
      <w:pPr>
        <w:spacing w:after="0" w:line="12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If you received an e-mail copy of this Proxy Statement. </w:t>
      </w:r>
      <w:r>
        <w:rPr>
          <w:rFonts w:ascii="Arial" w:cs="Arial" w:eastAsia="Arial" w:hAnsi="Arial"/>
          <w:sz w:val="18"/>
          <w:szCs w:val="18"/>
          <w:color w:val="auto"/>
        </w:rPr>
        <w:t>Please submit your proxy electronically via the Internet or telephonically using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the Proxy Card. The deadline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voting electronically via the Internet or telephonically is 11:59 p.m., Eastern Daylight Time, on June 14, 2011.</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II directors named in this proxy statement, "for" advisory approval of the compensation of our named executive officers, "for" a three (3)-year frequency of submitting the compensation of our named executive officers to the stockholders and "for" ratification of the appointment of Ernst &amp; Young LLP as our independent registered public accounting firm for the fiscal year ending December 31, 2011. It is not anticipated that any matters other than those set forth in this proxy statement will be presented at the annual meeting. If other matters are presented, proxies will be voted in accordance with the discretion of the proxy holders. In addition, since no stockholder proposals or nominations were received on a timely basis, no such matters will be brought to a vote at the annual meeting.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39" w:lineRule="exact"/>
        <w:rPr>
          <w:sz w:val="20"/>
          <w:szCs w:val="20"/>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Marc Holliday and John S. Levy as Class II directors to serve on our Board of Directors for a three-year term and until their successors are duly elected and qualify;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on an advisory basis, of the compensation of our executives;</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THREE (3) YEARS in respect of </w:t>
      </w:r>
      <w:r>
        <w:rPr>
          <w:rFonts w:ascii="Arial" w:cs="Arial" w:eastAsia="Arial" w:hAnsi="Arial"/>
          <w:sz w:val="18"/>
          <w:szCs w:val="18"/>
          <w:i w:val="1"/>
          <w:iCs w:val="1"/>
          <w:color w:val="auto"/>
        </w:rPr>
        <w:t>Proposal 3:</w:t>
      </w:r>
      <w:r>
        <w:rPr>
          <w:rFonts w:ascii="Arial" w:cs="Arial" w:eastAsia="Arial" w:hAnsi="Arial"/>
          <w:sz w:val="18"/>
          <w:szCs w:val="18"/>
          <w:color w:val="auto"/>
        </w:rPr>
        <w:t xml:space="preserve"> the recommendation, on an advisory basis, of whether an advisory vote on executive compensation should be held every one, two or three years;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4</w:t>
      </w:r>
      <w:r>
        <w:rPr>
          <w:rFonts w:ascii="Arial" w:cs="Arial" w:eastAsia="Arial" w:hAnsi="Arial"/>
          <w:sz w:val="18"/>
          <w:szCs w:val="18"/>
          <w:color w:val="auto"/>
        </w:rPr>
        <w:t>: the ratification of the appointment of Ernst &amp; Young LLP as our independent registered public accounting firm for the fiscal year ending December 31, 2010.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Our 2010 annual report, including financial statements for the fiscal year ended December 31, 2010, is being made available to you along with this proxy statement. You may obtain, free of charge, copies of our 2010 annual report and our Annual Report on Form 10-K for the fiscal year ended December 31, 2010,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2010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This solicitation of proxies is made by and on behalf of the Board. </w:t>
      </w:r>
      <w:r>
        <w:rPr>
          <w:rFonts w:ascii="Arial" w:cs="Arial" w:eastAsia="Arial" w:hAnsi="Arial"/>
          <w:sz w:val="18"/>
          <w:szCs w:val="18"/>
          <w:color w:val="auto"/>
        </w:rPr>
        <w:t>We will pay the cost of the solicitation of proxies. We have retained MacKenzie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Inc. at an aggregate estimated cost of $7,500, plus out-of-pocket expenses, to assist in the solicitation of proxies. In addition to the solicitation of proxies by mail, our directors, officers and employees may solicit proxies personally or by telephone.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Notice of Internet Availability to sendmaterial@proxyvote.com, via the internet at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or by telephone at (800) 579-7639. Your election will remain in effect until you change it.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received more than one Notice of Internet Availability of Proxy Materials?</w:t>
      </w:r>
    </w:p>
    <w:p>
      <w:pPr>
        <w:spacing w:after="0" w:line="231"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9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Board of the Company currently consists of six members and is divided into three classes. Directors in each class serve for a term of three years or until their successors are duly elected and qualify. The term of directors of one class expires at each annual meeting of stockholders.</w:t>
      </w:r>
    </w:p>
    <w:p>
      <w:pPr>
        <w:spacing w:after="0" w:line="13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the annual meeting, two directors will be elected to serve until the 2014 annual meeting and until their successors are duly elected and qualify. The Board, upon the recommendation of the Nominating and Corporate Governance Committee, has nominated Marc Holliday and John S. Levy for election to serve as its Class II directors. Messrs. Holliday and Levy currently are serving as Class II directors. Each of Messrs. Holliday and Levy have consented to being named in this proxy statement and to serve as a director if elected. However, if either of Messrs. Holliday or Levy is unable to accept election, proxies voted in favor of such nominee will be voted for the election of such other person as the Board nominates.</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plurality of all of the votes cast at the annual meeting at which a quorum is present in person or by proxy is required for the election of directors. In furtherance of our corporate governance goals, on February 19, 2010, we adopted a Policy on Majority Voting. The policy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2"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will treat abstentions and broker non-votes as shares that are present and entitled to vote for purposes of determining the presence or absence of a quorum. Abstentions and broker non-votes do not constitute a vote "for," "against" or "withheld" and will not be counted as "votes cast". Therefore, abstentions and broker non-votes will have no effect on this proposal, assuming a quorum is present.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unanimously recommends a vote "FOR" the election of Messrs. Holliday and Levy.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Class II directors at the 2011 annual meeting and the continuing Class I and Class III directors whose terms expire at the annual meetings of stockholders in 2013 and 2012, respectively, based upon information furnished by each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 Nominees (terms will expire in 2011)</w:t>
            </w: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Marc Holliday</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60" w:type="dxa"/>
            <w:vAlign w:val="bottom"/>
            <w:gridSpan w:val="3"/>
          </w:tcPr>
          <w:p>
            <w:pPr>
              <w:ind w:left="1140"/>
              <w:spacing w:after="0"/>
              <w:rPr>
                <w:sz w:val="20"/>
                <w:szCs w:val="20"/>
                <w:color w:val="auto"/>
              </w:rPr>
            </w:pPr>
            <w:r>
              <w:rPr>
                <w:rFonts w:ascii="Arial" w:cs="Arial" w:eastAsia="Arial" w:hAnsi="Arial"/>
                <w:sz w:val="18"/>
                <w:szCs w:val="18"/>
                <w:b w:val="1"/>
                <w:bCs w:val="1"/>
                <w:color w:val="auto"/>
                <w:w w:val="94"/>
              </w:rPr>
              <w:t>Class I Continuing Directors (terms will expire in 2013)</w:t>
            </w: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Thomas Burton, III</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Class III Continuing Directors (terms will expire in 2012)</w:t>
            </w:r>
          </w:p>
        </w:tc>
        <w:tc>
          <w:tcPr>
            <w:tcW w:w="3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Green</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20" w:type="dxa"/>
            <w:vAlign w:val="bottom"/>
          </w:tcPr>
          <w:p>
            <w:pPr>
              <w:jc w:val="right"/>
              <w:ind w:right="273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Nominees—Terms Will Expire in 2014</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Capital Corp., or Gramercy, and has served in such capacity since 2004. In 2010, Mr. Holliday notified the Board of Directors of Gramercy that he would not stand for election as a director for a new term. However, Mr. Holiday has agreed with the Board of Directors of Gramercy that he would remain as a director for a unspecified period of time following Gramercy's 2010 annual meeting to allow Gramercy to search for and appoint a replacement director. In October 2008, Mr. Holliday stepped down from his positions of President and Chief Executive Officer of Gramercy, positions he had held since August 2004.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a private real estate investment bank specializing in advisory services, investment management and debt and equity placements.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44 years old.</w:t>
      </w:r>
    </w:p>
    <w:p>
      <w:pPr>
        <w:spacing w:after="0" w:line="169"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and serves as Chairman of our Nominating and Corporate Governance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and Compensation Committees. 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Having developed expertise in finance at Lehman Brothers, Mr. Levy's extensive skills, experience and sophistication in corporate governance, financial, compensation, legal and commercial matters allow him to provide valuable insights into the Company's business and finances. Mr. Levy is 75 years old.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Continuing Directors—Terms Will Expire in 2013</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and serves as Chairman of our Audit Committee and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Nominating and Corporate Governance Committees. Mr. Burton is a Professor of Economics at the University of Virginia, and has held teaching positions at York College, Rice University and Cornell University, and has written and lectured extensively in the field of Economics. Mr. Burton also serves as a member of the Board of Trustees of the Virginia Retirement System for state and local employees of the Commonwealth of Virginia,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has been appointed by the Board as an Audit Committee Financial Expert. Mr. Burton is 68 years old.</w:t>
      </w:r>
    </w:p>
    <w:p>
      <w:pPr>
        <w:spacing w:after="0" w:line="16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color w:val="auto"/>
        </w:rPr>
        <w:t xml:space="preserve">Craig M. Hatkoff </w:t>
      </w:r>
      <w:r>
        <w:rPr>
          <w:rFonts w:ascii="Arial" w:cs="Arial" w:eastAsia="Arial" w:hAnsi="Arial"/>
          <w:sz w:val="16"/>
          <w:szCs w:val="16"/>
          <w:color w:val="auto"/>
        </w:rPr>
        <w:t>has served as a member of our Board of Directors and as a member of our Nominating and Corporate Governance Committee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2011. Mr. Hatkoff has been active in commercial real estate and community development for more than two decades. He spent 11 years at Chemical Bank, as Co-Head of the real estate investment banking unit, and was a pioneer in commercial mortgage securitization. Mr. Hatkoff was a Co-Founder and Managing Partner of Victor Capital Group, L.P. until it was later acquired by Capital Trust, Inc., where he served as Vice-Chairman and Chairman of the Executive Committee. He left in 2000 to pursue other entrepreneurial and civic endeavors but served as a Director of Capital Trust, Inc. from 1996 until early 2010. Mr. Hatkoff is a co-founder of Tribeca Enterprises, a diversified company best known for New York City's annual Tribeca Film Festival. Mr. Hatkoff is also presently Chairman of Turtle Pond Publications, LLC, and serves on the boards of a number of non-profit organizations including the Tribeca Film Institute which he co-founded, the Desmond Tutu Peace Foundation, Richard Leakey's Wildlife Direct, the Child Mind Institute, The Rock and Roll Hall of Fame, Sesame Workshop, Scholastic's Alliance for Young Artists and Writers and the Borough of Manhattan Community College Foundation. Mr. Hatkoff is the founder of both the Disruptor Foundation and the Owen and Mzee Foundation. Mr. Hatkoff is also on the Board of Directors of Taubman Centers, Inc., where he has served since 2004. From 2002 to 2005, Mr. Hatkoff served as a trustee of the New York City School Construction Authority, the agency responsible for the construction of all public schools in New York City. Mr. Hatkoff's strong background in commercial real estate and real estate finance is well known and respected throughout the New York real estate industry. Mr. Hatkoff's deep understanding of the New York City real estate market matches well with SL Green's core investment and operational focus. Mr. Hatkoff is 57 years old.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Continuing Directors—Terms Will Expire in 2012</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John H. Alschuler, Jr. </w:t>
      </w:r>
      <w:r>
        <w:rPr>
          <w:rFonts w:ascii="Arial" w:cs="Arial" w:eastAsia="Arial" w:hAnsi="Arial"/>
          <w:sz w:val="16"/>
          <w:szCs w:val="16"/>
          <w:color w:val="auto"/>
        </w:rPr>
        <w:t>has served as one of our directors since 1997 and serves as Chairman of our Compensation Committee, as a member of our Audit,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Nominating and Corporate Governance Committees and as our Lead Independent Director. 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as Chair of the Board of Directors of Friends of the High Line Inc., a Section 501(c)(3) tax-exempt organization. Mr. Alschuler received a B.A. degree from Wesleyan University and an Ed.D. degree from the University of Massachusetts at Amherst. In connection with these achievements in academia and business, Mr. Alschuler's extensive knowledge of commercial real estate, New York City's economy, commercial and other markets in New York City and national and international markets for real estate, as well as his expertise in inter-governmental relations, allow him to assess the real estate market and the Company's business from a knowledgeable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informed perspective, from which he provides valuable insights into the Company's business. Mr. Alschuler is 63 years old.</w:t>
      </w:r>
    </w:p>
    <w:p>
      <w:pPr>
        <w:spacing w:after="0" w:line="219"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b w:val="1"/>
          <w:bCs w:val="1"/>
          <w:color w:val="auto"/>
        </w:rPr>
        <w:t xml:space="preserve">Stephen L. Green </w:t>
      </w:r>
      <w:r>
        <w:rPr>
          <w:rFonts w:ascii="Arial" w:cs="Arial" w:eastAsia="Arial" w:hAnsi="Arial"/>
          <w:sz w:val="15"/>
          <w:szCs w:val="15"/>
          <w:color w:val="auto"/>
        </w:rPr>
        <w:t>has served as our Chairman and a member of the Board since 1997 and serves as the Chairman of our Executive Committee. Mr. Green</w:t>
      </w:r>
      <w:r>
        <w:rPr>
          <w:rFonts w:ascii="Arial" w:cs="Arial" w:eastAsia="Arial" w:hAnsi="Arial"/>
          <w:sz w:val="15"/>
          <w:szCs w:val="15"/>
          <w:b w:val="1"/>
          <w:bCs w:val="1"/>
          <w:color w:val="auto"/>
        </w:rPr>
        <w:t xml:space="preserve"> </w:t>
      </w:r>
      <w:r>
        <w:rPr>
          <w:rFonts w:ascii="Arial" w:cs="Arial" w:eastAsia="Arial" w:hAnsi="Arial"/>
          <w:sz w:val="15"/>
          <w:szCs w:val="15"/>
          <w:color w:val="auto"/>
        </w:rPr>
        <w:t>serves as an executive officer, working in conjunction with our Chief Executive Officer, overseeing our long-term strategic direction. In January 2004, Mr. Green stepped down from his position as our Chief Executive Officer following the promotion of Mr. Holliday to that position. Mr. Green founded our predecessor, S.L. Green Properties, Inc., in 1980. Prior to our initial public offering in 1997, Mr. Green had been involved in the acquisition of over 50 Manhattan office buildings containing in excess of 4.0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73 years old.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b w:val="1"/>
          <w:bCs w:val="1"/>
          <w:color w:val="auto"/>
        </w:rPr>
        <w:t xml:space="preserve">Andrew W. Mathias </w:t>
      </w:r>
      <w:r>
        <w:rPr>
          <w:rFonts w:ascii="Arial" w:cs="Arial" w:eastAsia="Arial" w:hAnsi="Arial"/>
          <w:sz w:val="16"/>
          <w:szCs w:val="16"/>
          <w:color w:val="auto"/>
        </w:rPr>
        <w:t>has served as our President since April 2007. Mr. Mathias is in charge of our equity and structured finance investments and oversees</w:t>
      </w:r>
      <w:r>
        <w:rPr>
          <w:rFonts w:ascii="Arial" w:cs="Arial" w:eastAsia="Arial" w:hAnsi="Arial"/>
          <w:sz w:val="16"/>
          <w:szCs w:val="16"/>
          <w:b w:val="1"/>
          <w:bCs w:val="1"/>
          <w:color w:val="auto"/>
        </w:rPr>
        <w:t xml:space="preserve"> </w:t>
      </w:r>
      <w:r>
        <w:rPr>
          <w:rFonts w:ascii="Arial" w:cs="Arial" w:eastAsia="Arial" w:hAnsi="Arial"/>
          <w:sz w:val="16"/>
          <w:szCs w:val="16"/>
          <w:color w:val="auto"/>
        </w:rPr>
        <w:t>our acquisitions and dispositions and our joint venture program. Mr. Mathias joined the Company in March 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 Mr. Mathias 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37 years old.</w:t>
      </w:r>
    </w:p>
    <w:p>
      <w:pPr>
        <w:spacing w:after="0" w:line="21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James Mead </w:t>
      </w:r>
      <w:r>
        <w:rPr>
          <w:rFonts w:ascii="Arial" w:cs="Arial" w:eastAsia="Arial" w:hAnsi="Arial"/>
          <w:sz w:val="16"/>
          <w:szCs w:val="16"/>
          <w:color w:val="auto"/>
        </w:rPr>
        <w:t>has served as our Chief Financial Officer since November 2010. As Chief Financial Officer Mr. Mead is responsible for our finance,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investor relations and administration. Before joining the Company, from November 2004 to March 2010, Mr. Mead was Executive Vice President and Chief Financial Officer of Strategic Hotels &amp; Resorts, Inc., a high-end hotel REIT with properties in the U.S., Mexico and Europe, where he directed strategic planning in conjunction with the CEO and board of directors of the company and was responsible for debt and equity financing activities, investor relations, accounting, and domestic and international tax. From April 1993 until October 1999 Mr. Mead was at the California-based apartment REIT Irvine Company Apartment Communities, Inc., where in addition to his responsibilities as Chief Financial Officer he was co-head of the company's property management division. Mr. Mead also worked as head of capital markets for The Irvine Company, a 150 year-old California land development company where he directed the initial public offering of Irvine Company Apartment Communities, Inc., an affiliate of The Irvine Company. Mr. Mead previously worked at JP Morgan in investment banking in New York. A graduate of Tulane University, Mr. Mead holds an MBA from the University of Virginia's Colgate Darden School of Business Administration. Mr. Mead is 51 years old.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has served as our Chief Legal Officer since April 2007 and as our General Counsel, Executive Vice President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Levine received a B.A. degree from the University of Vermont and a J.D. degree from Rutgers School of Law, where Mr. Levine was an Editor of the Law Review. Mr. Levine is 52 years old.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Board held six meetings during fiscal year 2010. Each of the directors then in office attended all of the Board meetings held during fiscal year 2010, except that Mr. Burton did not attend one meeting. Messrs. Holliday and Green attended our 2010 annual meeting.</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2"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Jr.,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reviewing our quarterly financial statements prior to the filing of each Quarterly Report on Form 10-Q and annually auditing the effectiveness of our internal control over financial reporting and other procedures. Our Audit Committee held eight meetings during fiscal year 2010. Each of the committee members attended all of the meetings of our Audit Committee held during fiscal year 2010, except that Mr. Burton did not attend one meeting. Additional information regarding the functions performed by our Audit Committee is set forth in the "Audit Committee Report" included in this annual proxy statement.</w:t>
      </w:r>
    </w:p>
    <w:p>
      <w:pPr>
        <w:spacing w:after="0" w:line="175"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Our Compensation Committee consists of John H. Alschuler, Jr. (Chairman), Edwin Thomas Burton, III and John S. Levy,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whom is "independent" within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meaning of the rules of the NYSE. Each member of our Compensation Committee also is a "non-employee director," as defined in Section 16 of the Securities Exchange Act of 1934, as amended. Our Compensation Committee's primary purposes are to determine how the Company's Chief Executive Officer should be compensated; to administer the Company's employee benefit plans and executive compensation programs; to set policies and review management decisions regarding compensation of the Company's senior executives other than its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among cash and equity compensation. 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 concerning executive compensation. Gressle &amp;</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McGinley LLC regularly participates in Compensation Committee meetings. See "Executive Compensation—Compensation Discussion and Analysis." Our Compensation Committee held four meetings during fiscal year 2010. Each of the committee members attended both of the Compensation Committee meetings held during fiscal year 2010, except that Mr. Burton did not attend one meeting.</w:t>
      </w:r>
    </w:p>
    <w:p>
      <w:pPr>
        <w:spacing w:after="0" w:line="19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corporate governance guidelines applicable to the Company. During fiscal year 2010, our Nominating and Corporate Governance Committee nominated one Class I director who was elected at our 2010 annual meeting of stockholders and held two meetings during such fiscal year. Each of the committee members, other than Mr. Hatkoff, who began serving on the Nominating and Corporate Governance Committee in January 2011, attended both of the Nominating and Corporate Governance Committee meetings held during fiscal year 2010, except that Mr. Burton did not attend one meeting.</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Subject to the supervision and oversight of the Board, our Executive Committee, which consists of Stephen L. Green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Marc Holliday and John H. Alschuler, Jr., is responsible for, among other things, the approval of the acquisition, disposition and financing of investments by us; the authorization of the execution of certain contracts and agreements, including those relating to the borrowing of money by us; and the exercise, in general, of all other powers of the Board, except for such powers that require action by all directors or the independent directors under our articles of incorporation or bylaws or under applicable law. Our Executive Committee conducted all of its business during fiscal year 2010 by written consent, and held no meetings during such time.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2010. Mr. Hatkoff's service on the Board of Directors and the Nominating and Corporate Governance Committee began in 2011,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accordingly Mr. Hatkoff did not receive any compensation from the Company during the fiscal year ended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Fees Earned 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4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Awards(2)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0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328,611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126,957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4,727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407,184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columns for "Non-Equity Incentive Plan Compensation" and "Change in Pension Value and Nonqualified Deferred Compensation Earnings" have been omitted because they are not applicable.</w:t>
      </w:r>
    </w:p>
    <w:p>
      <w:pPr>
        <w:spacing w:after="0" w:line="146" w:lineRule="exact"/>
        <w:rPr>
          <w:sz w:val="20"/>
          <w:szCs w:val="20"/>
          <w:color w:val="auto"/>
        </w:rPr>
      </w:pPr>
    </w:p>
    <w:p>
      <w:pPr>
        <w:ind w:left="540" w:right="80" w:hanging="532"/>
        <w:spacing w:after="0" w:line="288"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2010 cash compensation and Mr. Alschuler deferred $67,500 of his 2010 cash compensation pursuant to our Non-Employee Directors' Deferral Program. Deferred compensation included annual fees, chairman fees and board and committee meeting fees and is credited in the form of phantom or restricted stock units. Mr. Burton received 1,846 units, Mr. Alschuler received 1,159 units and Mr. Levy received 1,733 units in connection with 2010 cash compensation they elected to defer. Mr. Hatkoff received no compensation from us in 2010.</w:t>
      </w:r>
    </w:p>
    <w:p>
      <w:pPr>
        <w:spacing w:after="0" w:line="83" w:lineRule="exact"/>
        <w:rPr>
          <w:rFonts w:ascii="Arial" w:cs="Arial" w:eastAsia="Arial" w:hAnsi="Arial"/>
          <w:sz w:val="12"/>
          <w:szCs w:val="12"/>
          <w:color w:val="auto"/>
        </w:rPr>
      </w:pPr>
    </w:p>
    <w:p>
      <w:pPr>
        <w:ind w:left="540" w:right="140" w:hanging="532"/>
        <w:spacing w:after="0" w:line="278"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on the date of grant of shares of restricted stock or restricted stock units granted to the directors in 2010, excluding stock units credited in lieu of retainer and meeting fees. The assumptions used to calculate the value of stock awards are set forth under Note 2 of the Notes to Consolidated Financial Statements included in our Annual Report on Form 10-K for the year ended December 31, 2010, which was filed with the SEC on February 28, 2011. At December 31, 2010, the aggregate number of stock awards, including phantom stock units, outstanding was as follows: Mr. Burton—23,102; Mr. Alschuler—13,196; and Mr. Levy—22,368.</w:t>
      </w:r>
    </w:p>
    <w:p>
      <w:pPr>
        <w:spacing w:after="0" w:line="89" w:lineRule="exact"/>
        <w:rPr>
          <w:rFonts w:ascii="Arial" w:cs="Arial" w:eastAsia="Arial" w:hAnsi="Arial"/>
          <w:sz w:val="12"/>
          <w:szCs w:val="12"/>
          <w:color w:val="auto"/>
        </w:rPr>
      </w:pPr>
    </w:p>
    <w:p>
      <w:pPr>
        <w:ind w:left="540" w:right="40" w:hanging="532"/>
        <w:spacing w:after="0" w:line="288"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of option awards granted to the directors in 2010. The assumptions used to calculate the value of stock awards are set forth under Note 2 of the Notes to Consolidated Financial Statements included in our Annual Report on Form 10-K for the year ended December 31, 2010, which was filed with the SEC on February 28, 2011. At December 31, 2010, the aggregate number of option awards outstanding was as follows: Mr. Burton—18,000; Mr. Alschuler—36,000; and Mr. Levy—60,000.</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value of dividends paid in 2010 on the phantom stock units held by each non-employee director.</w:t>
      </w:r>
    </w:p>
    <w:p>
      <w:pPr>
        <w:spacing w:after="0" w:line="20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fiscal year ended December 31, 2010, each non-employee director received an annual fee of $50,000. Each non-employee director also received $1,500 for each meeting of the Board or a committee of the Board that he attended. The annual fee payable to our non-employee directors is payable quarterly, half in restricted stock and half in cash, unless a non-employee director elects to have the director fee paid 100% in stock or elects to defer all or part of the annual fee pursuant to our Independent Directors' Deferral Program as described below. The meeting fees are paid in cash unless a non-employee director elects to defer all or part of the meeting fees pursuant to our Independent Directors' Deferral Program. One of our non-employee directors who resides outside of New York is reimbursed for expenses of attending Board and committee meetings.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$10,000, $7,500 and $5,000, respectively, which are payable in cash unless such Chairman elects to defer all or part of such fee pursuant to our Non-Employee Directors' Deferral Program. In addition, each member of our Audit Committee was entitled to receive a fee of $4,000 per meeting for any special meetings of the Audit Committee held independently of Board meetings. There were no special meetings of the Audit Committee held in 2010. The special meeting fees are paid in cash unless a director elects to defer all or part of the meeting fees pursuant to our Non-Employee Directors' Deferral Program. Each non-employee director is also entitled to an annual grant of options to purchase 6,000 shares of our common stock, which are priced at the close of business on the first business day in the year of grant, all of which vest on the date of grant. In 2010, each non-employee director received a grant of 2,043 shares of restricted stock pursuant to our Amended and Restated 2005 Stock Option and Incentive Plan. In 2011, each non-employee director received a grant of 1,446 shares of restricted stock, which, at the closing price of our common stock on the grant date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January 25, 2011, had an approximate fair market value of $100,000. One third of the shares from each such restricted stock grant vest on each of the first three anniversaries of the grant date, subject to the non-employee director remaining a member of the Board on the vesting date. A non-employee director may elect to defer all or part of the annual stock grant pursuant to our Non-Employee Directors' Deferral Program.</w:t>
      </w:r>
    </w:p>
    <w:p>
      <w:pPr>
        <w:spacing w:after="0" w:line="16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Effective January 1, 2010, John H. Alschuler, Jr. was appointed Lead Independent Director, as described on page 23 under "Board Leadership Structure." In connection with Mr. Alschuler's appointment as Lead Independent Director, Mr. Alschuler is entitled to receive an additional annual retainer of $85,000 payable quarterly, half in cash and half in restricted stock, unless Mr. Alschuler elects to defer all or part of the additional annual retainer pursuant to our Non-Employee Directors' Deferral Program.</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our Non-Employee Directors' Deferral Program, our non-employee directors may elect to defer up to 100% of their annual fee, chairman fees, meeting fees and annual stock grant. Unless otherwise elected by a participant, fees deferred under the program will be credited in the form of phantom stock units. The phantom stock units are convertible into an equal number of shares of our common stock upon such director's termination of service from the Board or a change in control of the Company, as defined by the program. Phantom stock units are credited quarterly to each non-employee director using the closing price of our common stock on the first trading day of the respective quarter. In lieu of paying cash dividends on phantom stock units held by participating non-employee directors, each such director's account is credited for an amount of phantom stock units with a value equal to the dividend otherwise payable in respect of each quarter. The grant relating to any portion of director compensation that currently is paid in stock is made under our Second Amended and Restated 2005 Stock Option and Incentive Plan.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ADVISORY VOTE ON THE COMPENSATION OF OUR NAMED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accordance with the Dodd-Frank Wall Street Reform and Consumer Protection Act of 2010, our stockholders have the opportunity to vote to approve, on an advisory and non-binding basis, the compensation of our named executive officers. Our executive compensation programs are described in detail in this proxy statement in the section titled "Compensation Discussion and Analysis" and the accompanying tables beginning on page 25. These programs are designed to attract and retain talented individuals who possess the skills and expertise necessary to lead the Company.</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Compensation Committee regularly reviews all elements of the compensation paid to our named executive officers. The Compensation Committee believes that the Company's present compensation programs, as presented in the Compensation Discussion and Analysis section and the accompanying tables and related narrative disclosure in this proxy statement, promote in the best manner possible our business objectives while aligning the interests of the named executive officers with our stockholders to ensure continued positive financial results and that our industry-leading results support this conclusion. The Company has continued to deliver positive long-term results to our stockholders, despite the broad economic downturn of the last several years, and remains among the leaders in the REIT industry for total return to stockholders over the last decade, with the Company's total return to stockholders of approximately 250% for the ten-year period through 2010 significantly outperforming the MSCI REIT Index return of approximately 175% over the same time period. The compensation programs for our named executives are a key ingredient in motivating our executives to continue to deliver such results.</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affirmative vote of a majority of all the votes cast at the Annual Meeting at which a quorum is present will be required to approve, on an advisory basis, the compensation of our named executive officers. The results of this advisory vote are not binding on the Compensation Committee, the Company or our Board of Directors. Nevertheless, the Board of Directors values input from our stockholders and will consider carefully the results of this vote when making future decisions concerning executive compensation.</w:t>
      </w:r>
    </w:p>
    <w:p>
      <w:pPr>
        <w:spacing w:after="0" w:line="191" w:lineRule="exact"/>
        <w:rPr>
          <w:sz w:val="20"/>
          <w:szCs w:val="20"/>
          <w:color w:val="auto"/>
        </w:rPr>
      </w:pPr>
    </w:p>
    <w:p>
      <w:pPr>
        <w:ind w:right="760" w:firstLine="351"/>
        <w:spacing w:after="0" w:line="339" w:lineRule="auto"/>
        <w:rPr>
          <w:sz w:val="20"/>
          <w:szCs w:val="20"/>
          <w:color w:val="auto"/>
        </w:rPr>
      </w:pPr>
      <w:r>
        <w:rPr>
          <w:rFonts w:ascii="Arial" w:cs="Arial" w:eastAsia="Arial" w:hAnsi="Arial"/>
          <w:sz w:val="16"/>
          <w:szCs w:val="16"/>
          <w:b w:val="1"/>
          <w:bCs w:val="1"/>
          <w:color w:val="auto"/>
        </w:rPr>
        <w:t>The Board unanimously recommends a vote "FOR" the approval of the compensation of our named executive officers, as disclosed in the Compensation Discussion and Analysis section and the accompanying compensation tables in this Proxy Statement.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PROPOSAL 3: ADVISORY VOTE ON THE FREQUENCY OF STOCKHOLDER ADVISORY VOTES ON THE COMPENSATION OF OUR NAMED EXECUTIVE OFFICERS</w:t>
      </w:r>
    </w:p>
    <w:p>
      <w:pPr>
        <w:spacing w:after="0" w:line="180"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Our stockholders also have the opportunity to vote on the frequency of future stockholder advisory votes on the compensation of our named executive officers, such as Proposal 2 included in this proxy statement. By voting on this Proposal 3, stockholders may recommend whether future advisory votes on executive compensation should be conducted every "one year," "two years" or "three years."</w:t>
      </w:r>
    </w:p>
    <w:p>
      <w:pPr>
        <w:spacing w:after="0" w:line="16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After consideration of this Proposal, the Compensation Committee and the Board of Directors have determined that a vote on the compensation of our named executive officers every three years is in the best interests of the Company. The Board of Directors historically has emphasized long-term strategic planning for the Company and the Compensation Committee has fashioned executive compensation programs that place a greater emphasis on the attainment of long-term growth objectives than on short-term success. An advisory vote every three years is consistent with this long-term growth strategy and also will provide the Company with adequate time to engage stockholders to better understand vote results when considering changes to the Company's executive compensation programs.</w:t>
      </w:r>
    </w:p>
    <w:p>
      <w:pPr>
        <w:spacing w:after="0" w:line="19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selection of "one year", "two years" or "three years" that receives a majority of all the votes cast at the Annual Meeting at which a quorum is present will indicate the stockholders' preference for the frequency of future votes on the compensation of our named executive officers and the Board of Directors encourages this input from the stockholders. In the event that no option receives a majority of the votes cast, we will consider the option that receives the most votes to be the option selected by stockholders. Although this advisory vote on the frequency of future "say on pay" votes is non-binding, the Board of Directors and the Compensation Committee will take into account the outcome of the vote when considering the frequency of future advisory votes on executive compensation.</w:t>
      </w:r>
    </w:p>
    <w:p>
      <w:pPr>
        <w:spacing w:after="0" w:line="148"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"Three Years" as the frequency for future non-binding advisory votes on the compensation of our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4: RATIFICATION OF APPOINTMENT OF INDEPENDENT REGISTERED PUBLIC ACCOUNTING FIRM</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2011, subject to ratification by our stockholders.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2011 annual meeting. If the stockholders fail to ratify the appointment of Ernst &amp; Young LLP, the Audit Committee will reconsider the matter, taking into consideration the stockholder vote on the ratification and the advisability of appointing a new independent registered public accounting firm prior to the completion of the 2011 audit and may decide to retain Ernst &amp; Young LLP notwithstanding the vote.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all of the votes cast at the annual meeting at which a quorum is present is required for the ratification of the appointment of Ernst &amp;</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Young LLP as our independent registered public accounting firm for the fiscal year ending December 31, 2011. We will treat abstentions as shares that are present and entitled to vote for purposes of determining the presence or absence of a quorum. Abstentions do not constitute a vote "for," "against" or "withheld" and will not be counted as "votes cast". Therefore, abstentions will have no effect on this proposal, assuming a quorum is present.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$3,029,613 in fiscal year 2010 and $2,665,626 in fiscal year 2009. Audit fees include fees associated with our annual audit and the reviews of our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Fees for audit-related services totaled approximately $83,000 in 2010 and $91,250 in 2009. The audit-related services principally include fees for operating expense audits and agreed-upon procedures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2010 or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all other services not included above in 2010 or in 2009.</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Audit Committee must pre-approve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approved by our Audit Committee pursuant to this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All services provided by Ernst &amp; Young LLP in 2010 were pre-approved by our Audit Committee. Our Audit Committee may delegate to one or more of its members who is an independent director the authority to grant pre-approvals.</w:t>
      </w:r>
    </w:p>
    <w:p>
      <w:pPr>
        <w:spacing w:after="0" w:line="166"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our independent registered public accounting firm.</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report of the Audit Committee of the Board regarding the responsibilities and functions of our Audit Committee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2010 with management, including a discussion of the quality, not just the acceptability, of the accounting principles, the reasonableness of significant judgments and the clarity of disclosures in the financial statements.</w:t>
      </w:r>
    </w:p>
    <w:p>
      <w:pPr>
        <w:spacing w:after="0" w:line="198"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U.S., their judgments as to the quality, not just the acceptability, of our accounting principles and such other matters as are required to be discussed with the Audit Committee under Statement on Auditing Standards No. 61, as adopted by the Public Company Accounting Oversight Board in Rule 3200T.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2010 for filing with the SEC.</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also has determined that our Audit Committee has at least one "audit committee financial expert," as defined in Item 401(h) of Securities and Exchange Commission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Our Audit Committee held nine meetings during fiscal year 2010 (including sessions with only non-management directors attending after certain of these meetings). The members of our Audit Committee are not engaged professionally in the practice of auditing or accounting.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(U.S.), that the financial statements are presented in accordance with accounting principles generally accepted in the U.S. or that our registered public accounting firm is in fact "independent."</w:t>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Corporate Governance Guidelines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corporate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Board has adopted Corporate Governance Guidelines that address significant issues of corporate governance and set forth procedures by which the Board carries out its responsibilities. Among the areas addressed by the Corporate Governance Guidelines are categorical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among other things, for assessing and periodically reviewing the adequacy of the Corporate Governance Guidelines and will recommend, as appropriate, proposed changes to the Board.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Corporate Governance Guidelines provide that a majority of our directors serving on the Board must be independent as required by the listing standards of the NYSE and the applicable rules promulgated by the SEC. In addition, the Board has adopted categorical director independence standards that assist the Board in making its determinations with respect to the independence of directors.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John S. Levy and Craig M. Hatkoff. The Board has determined that Messrs. Green and Holliday, our two other directors, are not independent because they are also executive officers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Board has adopted a Code of Ethics that applies to our directors, executive officers and employees. The Code of Ethics is designed to assist our directors, executive officers and employees in complying with law,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and harassment and health and safety.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has determined that Edwin T. Burton, III is our "audit committee financial expert," as defined in Item 401(h) of SEC Regulation S-K, and that he is "independent," as that term is used in Item 7(d)(3)(iv) of Schedule 14A under the Securities Exchange Act of 1934, as amended. Mr. Burton has agreed to serve as our audit committee financial expert.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Messrs. Holliday and Green attended the annual meeting of stockholders held on June 15, 2010.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On March 9, 2011, our Nominating and Corporate Governance Committee adopted a written policy on the criteria and process of identifying and reviewing director candidates.</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the experience of other Board members, the candidate's industry knowledge and experience, the ability of a nominee to devote sufficient time to the affairs of the Company, any actual or potential 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20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should follow the procedures outlined under "Stockholder Proposals" in this proxy statement and should provide the reasons supporting a candidate's recommendation, the candidate's qualifications and the candidate's written consent to being considered as a director nominee. No director candidates were recommended by our stockholders for election at the 2011 annual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In accordance with the Corporate Governance Guidelines, the non-management directors serving on the Board generally meet in an executive session after each regularly scheduled meeting of the Audit Committee without the presence of any directors or other persons who are part of our management. The executive sessions are regularly chaired by the chair of the Board committee (other than the Executive Committee) having jurisdiction over the particular subject matter to be discussed at the particular session or portion of a session.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members are aware that should be considered for disclosure in our public SEC filings. Our Disclosure Committee reports to our Chief Executive Officer and Chief Financial Officer.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Board has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right="200" w:firstLine="341"/>
        <w:spacing w:after="0" w:line="298" w:lineRule="auto"/>
        <w:rPr>
          <w:sz w:val="20"/>
          <w:szCs w:val="20"/>
          <w:color w:val="auto"/>
        </w:rPr>
      </w:pPr>
      <w:r>
        <w:rPr>
          <w:rFonts w:ascii="Arial" w:cs="Arial" w:eastAsia="Arial" w:hAnsi="Arial"/>
          <w:sz w:val="16"/>
          <w:szCs w:val="16"/>
          <w:color w:val="auto"/>
        </w:rPr>
        <w:t>As noted above, our Board currently is comprised of four independent and two employee directors. Mr. Green has served as Chairman of the Board since 1997 and serves as an executive officer, working in conjunction with Mr. Holliday, our Chief Executive Officer. The Board has appointed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suppliers, customers and other stakeholders that the Company is under strong leadership, coordinated closely between a separate Chief Executive Officer and Chairman of the Board. In our judgment, the Company, like many U.S. companies, has been well-served by this leadership structure.</w:t>
      </w:r>
    </w:p>
    <w:p>
      <w:pPr>
        <w:spacing w:after="0" w:line="16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To facilitate the role of the Independent Directors, the Board has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conducts an annual evaluation in order to determine whether it and its committees are functioning effectively. The annual evaluation includes the independent directors meeting separately with outside counsel to review the effectiveness of and to discuss possible improvements to the Company's corporate governance practices. As part of this annual self-evaluation, the Board evaluates whether the current leadership structure continues to be optimal for the Company and its stockholders. Our Corporate Governance Guidelines provide the flexibility for our Board to modify or continue our leadership structure in the future, as it deems appropriate.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the Compensation Committee considers the risks to the Company's stockholders and to achievement of our goals that may be inherent in the Company's compensation program.</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31"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Board has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2010 fiscal year, as well as the other individuals included in the "Summary Compensation Table" on page 41, are referred to as the "named executive officers," or our "executives."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2010, macroeconomic conditions began to show signs of sustainable improvement, with GDP growth turning positive for the first full year since the onset of the global economic downturn in late 2007 and labor markets demonstrating early indications of recovering after nearly two years of prolonged layoffs throughout various sectors of the economy. The global and domestic public equity markets continued their positive performance in 2010, although annual market returns decreased from 2009 levels. However, despite improving economic conditions, 2010 continued to represent a challenging business environment, marked by persisting high unemployment levels, continuing caution demonstrated by consumers and businesses alike on spending, and ballooning budget deficits at the municipal, state and federal level. Notwithstanding the economic environment, we achieved several important goals in 2010, including (i) attaining an annual total return to stockholders ("TRS") of approximately 35%, which placed us in the upper quintile of our peer group and significantly outperformed the MSCI US REIT Index and S&amp;P 500 return of approximately 28% and 15%, respectively, for 2010, (ii) executing leases in 2010 totaling approximately 2.3 million of office square footage and attaining, as of December 31, 2010, a Manhattan combined same store occupancy rate of 94.8% and an occupancy rate of 87.3% for our Suburban portfolio, (iii) successfully raising approximately $345 million via the issuance of exchangeable senior notes by our operating partnership in October 2010, (iv) continuing execution of a prudent risk- and debt- management strategy and (v) attaining full-year funds from operations ("FFO") of $5.00 per diluted share before transaction related costs, representing an approximate 13% increase in FFO per share from 2009 levels. In keeping with our strong pay-for-performance policy, the following actions were taken during fiscal year 2010 or shortly after the end of fiscal year 2010:</w:t>
      </w:r>
    </w:p>
    <w:p>
      <w:pPr>
        <w:spacing w:after="0" w:line="188" w:lineRule="exact"/>
        <w:rPr>
          <w:sz w:val="20"/>
          <w:szCs w:val="20"/>
          <w:color w:val="auto"/>
        </w:rPr>
      </w:pPr>
    </w:p>
    <w:p>
      <w:pPr>
        <w:ind w:left="1080" w:right="18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2010 cash bonuses were awarded by the Compensation Committee to our named executive officers in amounts ranging from approximately two percent above 2009 levels for our Chief Executive officer to generally eight percent to ten percent above 2009 levels for our other named executive officers. The Compensation Committee determined such moderate increases were prudent and appropriate yet adequate to reward management for its industry-beating TRS performance and strong fundamental operating performance.</w:t>
      </w:r>
    </w:p>
    <w:p>
      <w:pPr>
        <w:spacing w:after="0" w:line="193" w:lineRule="exact"/>
        <w:rPr>
          <w:rFonts w:ascii="Arial" w:cs="Arial" w:eastAsia="Arial" w:hAnsi="Arial"/>
          <w:sz w:val="16"/>
          <w:szCs w:val="16"/>
          <w:color w:val="auto"/>
        </w:rPr>
      </w:pPr>
    </w:p>
    <w:p>
      <w:pPr>
        <w:ind w:left="1080" w:right="14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direct compensation for 2010 was paid to our named executive officers in amounts ranging from slightly below 2009 levels with respect to our Chief Executive Officer and our Chairman to slightly above 2009 levels with respect to our President and our Chief Legal Officer. Further, 2010 total direct compensation for such individuals remained approximately 30% to 45% below our 2007 peak total direct compensation levels, which was prior to the recent global economic downturn.</w:t>
      </w:r>
    </w:p>
    <w:p>
      <w:pPr>
        <w:spacing w:after="0" w:line="210"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2010, as part of our Compensation Committee's monitoring and review of evolving "best practices," as part of the execution of new employment agreements with our Chairman,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90" w:lineRule="auto"/>
        <w:rPr>
          <w:sz w:val="20"/>
          <w:szCs w:val="20"/>
          <w:color w:val="auto"/>
        </w:rPr>
      </w:pPr>
      <w:r>
        <w:rPr>
          <w:rFonts w:ascii="Arial" w:cs="Arial" w:eastAsia="Arial" w:hAnsi="Arial"/>
          <w:sz w:val="16"/>
          <w:szCs w:val="16"/>
          <w:color w:val="auto"/>
        </w:rPr>
        <w:t>President, our Chief Financial Officer and our Chief Legal Officer, we eliminated all excise tax gross-up provisions in executive employment agreements with respect to payments and benefits received in connection with a change in control, and additionally modified the conditions under which such payments and benefits would be paid in connection with a change in control from a single trigger to a double trigger. We previously had instituted such modifications in the employment agreement with our Chief Executive Officer that was executed in December 2009, and with the new employment agreements executed in 2010, all of our current employment agreements entered into with our named executive officers exclude excise tax gross-up provisions with respect to payments and benefits received in connection with a change in control. Those agreements further stipulate that such payments and benefits payable in connection with a change in control be subject to a double trigger.</w:t>
      </w:r>
    </w:p>
    <w:p>
      <w:pPr>
        <w:spacing w:after="0" w:line="186" w:lineRule="exact"/>
        <w:rPr>
          <w:sz w:val="20"/>
          <w:szCs w:val="20"/>
          <w:color w:val="auto"/>
        </w:rPr>
      </w:pPr>
    </w:p>
    <w:p>
      <w:pPr>
        <w:ind w:left="1080" w:right="4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2010, we sold 19 West 44th Street and our partnership interest in 1221 Avenue of the Americas for total consideration of approximately $700.6 million. We recognized gains of approximately $152.3 million on the sales of these properties, which gains were not reflected in our funds from operations. The net proceeds of these sales were reinvested in a tax-efficient manner in connection with new acquisitions.</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June 2010, after stockholders approved an increase in capacity of the Second Amended and Restated Stock Option and Incentive Plan ("Amended 2005 Plan"), we finalized the issuance of awards under the 2010 Notional Unit Long-Term Compensation Program ("2010 Notional Unit Plan"). Under the terms of the 2010 Notional Unit Plan, participants have the opportunity to earn equity awards if and only if designated share appreciation targets are achieved over a three-year performance period and so long as the participants remain employees of the Company for a three to five year period, thus creating further alignment of management and stockholder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has adopted an executive compensation philosophy designed to achieve the following objectives:</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attract and retain leadership talent in a market that is highly competitive for New York City commercial real estate management talent; and</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achieve an appropriate balance between risk and reward in our compensation programs that does not incentivize unnecessary or excessive risk taking.</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order to reach these goals, our Compensation Committee, in consultation with our Chief Executive Officer and independent compensation consultant, has adopted executive compensation practices that follow a pay-for-performance philosophy. Our primary business objective of maximizing TRS through growth in funds from operations ("FFO") while seeking appreciation in the value of our investment properties demands a long-term focus. Our executive compensation programs, therefore, both currently and historically, have been based heavily on the achievement of both annual and multi-year performance measures.</w:t>
      </w:r>
    </w:p>
    <w:p>
      <w:pPr>
        <w:spacing w:after="0" w:line="167"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substantial portion of the named executive officers' compensation has been provided in the form of equity subject to significant back-ended vesting requirements. These equity incentives were designed in order to (i) ensure that management maintains a long-term focus that serves the best interests of stockholders and (ii) attract, retain and motivate an experienced and talented executive management team in the highly competitive New York City commercial real estate market.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 xml:space="preserve">Our Compensation Committee determines compensation for our named executive officers and is comprised of our three independent directors, John H. Alschuler, Jr. (Chairman), Edwin Thomas Burton, III and John S. Levy. Our Compensation Committee exercises independent discretion in respect of executive compensation matters and administers our equity incentive programs, including reviewing and approving equity grants to our executives pursuant to our Amended 2005 Plan. Our Compensation Committee operates under a written charter adopted by the Board, a copy of which is available on our website at </w:t>
      </w:r>
      <w:r>
        <w:rPr>
          <w:rFonts w:ascii="Arial" w:cs="Arial" w:eastAsia="Arial" w:hAnsi="Arial"/>
          <w:sz w:val="18"/>
          <w:szCs w:val="18"/>
          <w:i w:val="1"/>
          <w:iCs w:val="1"/>
          <w:color w:val="auto"/>
        </w:rPr>
        <w:t>http://www.slgreen.com</w:t>
      </w:r>
      <w:r>
        <w:rPr>
          <w:rFonts w:ascii="Arial" w:cs="Arial" w:eastAsia="Arial" w:hAnsi="Arial"/>
          <w:sz w:val="18"/>
          <w:szCs w:val="18"/>
          <w:color w:val="auto"/>
        </w:rPr>
        <w:t>.</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recommendations concerning executive compensation. Gressle &amp; McGinley LLC regularly participates in Compensation Committee meetings. Our Compensation Committee has the authority to replace Gressle &amp; McGinley LLC as its independent outside compensation consultant or hire additional consultants at any time. Gressle &amp; McGinley LLC does not provide any additional services either to our Compensation Committee or otherwise to the Company.</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or equity. Our Chairman also advises our Compensation Committee on these matters as they pertain to the compensation of our Chief Executive Officer. The Company's advisor, the real estate advisory practice of FTI Consulting, Inc., provides market data to the Chief Executive Officer and Chairman, which they review when considering the above described compensation recommendations. The recommendations with respect to compensation are formulated by our Chief Executive Officer and Chairman and are communicated to our Compensation Committee by them. The Compensation Committee is also provided with the market data compiled by the Company's advisor. The other named executive officers do not play a role in determining their own compensation, other than discussing their performance with our Chief Executive Officer. In analyzing these recommendations, our Compensation Committee also reviews materials and data provided by the Committee's independent consulting firm, Gressle &amp; McGinley LLC, as well as the analysis and recommendations provided by that firm. In making compensation decisions, our Compensation Committee considers the cash compensation and the after-tax value of stock that vested during the fiscal year. The ultimate determination of total compensation and the elements that comprise that total compensation is made solely by our Compensation Committee.</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Compensation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2010, the Compensation Committee reviewed then-existing policies of Institutional Shareholder Services, Inc., Glass Lewis and other governance groups. The Compensation Committee periodically reviews our executive compensation policies and practices to ensure that such policies are in line with current market practices. Our Compensation Committee makes regular reports to the Board.</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named executive officers' compensation and performance for 2010 was evaluated on both an absolute basis and by reference to a "peer group" that was selected based upon the following characteristics: (i) industry sector/business model; (ii) equity market capitalization; (iii) peer group continuity from year to year; (iv) peer group utilized for performance review; and (v) geographic location. However, peer groups are used only as a point of reference; our Compensation Committee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does not specifically target a percentile or range of percentiles when determining executive compensation. Further, the Compensation Committee does not determine compensation formulaically based on the attainment of pre-determined performance hurdles (other than performance-based share grants and awards earned under our Outperformance Plans and 2010 Notional Unit Plan, as described in detail below), but rather the Committee retains discretion to set compensation at levels it deems appropriate based on Company and individual performance and prevailing market practices. Depending upon the Company's business and individual performance results, a named executive officer's total direct compensation may be within, below or above the market range for that position. The peer group for named executive officer compensation consisted of the following 14 REITs: Alexandria Real Estate Equities, Inc.; AMB Property Corporation; Boston Properties, Inc.; Brandywine Realty Trust; Corporate Office Properties Trust Inc.; Douglas Emmett, Inc.; Duke Realty Corporation; iStar Financial Inc.; Kilroy Realty Corporation; Lexington Realty Trust; Liberty Property Trust; Mack-Cali Realty Corporation; ProLogis; and Vornado Realty Trust. The Compensation Committee annually evaluates the composition of the executive compensation peer group and for 2010 determined to utilize the same peer group as in 2009.</w:t>
      </w:r>
    </w:p>
    <w:p>
      <w:pPr>
        <w:spacing w:after="0" w:line="177" w:lineRule="exact"/>
        <w:rPr>
          <w:sz w:val="20"/>
          <w:szCs w:val="20"/>
          <w:color w:val="auto"/>
        </w:rPr>
      </w:pPr>
    </w:p>
    <w:p>
      <w:pPr>
        <w:ind w:right="120" w:firstLine="341"/>
        <w:spacing w:after="0" w:line="288" w:lineRule="auto"/>
        <w:rPr>
          <w:sz w:val="20"/>
          <w:szCs w:val="20"/>
          <w:color w:val="auto"/>
        </w:rPr>
      </w:pPr>
      <w:r>
        <w:rPr>
          <w:rFonts w:ascii="Arial" w:cs="Arial" w:eastAsia="Arial" w:hAnsi="Arial"/>
          <w:sz w:val="16"/>
          <w:szCs w:val="16"/>
          <w:color w:val="auto"/>
        </w:rPr>
        <w:t>Additionally, in order to be more exhaustive and evaluate a broader scope of information in connection with the compensation of our Chief Executive Officer, a selective chief executive officer peer group was utilized as a reference point by our Compensation Committee for 2010, which consisted of the following 11 companies: Annaly Mortgage Management, Inc.; Boston Properties, Inc.; Developers Diversified Realty Corporation; HCP, Inc.; Health Care REIT, Inc.; iStar Financial; NorthStar Realty Finance Corporation; ProLogis; Starwood Hotels &amp; Resorts Worldwide, Inc.; Ventas, Inc.; and Vornado Realty Trust. During fiscal year 2010, the composition of the selective chief executive officer peer group was re-evaluated and CapitalSource, Inc., Healthcare Property Investors, Kilroy Realty Corporation, Maguire Properties, Inc., and Public Storage, Inc., companies that formed part of the 2009 peer group, were removed and were replaced for 2010 with Developers Diversified Realty Corporation, HCP, Inc., Health Care REIT, Inc., ProLogis and Ventas, Inc. The Compensation Committee determined to make the foregoing modifications in 2010 to the selective peer group in order to ensure the peer group continued to be comprised of real estate companies with compensation programs for their chief executive officers that were comparable with those of the Company.</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Further, consistent with prior years, our Compensation Committee recognized that our primary peer group contained an insufficient number of executive chairmen and therefore, in order to be more exhaustive and evaluate a broader scope of information in connection with the compensation of our Executive Chairman, a selective chairman peer group was also utilized as a reference point for 2010 that was comprised of executives who function exclusively as chairman and not as chief executive officer. For 2010, the selective chairman peer group consisted of the following 13 companies: Ashford Hospitality Trust, Inc.; Boston Properties, Inc.; Digital Realty Trust, Inc.; Douglas Emmett, Inc.; DuPont Fabros Technology, Inc.; Hersha Hospitality Trust; Host Hotels &amp; Resorts, Inc.; Lexington Realty Trust; RAIT Financial Trust; Sunstone Hotel Investors, Inc.; Vornado Realty Trust; W.P. Carey &amp; Co. LLC; and Weingarten Realty Investors. During fiscal year 2010, in order to ensure that this peer group continued to represent a broad scope of REITs with executives who function exclusively as chairman and not as chief executive officer, the peer group was re-evaluated and, as a result, DuPont Fabros Technology, Inc., RAIT Financial Trust, Sunstone Hotel Investors, Inc. and Vornado Realty Trust were added to the peer group.</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i w:val="1"/>
          <w:iCs w:val="1"/>
          <w:color w:val="auto"/>
        </w:rPr>
        <w:t xml:space="preserve">Analysis of Risk Associated with Our Executive Compensation Plans. </w:t>
      </w:r>
      <w:r>
        <w:rPr>
          <w:rFonts w:ascii="Arial" w:cs="Arial" w:eastAsia="Arial" w:hAnsi="Arial"/>
          <w:sz w:val="18"/>
          <w:szCs w:val="18"/>
          <w:color w:val="auto"/>
        </w:rPr>
        <w:t>In setting compensation, our Compensation Committee also considers the risks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and to achievement of our goals that may be inherent in the compensation program. At the direction of our Compensation Committee, our Board conducted a risk assessment of our compensation programs, including our executive compensation programs. The Compensation Committee and its compensation consultant, Gressle &amp; McGinley LLC, reviewed and discussed the findings of this assessment and concluded that our compensation programs are designed with the appropriate balance of risk and reward in relation to our overall business strategy and do not encourage executives to take unnecessary or excessive risks.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a significant portion of our executive's compensation is performance- 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08" w:lineRule="exact"/>
        <w:rPr>
          <w:sz w:val="20"/>
          <w:szCs w:val="20"/>
          <w:color w:val="auto"/>
        </w:rPr>
      </w:pPr>
    </w:p>
    <w:p>
      <w:pPr>
        <w:ind w:left="108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evaluate performance based upon the achievement of a variety of business objectives and goals including, without limitation, strength of our balance sheet, FFO growth, occupancy and leasing rates, TRS performance and completion of successful debt and equity offerings, that we believe correlate to long-term creation of stockholder value and that are affected by management decisions;</w:t>
      </w:r>
    </w:p>
    <w:p>
      <w:pPr>
        <w:spacing w:after="0" w:line="187" w:lineRule="exact"/>
        <w:rPr>
          <w:rFonts w:ascii="Arial" w:cs="Arial" w:eastAsia="Arial" w:hAnsi="Arial"/>
          <w:sz w:val="16"/>
          <w:szCs w:val="16"/>
          <w:color w:val="auto"/>
        </w:rPr>
      </w:pPr>
    </w:p>
    <w:p>
      <w:pPr>
        <w:ind w:left="1080" w:right="32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material component of our equity compensation mix is restricted stock, which, when compared to stock options or other market-based performance equity compensation vehicles, retains value even in a depressed market and thus provides executives with a baseline of value that lessens the likelihood that executives will take unreasonable risks to keep their options or other market-based performance vehicles "in-the-money";</w:t>
      </w:r>
    </w:p>
    <w:p>
      <w:pPr>
        <w:spacing w:after="0" w:line="21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provide a significant portion of long-term incentive compensation in the form of Long-Term Incentive Awards, such as awards that may be earned under the 2010 Notional Unit Plan. The amounts ultimately earned under these awards are tied to how we perform over a three-to-five-year period, which focuses management on sustaining our long-term performance;</w:t>
      </w:r>
    </w:p>
    <w:p>
      <w:pPr>
        <w:spacing w:after="0" w:line="207" w:lineRule="exact"/>
        <w:rPr>
          <w:rFonts w:ascii="Arial" w:cs="Arial" w:eastAsia="Arial" w:hAnsi="Arial"/>
          <w:sz w:val="18"/>
          <w:szCs w:val="18"/>
          <w:color w:val="auto"/>
        </w:rPr>
      </w:pPr>
    </w:p>
    <w:p>
      <w:pPr>
        <w:ind w:left="1080" w:right="9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Structuring payouts under our performance-based awards so long as a minimum level of performance has been achieved, so that some compensation results at levels below full target achievement rather than an "all-or-nothing" approach;</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Consideration of non-financial and other qualitative performance factors in determining actual compensation payouts;</w:t>
      </w:r>
    </w:p>
    <w:p>
      <w:pPr>
        <w:spacing w:after="0" w:line="238" w:lineRule="exact"/>
        <w:rPr>
          <w:rFonts w:ascii="Arial" w:cs="Arial" w:eastAsia="Arial" w:hAnsi="Arial"/>
          <w:sz w:val="18"/>
          <w:szCs w:val="18"/>
          <w:color w:val="auto"/>
        </w:rPr>
      </w:pPr>
    </w:p>
    <w:p>
      <w:pPr>
        <w:jc w:val="both"/>
        <w:ind w:left="1080" w:right="240" w:hanging="532"/>
        <w:spacing w:after="0" w:line="370"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Through providing a significant portion of each executive's annual compensation in the form of stock-based compensation, our executives have built sizable holdings of equity in the Company, which aligns an appropriate portion of their personal wealth to our long-term performance; and</w:t>
      </w:r>
    </w:p>
    <w:p>
      <w:pPr>
        <w:spacing w:after="0" w:line="129" w:lineRule="exact"/>
        <w:rPr>
          <w:rFonts w:ascii="Arial" w:cs="Arial" w:eastAsia="Arial" w:hAnsi="Arial"/>
          <w:sz w:val="15"/>
          <w:szCs w:val="15"/>
          <w:color w:val="auto"/>
        </w:rPr>
      </w:pPr>
    </w:p>
    <w:p>
      <w:pPr>
        <w:ind w:left="1080" w:right="1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39"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In sum, our executive compensation program is structured so that (i) we avoid the type of disproportionately large short-term incentives that could encourage executives to take risks that may not be in the Company's long-term interests, (ii) we provide incentives to manage the Company for long-term performance,</w:t>
      </w:r>
    </w:p>
    <w:p>
      <w:pPr>
        <w:ind w:firstLine="8"/>
        <w:spacing w:after="0" w:line="361" w:lineRule="auto"/>
        <w:tabs>
          <w:tab w:leader="none" w:pos="3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have adopted a policy for recoupment of incentive payments under certain circumstances and (iv) a considerable amount of the wealth of our executives is tied to the long-term success of the Company. We believe this combination of factors encourages our executives to manage the Company in a prudent manner.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Designed to Reward</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noted above, our Compensation Committee has designed our executive compensation program to achieve the following objectives: (i) to provide performance-based incentives to align management and stockholder interests and (ii) to attract and retain leadership talent in the New York City real estate market that is highly competitive and is comprised of other publicly-traded REITs, private real estate operating companies, opportunity funds and sovereign wealth funds, among others, while (iii) ensuring that our executive compensation programs do not encourage unnecessary or excessive risk taking.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performance against other office REITs and against the REIT industry generally. Comparative performance is an important metric since market conditions may affect the ability to meet specific performance criteria. Historically, our Compensation Committee has structured our compensation program so that half or more of the total compensation provided to our named executive officers has been provided in the form of equity incentive compensation based on the superior long-term performance of the Company. Our equity awards have taken the form of incentive awards under our 2006 Outperformance Plan, 2005 Outperformance Plan and 2003 Outperformance Plan (collectively, our "Outperformance Plans"), our 2010 Notional Unit Plan and our restricted stock and option grants under our Amended 2005 Plan. The remainder of the incentive award is paid in cash. To address our retention objective, a substantial portion of long-term performance-based awards have time-based vesting requirements with significant back-end vesting after the award has been earned.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long-term equity incentives, which include restricted stock awards, stock options and long-term performance unit awards, which may be granted pursuant to an employment agreement, our Amended 2005 Plan, our Outperformance Plans and our 2010 Notional Unit Plan.</w:t>
      </w:r>
    </w:p>
    <w:p>
      <w:pPr>
        <w:spacing w:after="0" w:line="13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overall levels of compensation as well as the allocation between these elements are determined by our Compensation Committee based upon an analysis of the Company's performance during the year. Historically, our compensation has been divided among base salary, cash bonus payments, stock options and restricted stock grants, and multi-year awards under our Outperformance Plans and our 2010 Notional Unit Plan. Restricted share grants and awards under our Outperformance Plans and the 2010 Notional Unit Plan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the aforementioned elements of our compensation program that currently are applicable to each of our named executive officers, at year-end 2009 and in 2010, in connection with new employment agreements for Messrs. Holliday, Green and Mathias, the Company entered into deferred compensation agreements with Messrs. Holliday, Green and Mathias. Under the terms of the agreements, beginning in 2010, Mr. Holliday received an annual contribution during each year of his employment agreement in the form of deferred notional stock units with a grant date value equal to $450,000. In 2010, in connection with the automatic renewal of his previous employment agreement, Mr. Green received a one-time contribution of deferred notional stock units with a grant date value equal to $150,000, and beginning in 2011, in connection with his new employment agreement, Mr. Green will receive an annual contribution during each year of his employment agreement or deferred notional stock units with a grant date value equal to $150,000. Beginning in 2011, in connection with his new employment agreement, Mr. Mathias will receive an annual contribution during each year of his employment agreement of deferred notional stock units with a grant date value of $350,000. Upon a qualifying separation from service, Messrs. Holliday, Green and Mathias will receive a lump-sum cash payment equal to the value of deferred notional units based on the Company's ten-trading day trailing average stock price on the date of separation. By tying the value of the deferred notional units to the future value of the Company, the deferred compensation program further aids in establishing alignment of management and stockholder interests and ensuring the executives remain focused on long-term stockholder value creation. See "Potential Payments Upon Termination or Change-in-Control" on page 47 for additional details concerning the deferred compensation agreements.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We Chose Each Element and How Each Element Fits into Our Overall Compensation Objectives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i w:val="1"/>
          <w:iCs w:val="1"/>
          <w:color w:val="auto"/>
        </w:rPr>
        <w:t xml:space="preserve">Annual Base Salary. </w:t>
      </w:r>
      <w:r>
        <w:rPr>
          <w:rFonts w:ascii="Arial" w:cs="Arial" w:eastAsia="Arial" w:hAnsi="Arial"/>
          <w:sz w:val="16"/>
          <w:szCs w:val="16"/>
          <w:color w:val="auto"/>
        </w:rPr>
        <w:t>Our Compensation Committee has determined that the Company should provide our named executive officers' annual base salaries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them for services rendered during the fiscal year. The base salaries for our named executive officers have historically been near the median of those in the peer group. We intentionally structure an executive's annual base salary to be a relatively low percentage of total compensation. In 2010, the base salary levels for Messrs. Holliday, Mathias and Levine were increased to $725,000, $750,000 and $450,000, respectively, while Mr. Mead's base salary was established at $500,000 per annum upon commencement of his employment. There was no change to Mr. Green's base salary level in 2010.</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Annual incentive awards are provided in the form of cash bonuses and equity awards designed to focus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on achieving key corporate financial objectives (both individually and Company- based), to motivate certain desired individual behaviors and to reward substantial achievement of these objectives and individual goals. While the Compensation Committee does not set specific fixed targets that entitle the executive officers to formulaic bonuses, the named executive officers are made aware, at the beginning of the year, of the business objectives and goals the Committee will consider when evaluating corporate and individual performance and determining annual incentive awards. For 2010, similar to prior years, the Compensation Committee considered the following performance criteria, among others, in its determination of annual incentive awards:</w:t>
      </w:r>
    </w:p>
    <w:p>
      <w:pPr>
        <w:spacing w:after="0" w:line="18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return to stockholders, both on an absolute basis and relative to the performance of the peer group and the REIT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Leasing performance and occupancy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markets performance and maintenance of a strong balance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same store net operating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Funds from operations, both on an absolute basis and relative to the performance of the peer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and achievement of strategic goals, including expense control and adherence to an annual budget;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Tenant satisfaction performance relative to local and national markets.</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evaluation of 2010 performance and determination of 2010 annual incentive awards is consistent with the Committee's historical practice of linking pay to performance in a non-formulaic manner, thereby providing the Committee the discretion it feels is necessary in order to take into account changing market conditions. For a discussion of 2010 annual incentive payments, see "Measuring 2010 Performance."</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Long-term equity incentives have been provided to our named executive officers through the grant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stock options and performance awards pursuant to our Amended 2005 Plan, our Outperformance Plans and our 2010 Notional Unit Plan. The grant of equity awards links a named executive officer's compensation and net worth directly to the performance of our stock price. This encourages our named executive officers to make decisions with an ownership mentality. The vesting provisions of these equity awards (generally three to five years) are designed with significant back-end vesting, to act as a retention device and provide a strong incentive to the executives to increase stockholder value long after they performed the services for which the equity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awards were initially granted. The awards also contain forfeiture provisions, which result in immediate cancellation of the award if the executive voluntarily leaves or is terminated with cause. For a discussion of these awards, see "Employment and Noncompetition Agreements."</w:t>
      </w:r>
    </w:p>
    <w:p>
      <w:pPr>
        <w:spacing w:after="0" w:line="13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Equity awards under our prior Outperformance Plans were designed to compensate our named executive officers upon the attainment of certain goals with respect to TRS and to provide an incentive for executives to remain with the Company and focus on long-term stockholder value creation. Under our Outperformance Plans, the executives had the opportunity to earn restricted stock, LTIP Units or other equity-based awards contingent upon the extent to which, if at all, our TRS exceeded a threshold of 10% per annum over a three- or four-year performance period (or earlier upon achieving performance levels that trigger certain acceleration provisions). Upon the achievement of the designated performance thresholds, awards earned under our Outperformance Plans further included time-based vesting requirements following the achievement of the performance thresholds. This created, in the aggregate, up to a seven-year retention period with respect to our executives who are participants in our Outperformance Plans. Even after achieving the performance thresholds, during the remaining three or four years until full vesting, the named executive officers continue to bear the same share price and total return risk as our stockholders. TRS goals have been attained under our 2003 and 2005 Outperformance Plans; accordingly, awards under the 2003 and 2005 Outperformance Plans have been earned and as of year-end 2010 have fully vested.</w:t>
      </w:r>
    </w:p>
    <w:p>
      <w:pPr>
        <w:spacing w:after="0" w:line="177"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Equity awards under our 2010 Notional Unit Plan are designed to compensate our named executive officers upon the attainment of designated stock price appreciation targets over a three-year performance period and to provide an incentive for executives to remain with the Company and focus on long-term stockholder value creation. Under our 2010 Notional Unit Plan, the executives may earn LTIP Units in our operating partnership, or LTIP Units, contingent upon the achievement of stock price appreciation targets at levels ranging from 25% at the minimum to 50% at the maximum of stock appreciation over a three-year performance period; provided that a portion of such awards may be earned after the first and second years of the performance period contingent upon the achievement of the maximum stock appreciation of 50% for 45 consecutive days. Upon achievement of the designated stock price appreciation thresholds, awards that may be earned under the 2010 Notional Unit Plan will not exceed an aggregate of $75 million, determined at the time of achievement against the stock price appreciation targets. Following such performance period, the date on which such awards have been earned or deemed earned will be subject to two years of additional, time-based vesting requirements. This creates, in the aggregate, up to a five-year retention period with respect to our executives who are participants in the 2010 Notional Unit Plan. See "SL Green Realty Corp. 2010 Notional Unit Plan" on page 46 for additional details concerning the 2010 Notional Unit Plan.</w:t>
      </w:r>
    </w:p>
    <w:p>
      <w:pPr>
        <w:spacing w:after="0" w:line="163"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awards made to our named executive officers under the 2010 Notional Unit Plan provide a useful illustration of the Compensation Committee's philosophy of aligning the interests of management with those of our stockholders, as well as the effect of back-ended vesting requirements included in the various long-term equity awards in ensuring management remains focused on long-term value creation. Under the terms of the 2010 Notional Unit Plan, which includes a three-year performance period and two additional years of time-based vesting requirements, a pro-rata portion of awards under the program may be earned after the first and second years of the performance period contingent upon the achievement of the maximum stock appreciation of 50% for 45 consecutive days. At year-end 2010, as a result of the Company's superior performance and industry-beating stock appreciation of over 56% during the first year of the performance period of the program, a pro-rata portion, or $25 million, of awards under the 2010 Notional Unit Plan were earned. However, such awards remain subject to time-based vesting requirements, with 50% of such awards vesting on January 1, 2013 and an additional 25% vesting on each January 1 of 2014 and 2015. Accordingly, the ultimate value realized by our named executive officers with respect to the pro-rata portion of awards that have been earned will be fully dependent on the price of our stock on such future vesting dates. This additional time-based vesting component further creates shoulder-to-shoulder alignment of management and stockholder interests and ensures that our named executive officers remain focused on long-term stockholder value creation. Additionally, two-thirds of the potential awards that may be earned under the 2010 Notional Unit Plan continue to be at-risk and subject to the attainment of stock price appreciation thresholds.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structure of our 2010 Notional Unit Plan and our Outperformance Plans ties a large portion of a named executive officer's compensation to creation of stockholder value on a long-term basis. As discussed above with respect to the 2005 Outperformance Plan, even after reaching TRS targets, the back-ended vesting feature of the awards creates a strong alignment between management and stockholders and provides our executives with a very strong economic incentive to continue their employment with the Company and maximize our stock price.</w:t>
      </w:r>
    </w:p>
    <w:p>
      <w:pPr>
        <w:spacing w:after="0" w:line="16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stock options are priced in accordance with the terms of our Amended 2005 Plan and are based on the price of our common stock at the close of business on the day prior to the date of grant or, in the case of certain options issued to newly hired employees, on the price of our common stock at the close of business on such employee's first day of employment.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Recent Changes in Equity Compensation Practices. </w:t>
      </w:r>
      <w:r>
        <w:rPr>
          <w:rFonts w:ascii="Arial" w:cs="Arial" w:eastAsia="Arial" w:hAnsi="Arial"/>
          <w:sz w:val="16"/>
          <w:szCs w:val="16"/>
          <w:color w:val="auto"/>
        </w:rPr>
        <w:t>Historically, the employment agreements with our named executive officers have included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gross-up payments relating to restricted stock awards and certain other equity awards. These tax payments were primarily awarded in connection with the vesting of restricted stock in order to avoid requiring the named executive officers to sell shares of our common stock to satisfy withholding obligations, and were generally equal to 40% of the total value of the shares that were vesting on the applicable date. The Compensation Committee took into consideration the value of these tax gross-ups when determining the level of compensation paid to our named executive officers. In connection with its ongoing monitoring and review of "best practices" relating to executive compensation, including policies announced by Institutional Shareholder Services, Inc., Glass Lewis and other governance groups, our Compensation Committee determined to discontinue the inclusion of income tax gross-up provisions in restricted stock awards granted after December 31, 2008. This discontinuation does not apply to previously awarded restricted stock grants, including awards granted on or prior to December 31, 2008, under which we are contractually obligated to make such income tax gross-up payments.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Further, our performance-based equity awards have historically provided for dividend payments prior to vesting. In early 2009, in connection with its periodic review of our executive compensation practices, the Compensation Committee discontinued, on a prospective basis, the practice of paying dividends on performance-based equity awards prior to achieving the performance criteria. Dividends on performance-based awards accrue and are paid to the executives if and when the performance metrics are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evidenced by examining our executive compensation programs over the past several years, the executive compensation philosophy adopted by our Compensation Committee demonstrates a pay-for-performance culture that ensures the alignment of management and stockholder interests. Our named executive officers were paid well relative to their peers during times of industry-leading performance (</w:t>
      </w:r>
      <w:r>
        <w:rPr>
          <w:rFonts w:ascii="Arial" w:cs="Arial" w:eastAsia="Arial" w:hAnsi="Arial"/>
          <w:sz w:val="16"/>
          <w:szCs w:val="16"/>
          <w:i w:val="1"/>
          <w:iCs w:val="1"/>
          <w:color w:val="auto"/>
        </w:rPr>
        <w:t>e.g.</w:t>
      </w:r>
      <w:r>
        <w:rPr>
          <w:rFonts w:ascii="Arial" w:cs="Arial" w:eastAsia="Arial" w:hAnsi="Arial"/>
          <w:sz w:val="16"/>
          <w:szCs w:val="16"/>
          <w:color w:val="auto"/>
        </w:rPr>
        <w:t>, 2006-2007), yet during the recent period of economic challenges (</w:t>
      </w:r>
      <w:r>
        <w:rPr>
          <w:rFonts w:ascii="Arial" w:cs="Arial" w:eastAsia="Arial" w:hAnsi="Arial"/>
          <w:sz w:val="16"/>
          <w:szCs w:val="16"/>
          <w:i w:val="1"/>
          <w:iCs w:val="1"/>
          <w:color w:val="auto"/>
        </w:rPr>
        <w:t>e.g.</w:t>
      </w:r>
      <w:r>
        <w:rPr>
          <w:rFonts w:ascii="Arial" w:cs="Arial" w:eastAsia="Arial" w:hAnsi="Arial"/>
          <w:sz w:val="16"/>
          <w:szCs w:val="16"/>
          <w:color w:val="auto"/>
        </w:rPr>
        <w:t>, 2008-2010), their aggregate compensation was substantially lower than in those peak years and they experienced what our Compensation Committee believes was a comparatively larger decrease in compensation relative to our peer group.</w:t>
      </w:r>
    </w:p>
    <w:p>
      <w:pPr>
        <w:spacing w:after="0" w:line="170"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Additionally, as further discussed below, while we continued to demonstrate sound fundamental operating performance in 2010 and once again attained TRS performance in the upper echelon of our peer group and well above industry levels, compensation determined by our Compensation Committee for 2010 resulted in total direct compensation levels for our named executive officers of modestly below to modestly above 2009 levels. The Compensation Committee determined that keeping total direct compensation levels for 2010 relatively unchanged over 2009 was appropriate in light of market and economic conditions. It is important to note that 2010 total direct compensation levels for our named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executive officers, while generally consistent with 2009 levels, remain substantially below 2007 and 2006 levels (i.e., prior to the recent global economic downturn).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2010 Performance</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further illustration of our strong pay-for-performance philosophy is evidenced in the manner in which 2010 performance bonuses were determined and the ultimate amounts of these bonuses. As previously discussed, in 2010 macroeconomic conditions began to show signs of sustained improvement, with GDP growth registering its first full year of positive growth since prior to the onset of the global economic downturn in late 2007 and the labor markets showing early indications of recovery after several quarters of material layoffs through various sectors of the economy. However, despite such improvements, challenges in the business and operating climate continued to persist, with unemployment levels remaining at historically-high levels and local economies being negatively impacted by significant cutbacks in state and municipal spending due to budgetary constraints. The New York City metropolitan area was not immune to such challenges, as staffing levels within the financial services industry, which holds a significant presence and role in the local economy, continued to remain well below pre-recessionary levels, while at the same time, the New York City municipal government instituted a series of staff layoffs and spending cutbacks that impacted the state of the local economy. Nevertheless, our sound execution of our asset management and leasing strategy, capital markets and acquisitions strategy and prudent risk and debt management strategy was rewarded by the marketplace in 2010, as represented by our industry-beating TRS performance for the one-year period ended December 31, 2010 of approximately 35%, which outgained the MSCI US REIT Index by approximately 10%. For the ten-year period ended December 31, 2010, our TRS of approximately 250% outperformed the MSCI US REIT Index return by approximately 76%.</w:t>
      </w:r>
    </w:p>
    <w:p>
      <w:pPr>
        <w:spacing w:after="0" w:line="17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Notwithstanding economic conditions, we attained significant market and operational achievements in 2010. Specifically, we achieved the following select milestones in 2010:</w:t>
      </w:r>
    </w:p>
    <w:p>
      <w:pPr>
        <w:spacing w:after="0" w:line="199" w:lineRule="exact"/>
        <w:rPr>
          <w:sz w:val="20"/>
          <w:szCs w:val="20"/>
          <w:color w:val="auto"/>
        </w:rPr>
      </w:pPr>
    </w:p>
    <w:p>
      <w:pPr>
        <w:ind w:left="1080" w:right="2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Achieved an annual TRS of approximately 35% in 2010, which placed us in the upper quintile of the peer group and significantly outperformed the broader REIT industry as represented by the MSCI US REIT Index return of approximately 28% in 2010;</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Demonstrated strong leasing performance across our property portfolio, as evidenced by the execution of leases in 2010 totaling approximately</w:t>
      </w:r>
    </w:p>
    <w:p>
      <w:pPr>
        <w:spacing w:after="0" w:line="38" w:lineRule="exact"/>
        <w:rPr>
          <w:rFonts w:ascii="Arial" w:cs="Arial" w:eastAsia="Arial" w:hAnsi="Arial"/>
          <w:sz w:val="16"/>
          <w:szCs w:val="16"/>
          <w:color w:val="auto"/>
        </w:rPr>
      </w:pP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2.3 million in office square footage and maintaining, as of December 31, 2010, a Manhattan combined same store occupancy rate of 94.8% and an occupancy rate of 87.3% for our Suburban portfolio;</w:t>
      </w:r>
    </w:p>
    <w:p>
      <w:pPr>
        <w:spacing w:after="0" w:line="20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to successfully execute a multi-faceted capital markets strategy that in 2010 included raising approximately $345 million via the issuance of exchangeable senior notes by our operating partnership;</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Sold 19 West 44th Street and our partnership interest in 1221 Avenue of the Americas for total consideration of approximately $700.6 million. We recognized gains of approximately $152.3 million on the sales of these properties, which gains were not reflected in our funds from operations. The net proceeds of these sales were reinvested in a tax-efficient manner in connection with new acquisitions;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Achieved full-year FFO per diluted share growth of approximately 13% over 2009 levels; and</w:t>
      </w:r>
    </w:p>
    <w:p>
      <w:pPr>
        <w:spacing w:after="0" w:line="239" w:lineRule="exact"/>
        <w:rPr>
          <w:rFonts w:ascii="Arial" w:cs="Arial" w:eastAsia="Arial" w:hAnsi="Arial"/>
          <w:sz w:val="18"/>
          <w:szCs w:val="18"/>
          <w:color w:val="auto"/>
        </w:rPr>
      </w:pPr>
    </w:p>
    <w:p>
      <w:pPr>
        <w:ind w:left="1080" w:right="240" w:hanging="532"/>
        <w:spacing w:after="0" w:line="207" w:lineRule="auto"/>
        <w:tabs>
          <w:tab w:leader="none" w:pos="1080" w:val="left"/>
        </w:tabs>
        <w:numPr>
          <w:ilvl w:val="0"/>
          <w:numId w:val="19"/>
        </w:numPr>
        <w:rPr>
          <w:rFonts w:ascii="Arial" w:cs="Arial" w:eastAsia="Arial" w:hAnsi="Arial"/>
          <w:sz w:val="32"/>
          <w:szCs w:val="32"/>
          <w:color w:val="auto"/>
          <w:vertAlign w:val="superscript"/>
        </w:rPr>
      </w:pPr>
      <w:r>
        <w:rPr>
          <w:rFonts w:ascii="Arial" w:cs="Arial" w:eastAsia="Arial" w:hAnsi="Arial"/>
          <w:sz w:val="16"/>
          <w:szCs w:val="16"/>
          <w:color w:val="auto"/>
        </w:rPr>
        <w:t>Attained a tenant satisfaction rating in our core New York City property portfolio of 90%, or approximately 6% above the Kingsley Index</w:t>
      </w:r>
      <w:r>
        <w:rPr>
          <w:rFonts w:ascii="Arial" w:cs="Arial" w:eastAsia="Arial" w:hAnsi="Arial"/>
          <w:sz w:val="27"/>
          <w:szCs w:val="27"/>
          <w:color w:val="auto"/>
          <w:vertAlign w:val="superscript"/>
        </w:rPr>
        <w:t>SM</w:t>
      </w:r>
      <w:r>
        <w:rPr>
          <w:rFonts w:ascii="Arial" w:cs="Arial" w:eastAsia="Arial" w:hAnsi="Arial"/>
          <w:sz w:val="16"/>
          <w:szCs w:val="16"/>
          <w:color w:val="auto"/>
        </w:rPr>
        <w:t>, a leading survey-based performance benchmarking tool in the commercial real estate industry.</w:t>
      </w:r>
    </w:p>
    <w:p>
      <w:pPr>
        <w:spacing w:after="0" w:line="212"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making 2010 year-end bonus decisions, our Compensation Committee sought to find a balance between (i) acknowledging the significant TRS and operational achievements attained by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303" w:lineRule="auto"/>
        <w:rPr>
          <w:sz w:val="20"/>
          <w:szCs w:val="20"/>
          <w:color w:val="auto"/>
        </w:rPr>
      </w:pPr>
      <w:r>
        <w:rPr>
          <w:rFonts w:ascii="Arial" w:cs="Arial" w:eastAsia="Arial" w:hAnsi="Arial"/>
          <w:sz w:val="15"/>
          <w:szCs w:val="15"/>
          <w:color w:val="auto"/>
        </w:rPr>
        <w:t>during the year, as highlighted above, (ii) ensuring that bonus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and</w:t>
      </w:r>
    </w:p>
    <w:p>
      <w:pPr>
        <w:spacing w:after="0" w:line="1" w:lineRule="exact"/>
        <w:rPr>
          <w:sz w:val="20"/>
          <w:szCs w:val="20"/>
          <w:color w:val="auto"/>
        </w:rPr>
      </w:pPr>
    </w:p>
    <w:p>
      <w:pPr>
        <w:ind w:right="80" w:firstLine="8"/>
        <w:spacing w:after="0" w:line="302" w:lineRule="auto"/>
        <w:tabs>
          <w:tab w:leader="none" w:pos="3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continuing to ensure our compensation programs create shoulder-to-shoulder alignment of management and stockholder interests by appropriately rewarding our named executive officers for the attainment of performance achievements that drive long-term value creation. In light of the aforementioned considerations, our Compensation Committee approved the following aggregate 2010 bonuses for the named executive officers:</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2,702,084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3,737,500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Andrew Levine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Mead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2009-2010 Bonuses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percentage changes in 2010 bonuses as compared with bonuses for 2009: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2,702,084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3,737,500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Andrew Levine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875,000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625,000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James Mead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08"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illustrated above, 2010 bonus levels for our named executive officers generally ranged from approximately 2% to 10% above 2009 levels. Preliminary market indications at the time 2010 bonus amounts were being determined suggested that 2010 compensation levels among equity REITs and specifically among our peer group constituents were going to be moderately (and in certain cases materially) higher than 2009 levels. However, while in 2010 the Company continued to demonstrate superior market and operating performance at levels that outperformed the industry, the Compensation Committee determined to generally institute moderate increases in our named executive officers' cash bonuses at levels below anticipated increases in industry and peer group bonus and total compensation levels for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2008-2010 Total Direct Compensation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order to provide our stockholders with an analysis of compensation directly attributable to a calendar year, we are including below, consistent with prior years, a Total Direct Compensation Table. The Total Direct Compensation Table enables a more meaningful year-over-year compensation comparison than the Summary Compensation Table presented on page 41. The Total Direct Compensation Table consists of (i) the actual salary paid for the year, (ii) the annual cash bonus awarded for the year irrespective of when such amounts were ultimately paid and (iii) the annual grant date fair value of annual stock awards awarded for the year irrespective of when such amounts ultimately were granted, paid and/or vested. This table illustrates one of the analyses undertaken by our Compensation Committee in determining each element of our named executive officers' compensation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particular year in light of such executive's performance during the year, and it further demonstrates the correlation between the executive's pay and overall company performance.</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principal differences between the Total Direct Compensation Table and the Summary Compensation Table, as presented on page 41, are that (i) the full-value of equity awards is shown in the year(s) to which such grants relate rather than the year in which such grants were made as reflected in the Summary Compensation Table, and (ii) awards granted under long-term performance programs attributable to multi-year periods for which the ultimate value is presently unknown are excluded, rather than reflected at full grant-date accounting value as reflected in the Summary Compensation Table. Accordingly, the Summary Compensation Table, as presented on page 41, includes the full grant date value of the portion of each executive's allocation in the 2010 Notional Unit Plan awarded in 2010. The grant date value of each executive's allocation in the 2010 Notional Unit Plan has been excluded from the Total Direct Compensation Table, since the 2010 Notional Unit Plan represents a long-term compensation program that provides participants the opportunity to earn equity awards only if designated stock price appreciation thresholds are achieved over a multi-year period beginning on December 1, 2009 and ending on November 30, 2012; accordingly, as such potential awards are not attributed to a singular year nor is the ultimate value of the Plan presently known, such awards have been excluded from the below table.</w:t>
      </w:r>
    </w:p>
    <w:p>
      <w:pPr>
        <w:spacing w:after="0" w:line="177"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Additionally, the Company has historically issued certain compensation awards in connection with the signing of new or materially amended employment agreements. Although the Compensation Committee evaluates such awards in its process of determining annual compensation levels for the named executive officers, as such awards are granted for retention purposes over a multi-year period and are not attributed to service or performance for a particular year, such awards have been excluded from the below table, rather than reflected at full grant-date value in the year they were issued as in the Summary Compensation Table. For a detailed description of equity and cash compensation awards issued in connection with new or materially amended executive employment agreements in 2010, please see the "Potential Payments Upon Termination or Change-in-Control" section below on page 47.</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of Annual</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Total Direct</w:t>
            </w:r>
          </w:p>
        </w:tc>
        <w:tc>
          <w:tcPr>
            <w:tcW w:w="0" w:type="dxa"/>
            <w:vAlign w:val="bottom"/>
          </w:tcPr>
          <w:p>
            <w:pPr>
              <w:spacing w:after="0"/>
              <w:rPr>
                <w:sz w:val="1"/>
                <w:szCs w:val="1"/>
                <w:color w:val="auto"/>
              </w:rPr>
            </w:pPr>
          </w:p>
        </w:tc>
      </w:t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Salary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 Awards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Contributions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Compensation(1)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725,000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715,341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824,446(2)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700" w:type="dxa"/>
            <w:vAlign w:val="bottom"/>
            <w:gridSpan w:val="3"/>
          </w:tcPr>
          <w:p>
            <w:pPr>
              <w:spacing w:after="0"/>
              <w:rPr>
                <w:sz w:val="20"/>
                <w:szCs w:val="20"/>
                <w:color w:val="auto"/>
              </w:rPr>
            </w:pPr>
            <w:r>
              <w:rPr>
                <w:rFonts w:ascii="Arial" w:cs="Arial" w:eastAsia="Arial" w:hAnsi="Arial"/>
                <w:sz w:val="18"/>
                <w:szCs w:val="18"/>
                <w:color w:val="auto"/>
              </w:rPr>
              <w:t>Stephen Green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2,702,084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392,506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3,844,590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854,168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3,954,168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2,659,000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3,259,000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3,737,500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5,630,346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3,562,500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700" w:type="dxa"/>
            <w:vAlign w:val="bottom"/>
            <w:gridSpan w:val="3"/>
          </w:tcPr>
          <w:p>
            <w:pPr>
              <w:spacing w:after="0"/>
              <w:rPr>
                <w:sz w:val="20"/>
                <w:szCs w:val="20"/>
                <w:color w:val="auto"/>
              </w:rPr>
            </w:pPr>
            <w:r>
              <w:rPr>
                <w:rFonts w:ascii="Arial" w:cs="Arial" w:eastAsia="Arial" w:hAnsi="Arial"/>
                <w:sz w:val="18"/>
                <w:szCs w:val="18"/>
                <w:color w:val="auto"/>
              </w:rPr>
              <w:t>Andrew Levine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137,844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1,462,844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1,225,019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943,750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Mead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include the value of certain perquisites, including matching contributions with respect to amounts deferred by our named executive officers under our 401(k) plan or automobile benefits provided to Mr. Green and Mr. Holliday.</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Holliday's 2008 base salary includes a $135,956 catch-up payment in lieu of previous contractual salary increases to which Mr. Holliday was entitled.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While the Total Direct Compensation Table represents compensation earned by our named executive officers for performance and service related to each respective calendar year during the 2008-2010 period and excludes multi-year performance or retention awards not attributable to service or performance for a particular year, as mentioned above, the Compensation Committee does evaluate such multi-year awards in its process of determining annual compensation levels for the named executive officers. In order to provide our stockholders with an analysis of the impact of such multi-year awards on annual compensation levels for our named executive officers, we are further providing the following supplemental table that consists of (i) Total Direct Compensation Levels, as highlighted above, and (ii) the annualized grant date value of multi-year performance and retention awards, including the annualized grant-date values of awards issued under the 2010 Notional Unit Plan and the annualized grant date value of multi-year retention awards issued in connection with the signing of new or materially-amended employment agreements.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Inclusive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Annualized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Total Direct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Value of Multi-</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 Multi-</w:t>
            </w:r>
          </w:p>
        </w:tc>
        <w:tc>
          <w:tcPr>
            <w:tcW w:w="0" w:type="dxa"/>
            <w:vAlign w:val="bottom"/>
          </w:tcPr>
          <w:p>
            <w:pPr>
              <w:spacing w:after="0"/>
              <w:rPr>
                <w:sz w:val="1"/>
                <w:szCs w:val="1"/>
                <w:color w:val="auto"/>
              </w:rPr>
            </w:pPr>
          </w:p>
        </w:tc>
      </w:tr>
      <w:tr>
        <w:trPr>
          <w:trHeight w:val="161"/>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Compensation(1)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Year Awards(2)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6,293,235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6,340,345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5,574,446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00" w:type="dxa"/>
            <w:vAlign w:val="bottom"/>
            <w:gridSpan w:val="4"/>
          </w:tcPr>
          <w:p>
            <w:pPr>
              <w:spacing w:after="0"/>
              <w:rPr>
                <w:sz w:val="20"/>
                <w:szCs w:val="20"/>
                <w:color w:val="auto"/>
              </w:rPr>
            </w:pPr>
            <w:r>
              <w:rPr>
                <w:rFonts w:ascii="Arial" w:cs="Arial" w:eastAsia="Arial" w:hAnsi="Arial"/>
                <w:sz w:val="18"/>
                <w:szCs w:val="18"/>
                <w:color w:val="auto"/>
              </w:rPr>
              <w:t>Stephen L. Green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3,844,590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596,400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4,440,990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3,954,168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3,954,168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3,259,000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3,259,000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8,961,356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5,025,014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7,401,784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00" w:type="dxa"/>
            <w:vAlign w:val="bottom"/>
            <w:gridSpan w:val="4"/>
          </w:tcPr>
          <w:p>
            <w:pPr>
              <w:spacing w:after="0"/>
              <w:rPr>
                <w:sz w:val="20"/>
                <w:szCs w:val="20"/>
                <w:color w:val="auto"/>
              </w:rPr>
            </w:pPr>
            <w:r>
              <w:rPr>
                <w:rFonts w:ascii="Arial" w:cs="Arial" w:eastAsia="Arial" w:hAnsi="Arial"/>
                <w:sz w:val="18"/>
                <w:szCs w:val="18"/>
                <w:color w:val="auto"/>
              </w:rPr>
              <w:t>Andrew Levine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1,462,844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1,199,383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2,662,227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1,225,019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652,447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943,750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652,447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1,596,197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Total Direct Compensation levels as illustrated on pages 35-37.</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(i) annualized grant date value of each executive's allocation in the 2010 Notional Unit Plan and (ii) the annualized grant date value of any retention awards received by our named executive officers in connection with the signing of any new or materially amended 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and our Chief Executive Officer receives certain insurance benefits. The costs of these benefits constitute only a small percentage of the applicable executive's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Our Compensation Committee reviews and considers the tax efficiency of executive compensation as part of its decision-making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IRC generally limits the deductibility of compensation over $1 million to a corporation's named executive officers. The Company is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w:t>
      </w:r>
    </w:p>
    <w:p>
      <w:pPr>
        <w:spacing w:after="0" w:line="170"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i w:val="1"/>
          <w:iCs w:val="1"/>
          <w:color w:val="auto"/>
        </w:rPr>
        <w:t xml:space="preserve">Tax Gross-up Payments. </w:t>
      </w:r>
      <w:r>
        <w:rPr>
          <w:rFonts w:ascii="Arial" w:cs="Arial" w:eastAsia="Arial" w:hAnsi="Arial"/>
          <w:sz w:val="16"/>
          <w:szCs w:val="16"/>
          <w:color w:val="auto"/>
        </w:rPr>
        <w:t>As discussed above, under "Long-Term Equity Incentives," for any equity awards granted after December 31, 2008,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the use of income tax gross-up payments made in connection with the vesting of restricted stock and other equity grants.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Under our 2010 Notional Unit Plan as well our 2005 Outperformance Plan, in lieu of issuing shares of restricted stock, we issued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class of units of limited partnership interest in our operating partnership, which we refer to as LTIP Units.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8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2010 Notional Unit Plan and our 2005 Outperformance Plan. We believe that the use of LTIP Units in these plans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issuance of LTIP Units, as compared to restricted stock. Although we have chosen to use LTIP Units for our 2010 Notional Unit Plan and 2005 Outperformance Plan, we have not chosen to utilize LTIP Units for our other equity awards primarily because we have not viewed the additional economic risk associated with the structure of the LTIP Units as appropriate for our other equity awards, which do not include performance-based vesting hurdles based solely on our total return to stockholders.</w:t>
      </w:r>
    </w:p>
    <w:p>
      <w:pPr>
        <w:spacing w:after="0" w:line="17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i w:val="1"/>
          <w:iCs w:val="1"/>
          <w:color w:val="auto"/>
        </w:rPr>
        <w:t xml:space="preserve">Accounting Treatment. </w:t>
      </w:r>
      <w:r>
        <w:rPr>
          <w:rFonts w:ascii="Arial" w:cs="Arial" w:eastAsia="Arial" w:hAnsi="Arial"/>
          <w:sz w:val="18"/>
          <w:szCs w:val="18"/>
          <w:color w:val="auto"/>
        </w:rPr>
        <w:t>Beginning on January 1, 2003, we began accounting for stock-based payments through our equity incentive plans,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Outperformance Plans, in accordance with the requirements of FASB ASC Topic 718.</w:t>
      </w:r>
    </w:p>
    <w:p>
      <w:pPr>
        <w:spacing w:after="0" w:line="186"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i w:val="1"/>
          <w:iCs w:val="1"/>
          <w:color w:val="auto"/>
        </w:rPr>
        <w:t xml:space="preserve">Funds from Operations (FFO). </w:t>
      </w:r>
      <w:r>
        <w:rPr>
          <w:rFonts w:ascii="Arial" w:cs="Arial" w:eastAsia="Arial" w:hAnsi="Arial"/>
          <w:sz w:val="16"/>
          <w:szCs w:val="16"/>
          <w:color w:val="auto"/>
        </w:rPr>
        <w:t>We compute FFO in accordance with standards established by the National Association of Real Estate Investment Trusts,</w:t>
      </w:r>
      <w:r>
        <w:rPr>
          <w:rFonts w:ascii="Arial" w:cs="Arial" w:eastAsia="Arial" w:hAnsi="Arial"/>
          <w:sz w:val="16"/>
          <w:szCs w:val="16"/>
          <w:i w:val="1"/>
          <w:iCs w:val="1"/>
          <w:color w:val="auto"/>
        </w:rPr>
        <w:t xml:space="preserve"> </w:t>
      </w:r>
      <w:r>
        <w:rPr>
          <w:rFonts w:ascii="Arial" w:cs="Arial" w:eastAsia="Arial" w:hAnsi="Arial"/>
          <w:sz w:val="16"/>
          <w:szCs w:val="16"/>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GAAP), excluding gains (or losses) from debt restructuring and sales of properties,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No Material Adverse Effect. </w:t>
      </w:r>
      <w:r>
        <w:rPr>
          <w:rFonts w:ascii="Arial" w:cs="Arial" w:eastAsia="Arial" w:hAnsi="Arial"/>
          <w:sz w:val="18"/>
          <w:szCs w:val="18"/>
          <w:color w:val="auto"/>
        </w:rPr>
        <w:t>Based on our analysis of the foregoing, we have concluded that our compensation policies and procedures are not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have a material adverse effect on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Compensation Matters</w:t>
      </w:r>
    </w:p>
    <w:p>
      <w:pPr>
        <w:spacing w:after="0" w:line="225" w:lineRule="exact"/>
        <w:rPr>
          <w:sz w:val="20"/>
          <w:szCs w:val="20"/>
          <w:color w:val="auto"/>
        </w:rPr>
      </w:pPr>
    </w:p>
    <w:p>
      <w:pPr>
        <w:jc w:val="both"/>
        <w:ind w:right="220" w:firstLine="351"/>
        <w:spacing w:after="0" w:line="294" w:lineRule="auto"/>
        <w:rPr>
          <w:sz w:val="20"/>
          <w:szCs w:val="20"/>
          <w:color w:val="auto"/>
        </w:rPr>
      </w:pPr>
      <w:r>
        <w:rPr>
          <w:rFonts w:ascii="Arial" w:cs="Arial" w:eastAsia="Arial" w:hAnsi="Arial"/>
          <w:sz w:val="16"/>
          <w:szCs w:val="16"/>
          <w:color w:val="auto"/>
        </w:rPr>
        <w:t>Similar to prior years, in 2011 the named executive officers will have the opportunity to earn annual incentive awards in the form of annual discretionary bonuses generally paid either in cash or stock based on the achievement of corporate financial objectives and individual performance. While the Compensation Committee has not established any specific fixed targets that would entitle the named executive officers to formulaic bonuses, the Committee has informed the named executive officers of several business objectives and goals the Committee will consider when evaluating corporate and individual performance for 2011 and determining annual incentive awards. For 2011, the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Committee has informed the named executive officers that it will evaluate the following performance criteria, among others, as part of its determination of 2011 bonuses:</w:t>
      </w:r>
    </w:p>
    <w:p>
      <w:pPr>
        <w:spacing w:after="0" w:line="199" w:lineRule="exact"/>
        <w:rPr>
          <w:sz w:val="20"/>
          <w:szCs w:val="20"/>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Leasing performance, with the objective of signing leases covering over 1.7 million square feet of office space and achieving a mark-to-market on new leases within our New York City office portfolio of -5% to 5%;</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occupancy levels within our same-store combined New York City office portfolio to above 95%;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Achieving positive same store NOI growth for New York City office portfolio and generating over $160 million in cash available for distribution;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Asset management performance, including the redevelopment of Tower 45 and property improvements to 180 Broadway;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approximately $400 million or more of new investment activity;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Adherence to annual fiscal operating budget objectives;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return to stockholders, both on an absolute basis and relative to the performance of the peer group and the REIT industry, with the objective of finishing in the top quartile of our peer group.</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the Compensation Committee will consider the above criteria, among others, as part of its 2011 performance evaluation process when it determines annual cash bonuses or equity awards for 2011, the Committee continues to retain discretion in determining the ultimate amounts, if any, and components of 2011 annual incentive awards and its historical practice of linking pay to performance in a non-formulaic manner. The Compensation Committee believes maintaining discretion in determining annual cash bonuses or equity awards is a prudent practice as it will provide the Committee with necessary flexibility to establish and adjust executive compensation levels based on corporate and individual performance and prevailing market and industry conditions.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2010.</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following table* sets forth information regarding the compensation paid to our Chief Executive Officer, our Chief Financial Officer, our former Chief Operating Officer and Chief Financial Officer and each of our three most highly compensated executive officers, other than our Chief Executive Officer and Chief Financial Officer, whose total compensation exceeded $100,000 during the fiscal year ended December 31, 2010, or collectively, the "named executive officers".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Bonus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Awards(1)(2)</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1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rPr>
              <w:t>Current Officers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 Holliday</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725,000</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5,062,500(4)</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18,989,524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63,327</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24,840,351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715,341</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4,000,000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5,279,408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1,420,202</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11,414,951</w:t>
            </w:r>
          </w:p>
        </w:tc>
        <w:tc>
          <w:tcPr>
            <w:tcW w:w="16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824,446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4,750,000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9,101,335</w:t>
            </w:r>
          </w:p>
        </w:tc>
        <w:tc>
          <w:tcPr>
            <w:tcW w:w="160" w:type="dxa"/>
            <w:vAlign w:val="bottom"/>
            <w:shd w:val="clear" w:color="auto" w:fill="CCEEFF"/>
          </w:tcPr>
          <w:p>
            <w:pPr>
              <w:spacing w:after="0"/>
              <w:rPr>
                <w:sz w:val="18"/>
                <w:szCs w:val="18"/>
                <w:color w:val="auto"/>
              </w:rPr>
            </w:pPr>
          </w:p>
        </w:tc>
      </w:tr>
      <w:tr>
        <w:trPr>
          <w:trHeight w:val="313"/>
        </w:trPr>
        <w:tc>
          <w:tcPr>
            <w:tcW w:w="258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2,702,084</w:t>
            </w:r>
          </w:p>
        </w:tc>
        <w:tc>
          <w:tcPr>
            <w:tcW w:w="240" w:type="dxa"/>
            <w:vAlign w:val="bottom"/>
          </w:tcPr>
          <w:p>
            <w:pPr>
              <w:spacing w:after="0"/>
              <w:rPr>
                <w:sz w:val="24"/>
                <w:szCs w:val="2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1,912,509</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255,662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5,470,255</w:t>
            </w:r>
          </w:p>
        </w:tc>
        <w:tc>
          <w:tcPr>
            <w:tcW w:w="160" w:type="dxa"/>
            <w:vAlign w:val="bottom"/>
          </w:tcPr>
          <w:p>
            <w:pPr>
              <w:spacing w:after="0"/>
              <w:rPr>
                <w:sz w:val="24"/>
                <w:szCs w:val="24"/>
                <w:color w:val="auto"/>
              </w:rPr>
            </w:pPr>
          </w:p>
        </w:tc>
      </w:tr>
      <w:tr>
        <w:trPr>
          <w:trHeight w:val="172"/>
        </w:trPr>
        <w:tc>
          <w:tcPr>
            <w:tcW w:w="2580" w:type="dxa"/>
            <w:vAlign w:val="bottom"/>
            <w:gridSpan w:val="3"/>
          </w:tcPr>
          <w:p>
            <w:pPr>
              <w:spacing w:after="0"/>
              <w:rPr>
                <w:sz w:val="20"/>
                <w:szCs w:val="20"/>
                <w:color w:val="auto"/>
              </w:rPr>
            </w:pPr>
            <w:r>
              <w:rPr>
                <w:rFonts w:ascii="Arial" w:cs="Arial" w:eastAsia="Arial" w:hAnsi="Arial"/>
                <w:sz w:val="14"/>
                <w:szCs w:val="14"/>
                <w:color w:val="auto"/>
              </w:rPr>
              <w:t>Chairman of the Board</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2009</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2,500,000</w:t>
            </w:r>
          </w:p>
        </w:tc>
        <w:tc>
          <w:tcPr>
            <w:tcW w:w="24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2,466,168</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1,087,602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6,653,770</w:t>
            </w:r>
          </w:p>
        </w:tc>
        <w:tc>
          <w:tcPr>
            <w:tcW w:w="1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2,659,000</w:t>
            </w:r>
          </w:p>
        </w:tc>
        <w:tc>
          <w:tcPr>
            <w:tcW w:w="240" w:type="dxa"/>
            <w:vAlign w:val="bottom"/>
          </w:tcPr>
          <w:p>
            <w:pPr>
              <w:spacing w:after="0"/>
              <w:rPr>
                <w:sz w:val="17"/>
                <w:szCs w:val="17"/>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4,182,335</w:t>
            </w:r>
          </w:p>
        </w:tc>
        <w:tc>
          <w:tcPr>
            <w:tcW w:w="16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1,027,173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8,468,508</w:t>
            </w:r>
          </w:p>
        </w:tc>
        <w:tc>
          <w:tcPr>
            <w:tcW w:w="160" w:type="dxa"/>
            <w:vAlign w:val="bottom"/>
          </w:tcPr>
          <w:p>
            <w:pPr>
              <w:spacing w:after="0"/>
              <w:rPr>
                <w:sz w:val="17"/>
                <w:szCs w:val="17"/>
                <w:color w:val="auto"/>
              </w:rPr>
            </w:pPr>
          </w:p>
        </w:tc>
      </w:tr>
      <w:tr>
        <w:trPr>
          <w:trHeight w:val="324"/>
        </w:trPr>
        <w:tc>
          <w:tcPr>
            <w:tcW w:w="20" w:type="dxa"/>
            <w:vAlign w:val="bottom"/>
          </w:tcPr>
          <w:p>
            <w:pPr>
              <w:spacing w:after="0"/>
              <w:rPr>
                <w:sz w:val="24"/>
                <w:szCs w:val="2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3,737,500</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3,334,846</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8,375,075</w:t>
            </w: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3,400,000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3,704,214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926,300</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8,530,514</w:t>
            </w:r>
          </w:p>
        </w:tc>
        <w:tc>
          <w:tcPr>
            <w:tcW w:w="16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3,562,500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1,874,955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6,425,075</w:t>
            </w:r>
          </w:p>
        </w:tc>
        <w:tc>
          <w:tcPr>
            <w:tcW w:w="160" w:type="dxa"/>
            <w:vAlign w:val="bottom"/>
            <w:shd w:val="clear" w:color="auto" w:fill="CCEEFF"/>
          </w:tcPr>
          <w:p>
            <w:pPr>
              <w:spacing w:after="0"/>
              <w:rPr>
                <w:sz w:val="18"/>
                <w:szCs w:val="18"/>
                <w:color w:val="auto"/>
              </w:rPr>
            </w:pPr>
          </w:p>
        </w:tc>
      </w:tr>
      <w:tr>
        <w:trPr>
          <w:trHeight w:val="313"/>
        </w:trPr>
        <w:tc>
          <w:tcPr>
            <w:tcW w:w="258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79,452</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24"/>
                <w:szCs w:val="2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1,891,356</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15,705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2,286,513</w:t>
            </w:r>
          </w:p>
        </w:tc>
        <w:tc>
          <w:tcPr>
            <w:tcW w:w="160" w:type="dxa"/>
            <w:vAlign w:val="bottom"/>
          </w:tcPr>
          <w:p>
            <w:pPr>
              <w:spacing w:after="0"/>
              <w:rPr>
                <w:sz w:val="24"/>
                <w:szCs w:val="24"/>
                <w:color w:val="auto"/>
              </w:rPr>
            </w:pPr>
          </w:p>
        </w:tc>
      </w:tr>
      <w:tr>
        <w:trPr>
          <w:trHeight w:val="172"/>
        </w:trPr>
        <w:tc>
          <w:tcPr>
            <w:tcW w:w="2580" w:type="dxa"/>
            <w:vAlign w:val="bottom"/>
            <w:gridSpan w:val="3"/>
          </w:tcPr>
          <w:p>
            <w:pPr>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324"/>
        </w:trPr>
        <w:tc>
          <w:tcPr>
            <w:tcW w:w="20" w:type="dxa"/>
            <w:vAlign w:val="bottom"/>
          </w:tcPr>
          <w:p>
            <w:pPr>
              <w:spacing w:after="0"/>
              <w:rPr>
                <w:sz w:val="24"/>
                <w:szCs w:val="2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1,075,000</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722,834</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2,258,037</w:t>
            </w: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938,343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191,108</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2,104,451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Counsel</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593,750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312,530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96,789</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1,353,069</w:t>
            </w:r>
          </w:p>
        </w:tc>
        <w:tc>
          <w:tcPr>
            <w:tcW w:w="160" w:type="dxa"/>
            <w:vAlign w:val="bottom"/>
            <w:shd w:val="clear" w:color="auto" w:fill="CCEEFF"/>
          </w:tcPr>
          <w:p>
            <w:pPr>
              <w:spacing w:after="0"/>
              <w:rPr>
                <w:sz w:val="12"/>
                <w:szCs w:val="12"/>
                <w:color w:val="auto"/>
              </w:rPr>
            </w:pPr>
          </w:p>
        </w:tc>
      </w:tr>
      <w:tr>
        <w:trPr>
          <w:trHeight w:val="313"/>
        </w:trPr>
        <w:tc>
          <w:tcPr>
            <w:tcW w:w="2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Former Officer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580" w:type="dxa"/>
            <w:vAlign w:val="bottom"/>
            <w:gridSpan w:val="3"/>
          </w:tcPr>
          <w:p>
            <w:pPr>
              <w:spacing w:after="0" w:line="149" w:lineRule="exact"/>
              <w:rPr>
                <w:sz w:val="20"/>
                <w:szCs w:val="20"/>
                <w:color w:val="auto"/>
              </w:rPr>
            </w:pPr>
            <w:r>
              <w:rPr>
                <w:rFonts w:ascii="Arial" w:cs="Arial" w:eastAsia="Arial" w:hAnsi="Arial"/>
                <w:sz w:val="14"/>
                <w:szCs w:val="14"/>
                <w:color w:val="auto"/>
              </w:rPr>
              <w:t>Gregory F. Hughes</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3,162,811</w:t>
            </w:r>
          </w:p>
        </w:tc>
        <w:tc>
          <w:tcPr>
            <w:tcW w:w="2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2,449,859</w:t>
            </w:r>
          </w:p>
        </w:tc>
        <w:tc>
          <w:tcPr>
            <w:tcW w:w="16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1,095,584</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7,258,254</w:t>
            </w:r>
          </w:p>
        </w:tc>
        <w:tc>
          <w:tcPr>
            <w:tcW w:w="160" w:type="dxa"/>
            <w:vAlign w:val="bottom"/>
          </w:tcPr>
          <w:p>
            <w:pPr>
              <w:spacing w:after="0"/>
              <w:rPr>
                <w:sz w:val="12"/>
                <w:szCs w:val="12"/>
                <w:color w:val="auto"/>
              </w:rPr>
            </w:pPr>
          </w:p>
        </w:tc>
      </w:tr>
      <w:tr>
        <w:trPr>
          <w:trHeight w:val="149"/>
        </w:trPr>
        <w:tc>
          <w:tcPr>
            <w:tcW w:w="2580" w:type="dxa"/>
            <w:vAlign w:val="bottom"/>
            <w:gridSpan w:val="3"/>
          </w:tcPr>
          <w:p>
            <w:pPr>
              <w:spacing w:after="0" w:line="149" w:lineRule="exact"/>
              <w:rPr>
                <w:sz w:val="20"/>
                <w:szCs w:val="20"/>
                <w:color w:val="auto"/>
              </w:rPr>
            </w:pPr>
            <w:r>
              <w:rPr>
                <w:rFonts w:ascii="Arial" w:cs="Arial" w:eastAsia="Arial" w:hAnsi="Arial"/>
                <w:sz w:val="14"/>
                <w:szCs w:val="14"/>
                <w:color w:val="auto"/>
              </w:rPr>
              <w:t>Former Chief Operating Officer and</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2,300,000</w:t>
            </w:r>
          </w:p>
        </w:tc>
        <w:tc>
          <w:tcPr>
            <w:tcW w:w="2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2,737,014</w:t>
            </w:r>
          </w:p>
        </w:tc>
        <w:tc>
          <w:tcPr>
            <w:tcW w:w="16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593,008</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6,130,022</w:t>
            </w: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2,375,000</w:t>
            </w:r>
          </w:p>
        </w:tc>
        <w:tc>
          <w:tcPr>
            <w:tcW w:w="24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1,250,028</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243,651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4,368,679</w:t>
            </w:r>
          </w:p>
        </w:tc>
        <w:tc>
          <w:tcPr>
            <w:tcW w:w="160" w:type="dxa"/>
            <w:vAlign w:val="bottom"/>
          </w:tcPr>
          <w:p>
            <w:pPr>
              <w:spacing w:after="0"/>
              <w:rPr>
                <w:sz w:val="14"/>
                <w:szCs w:val="14"/>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columns for "Non-Equity Incentive Plan Compensation" and "Change in Pension Value and Non-Qualified Deferred Compensation Earnings" have been omitted because they are not applicable.</w:t>
      </w:r>
    </w:p>
    <w:p>
      <w:pPr>
        <w:spacing w:after="0" w:line="112" w:lineRule="exact"/>
        <w:rPr>
          <w:sz w:val="20"/>
          <w:szCs w:val="20"/>
          <w:color w:val="auto"/>
        </w:rPr>
      </w:pPr>
    </w:p>
    <w:p>
      <w:pPr>
        <w:ind w:left="1680" w:hanging="531"/>
        <w:spacing w:after="0" w:line="263" w:lineRule="auto"/>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2010, 2009 and 2008, respectively. In accordance with SEC disclosure requirements, the amounts for 2010 and 2009 include the full grant date fair value of the executives' allocation in the 2010 Notional Unit Plan. The grant date fair value of the notional units is computed in accordance with ASC 718, "Compensation-Stock Compensation" by the use of a Monte Carlo simulation model. This model considers the probable outcomes of the market-based performance conditions governing notional units. The analysis uses an assumed stock price volatility on the Company's common stock, risk-free interest rate, and total dividends over the three-year measurement period. Actual value of the executives' allocation in the Plan, if any, will be contingent upon the attainment of stock price appreciation targets over a three-year performance period ending November 30, 2012 and will be subject to two additional years of time-based vesting. Assuming that maximum performance is achieved under the 2010 Notional Unit Plan, the value of the awards made under the 2010 Notional Unit Plan at the grant date would have been as follows: Mr. Holliday—$6,145,720; Mr. Green—$2,710,947; Mr. Mathias— $4,337,529; Mr. Mead—$1,094,587; Mr. Levine—$1,157,533; and Mr. Hughes—$2,710,947. The assumptions used to calculate the grant date value of stock awards for 2010, 2009 and 2008 are set forth under Note 2 of the Notes to Consolidated Financial Statements included in our Annual Report on Form 10-K for the year ended December 31, 2010, which was filed with the SEC on February 28, 2011, on Form 10-K for the year ended December 31, 2009, which was filed with the SEC on February 16, 2010, and on Form 10-K for the year ended December 31, 2008, which was filed with the SEC on February 27, 2009, respectively.</w:t>
      </w:r>
    </w:p>
    <w:p>
      <w:pPr>
        <w:spacing w:after="0" w:line="103" w:lineRule="exact"/>
        <w:rPr>
          <w:rFonts w:ascii="Arial" w:cs="Arial" w:eastAsia="Arial" w:hAnsi="Arial"/>
          <w:sz w:val="12"/>
          <w:szCs w:val="12"/>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value of stock awards that became vested during 2010, see "—Stock Awards Table—Options Exercises and Stock Vested."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components of this column, which include perquisites, tax gross-ups and severance payments to Mr. Hughes.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Severance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Total "All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4"/>
              </w:rPr>
              <w:t>Tax Gross-Ups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Payments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2010</w:t>
            </w:r>
          </w:p>
        </w:tc>
        <w:tc>
          <w:tcPr>
            <w:tcW w:w="2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37,650(b) $</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25,677</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63,327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Stephen L. Green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229,985(c) $</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25,677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7,350(d) $</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545,379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552,729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James Mead</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15,705(e) $</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7,350(d) $</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Gregory F. Hughes</w:t>
            </w:r>
          </w:p>
        </w:tc>
        <w:tc>
          <w:tcPr>
            <w:tcW w:w="420" w:type="dxa"/>
            <w:vAlign w:val="bottom"/>
          </w:tcPr>
          <w:p>
            <w:pPr>
              <w:jc w:val="right"/>
              <w:spacing w:after="0"/>
              <w:rPr>
                <w:sz w:val="20"/>
                <w:szCs w:val="20"/>
                <w:color w:val="auto"/>
              </w:rPr>
            </w:pPr>
            <w:r>
              <w:rPr>
                <w:rFonts w:ascii="Arial" w:cs="Arial" w:eastAsia="Arial" w:hAnsi="Arial"/>
                <w:sz w:val="14"/>
                <w:szCs w:val="14"/>
                <w:color w:val="auto"/>
              </w:rPr>
              <w:t>2010</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8,084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1,087,500(f) $</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1,095,584</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160" w:hanging="550"/>
        <w:spacing w:after="0" w:line="233" w:lineRule="auto"/>
        <w:tabs>
          <w:tab w:leader="none" w:pos="1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cash payments made with respect to tax payments due upon the vesting of certain restricted stock awards made to the named executive officers. For awards granted on or after January 1, 2009, the Company discontinued its policy of providing income tax gross-ups with respect to vesting restricted stock awards.</w:t>
      </w:r>
    </w:p>
    <w:p>
      <w:pPr>
        <w:spacing w:after="0" w:line="111" w:lineRule="exact"/>
        <w:rPr>
          <w:rFonts w:ascii="Arial" w:cs="Arial" w:eastAsia="Arial" w:hAnsi="Arial"/>
          <w:sz w:val="14"/>
          <w:szCs w:val="14"/>
          <w:color w:val="auto"/>
        </w:rPr>
      </w:pPr>
    </w:p>
    <w:p>
      <w:pPr>
        <w:jc w:val="both"/>
        <w:ind w:left="1160" w:right="560" w:hanging="550"/>
        <w:spacing w:after="0" w:line="233" w:lineRule="auto"/>
        <w:tabs>
          <w:tab w:leader="none" w:pos="1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($7,350), (ii) leased car payments ($20,890) and (iii) life insurance premiums ($9,410).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1160" w:right="120" w:hanging="550"/>
        <w:spacing w:after="0" w:line="233" w:lineRule="auto"/>
        <w:tabs>
          <w:tab w:leader="none" w:pos="1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leased car ($72,851) and full-time driver payments ($157,134). Mr. Green is the only officer in the Company provided with a full-time driver, which allows him to use his time efficiently for business purposes during his travel time, and it is the Company's policy to not provide such perquisite to any officer other than Mr. Green.</w:t>
      </w:r>
    </w:p>
    <w:p>
      <w:pPr>
        <w:spacing w:after="0" w:line="111" w:lineRule="exact"/>
        <w:rPr>
          <w:rFonts w:ascii="Arial" w:cs="Arial" w:eastAsia="Arial" w:hAnsi="Arial"/>
          <w:sz w:val="14"/>
          <w:szCs w:val="14"/>
          <w:color w:val="auto"/>
        </w:rPr>
      </w:pPr>
    </w:p>
    <w:p>
      <w:pPr>
        <w:ind w:left="1160" w:right="340" w:hanging="550"/>
        <w:spacing w:after="0" w:line="318" w:lineRule="auto"/>
        <w:tabs>
          <w:tab w:leader="none" w:pos="11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the Company's matching contributions with respect to amounts earned by the named executive officer under our 401(k) plan. The Company's 401(k) matching contributions are credited in the year subsequent to which employees make their contributions.</w:t>
      </w:r>
    </w:p>
    <w:p>
      <w:pPr>
        <w:spacing w:after="0" w:line="66" w:lineRule="exact"/>
        <w:rPr>
          <w:rFonts w:ascii="Arial" w:cs="Arial" w:eastAsia="Arial" w:hAnsi="Arial"/>
          <w:sz w:val="12"/>
          <w:szCs w:val="12"/>
          <w:color w:val="auto"/>
        </w:rPr>
      </w:pPr>
    </w:p>
    <w:p>
      <w:pPr>
        <w:ind w:left="1160" w:right="180" w:hanging="550"/>
        <w:spacing w:after="0" w:line="239" w:lineRule="auto"/>
        <w:tabs>
          <w:tab w:leader="none" w:pos="1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expense reimbursements ($15,705) relating to certain relocation-related costs incurred by Mr. Mead in 2010 in connection with his relocation to the New York City metropolitan area.</w:t>
      </w:r>
    </w:p>
    <w:p>
      <w:pPr>
        <w:spacing w:after="0" w:line="111" w:lineRule="exact"/>
        <w:rPr>
          <w:rFonts w:ascii="Arial" w:cs="Arial" w:eastAsia="Arial" w:hAnsi="Arial"/>
          <w:sz w:val="14"/>
          <w:szCs w:val="14"/>
          <w:color w:val="auto"/>
        </w:rPr>
      </w:pPr>
    </w:p>
    <w:p>
      <w:pPr>
        <w:ind w:left="1160" w:right="140" w:hanging="550"/>
        <w:spacing w:after="0" w:line="233" w:lineRule="auto"/>
        <w:tabs>
          <w:tab w:leader="none" w:pos="1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Hughes resigned as Chief Operating Officer and Chief Financial Officer of the Company effective November 30, 2010. Severance Payments represent a cash severance payment ($1,067,000) paid to Mr. Hughes upon his resignation and consulting fees ($20,000) paid to Mr. Hughes in December 2010 for continued services he provided to the Company following his resignation.</w:t>
      </w:r>
    </w:p>
    <w:p>
      <w:pPr>
        <w:spacing w:after="0" w:line="179"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Mr. Holliday's 2010 bonus includes a one-time cash bonus payment made to Mr. Holliday in connection with the signing of his new employment agreement in January 2010.</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300" w:space="380"/>
            <w:col w:w="974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Grants of Plan-Based Awards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2010.</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1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1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4"/>
                <w:szCs w:val="4"/>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Plan Awards (#)(1)</w:t>
            </w:r>
          </w:p>
        </w:tc>
        <w:tc>
          <w:tcPr>
            <w:tcW w:w="1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20" w:type="dxa"/>
            <w:vAlign w:val="bottom"/>
            <w:tcBorders>
              <w:bottom w:val="single" w:sz="8" w:color="auto"/>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16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of</w:t>
            </w:r>
          </w:p>
        </w:tc>
        <w:tc>
          <w:tcPr>
            <w:tcW w:w="120" w:type="dxa"/>
            <w:vAlign w:val="bottom"/>
          </w:tcPr>
          <w:p>
            <w:pPr>
              <w:spacing w:after="0"/>
              <w:rPr>
                <w:sz w:val="5"/>
                <w:szCs w:val="5"/>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Threshold</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Equity Awards</w:t>
            </w:r>
          </w:p>
        </w:tc>
        <w:tc>
          <w:tcPr>
            <w:tcW w:w="0" w:type="dxa"/>
            <w:vAlign w:val="bottom"/>
          </w:tcPr>
          <w:p>
            <w:pPr>
              <w:spacing w:after="0"/>
              <w:rPr>
                <w:sz w:val="1"/>
                <w:szCs w:val="1"/>
                <w:color w:val="auto"/>
              </w:rPr>
            </w:pPr>
          </w:p>
        </w:tc>
      </w:tr>
      <w:tr>
        <w:trPr>
          <w:trHeight w:val="16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Approval Date</w:t>
            </w: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01/01/2010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01/01/2010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10,048,000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01/01/2010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01/01/2010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01/18/2010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9,135(4)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06/15/2010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96,343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06/22/2010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06/22/2010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18,056(5)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40" w:type="dxa"/>
            <w:vAlign w:val="bottom"/>
            <w:gridSpan w:val="3"/>
          </w:tcPr>
          <w:p>
            <w:pPr>
              <w:spacing w:after="0"/>
              <w:rPr>
                <w:sz w:val="20"/>
                <w:szCs w:val="20"/>
                <w:color w:val="auto"/>
              </w:rPr>
            </w:pPr>
            <w:r>
              <w:rPr>
                <w:rFonts w:ascii="Arial" w:cs="Arial" w:eastAsia="Arial" w:hAnsi="Arial"/>
                <w:sz w:val="18"/>
                <w:szCs w:val="18"/>
                <w:color w:val="auto"/>
                <w:w w:val="99"/>
              </w:rPr>
              <w:t>Stephen L. Green</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01/01/2010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2,925(6)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06/15/2010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42,498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06/22/2010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06/22/2010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6,713(5)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392,506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06/15/2010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67,997</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06/22/2010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06/22/2010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10,833(5)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09/03/2010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08/30/2010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4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w w:val="86"/>
              </w:rPr>
              <w:t>11/04/2010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11/04/2010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15,000(8)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1,046,250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w w:val="86"/>
              </w:rPr>
              <w:t>11/04/2010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11/04/2010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7,500(9)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448,500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w w:val="86"/>
              </w:rPr>
              <w:t>11/04/2010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11/04/2010</w:t>
            </w:r>
          </w:p>
        </w:tc>
        <w:tc>
          <w:tcPr>
            <w:tcW w:w="16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396,606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Andrew S. Levine</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01/12/2010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01/12/2010</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2,778(10)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06/15/2010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40" w:type="dxa"/>
            <w:vAlign w:val="bottom"/>
            <w:gridSpan w:val="3"/>
          </w:tcPr>
          <w:p>
            <w:pPr>
              <w:spacing w:after="0"/>
              <w:rPr>
                <w:sz w:val="20"/>
                <w:szCs w:val="20"/>
                <w:color w:val="auto"/>
              </w:rPr>
            </w:pPr>
            <w:r>
              <w:rPr>
                <w:rFonts w:ascii="Arial" w:cs="Arial" w:eastAsia="Arial" w:hAnsi="Arial"/>
                <w:sz w:val="18"/>
                <w:szCs w:val="18"/>
                <w:color w:val="auto"/>
                <w:w w:val="92"/>
              </w:rPr>
              <w:t>Gregory F. Hughes</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01/12/2010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01/12/2010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11,944(11) $</w:t>
            </w:r>
          </w:p>
        </w:tc>
        <w:tc>
          <w:tcPr>
            <w:tcW w:w="920" w:type="dxa"/>
            <w:vAlign w:val="bottom"/>
          </w:tcPr>
          <w:p>
            <w:pPr>
              <w:jc w:val="right"/>
              <w:spacing w:after="0"/>
              <w:rPr>
                <w:sz w:val="20"/>
                <w:szCs w:val="20"/>
                <w:color w:val="auto"/>
              </w:rPr>
            </w:pPr>
            <w:r>
              <w:rPr>
                <w:rFonts w:ascii="Arial" w:cs="Arial" w:eastAsia="Arial" w:hAnsi="Arial"/>
                <w:sz w:val="18"/>
                <w:szCs w:val="18"/>
                <w:color w:val="auto"/>
              </w:rPr>
              <w:t>592,661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06/15/2010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42,498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88"/>
              </w:rPr>
              <w:t>09/30/2010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09/08/2010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7,693(12) $</w:t>
            </w:r>
          </w:p>
        </w:tc>
        <w:tc>
          <w:tcPr>
            <w:tcW w:w="920" w:type="dxa"/>
            <w:vAlign w:val="bottom"/>
          </w:tcPr>
          <w:p>
            <w:pPr>
              <w:jc w:val="right"/>
              <w:spacing w:after="0"/>
              <w:rPr>
                <w:sz w:val="20"/>
                <w:szCs w:val="20"/>
                <w:color w:val="auto"/>
              </w:rPr>
            </w:pPr>
            <w:r>
              <w:rPr>
                <w:rFonts w:ascii="Arial" w:cs="Arial" w:eastAsia="Arial" w:hAnsi="Arial"/>
                <w:sz w:val="18"/>
                <w:szCs w:val="18"/>
                <w:color w:val="auto"/>
              </w:rPr>
              <w:t>487,198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40" w:hanging="531"/>
        <w:spacing w:after="0" w:line="265"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awards made under the 2010 Notional Unit Plan. See "SL Green Realty Corp. 2010 Notional Unit Plan" for a description of the terms of the 2010 Notional Unit Plan. The Compensation Committee approved these awards under the 2010 Notional Unit Plan in December 2009, subject to sufficient shares becoming available under the Second Amended and Restated 2005 Stock Option and Incentive Plan prior to the end of the performance period under the 2010 Notional Unit Plan, which is scheduled to occur on November 30, 2012. The grant date for these awards occurred on June 15, 2010, which is the date on which our stockholders approved an amendment to the Second Amended and Restated 2005 Stock Option and Incentive Plan, pursuant to which sufficient shares became available to grant these awards. The "Maximum (#)" column represents the maximum number of LTIP Units that could be earned under the 2010 Notional Unit Plan with respect to the portion of the awards that were granted in 2010 to the named executive officers. The "Target (#)" column represents the number of LTIP Units that would be earned if we achieved the same per year percentage stock price appreciation during the three-year performance period under the 2010 Notional Unit Plan as we did from the plan inception date of December 1, 2009 through year-end 2010. The 2010 Notional Unit Plan awards for Mr. Hughes are based on the 10% plan allocation he had at the time of the June 2010 grant date. In connection with his resignation as Chief Operating Officer and Chief Financial Officer on November 30, 2010, Mr. Hughes forfeited 80% of his interests in the 2010 Notional Unit Plan and currently holds a 2% allocation in the plan.</w:t>
      </w:r>
    </w:p>
    <w:p>
      <w:pPr>
        <w:spacing w:after="0" w:line="96" w:lineRule="exact"/>
        <w:rPr>
          <w:rFonts w:ascii="Arial" w:cs="Arial" w:eastAsia="Arial" w:hAnsi="Arial"/>
          <w:sz w:val="12"/>
          <w:szCs w:val="12"/>
          <w:color w:val="auto"/>
        </w:rPr>
      </w:pPr>
    </w:p>
    <w:p>
      <w:pPr>
        <w:ind w:left="1680" w:right="100" w:hanging="531"/>
        <w:spacing w:after="0" w:line="239"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Holliday's employment agreement, of which two-thirds will vest on January 17, 2012 and one-third will vest on January 17, 2013.</w:t>
      </w:r>
    </w:p>
    <w:p>
      <w:pPr>
        <w:spacing w:after="0" w:line="111" w:lineRule="exact"/>
        <w:rPr>
          <w:rFonts w:ascii="Arial" w:cs="Arial" w:eastAsia="Arial" w:hAnsi="Arial"/>
          <w:sz w:val="14"/>
          <w:szCs w:val="14"/>
          <w:color w:val="auto"/>
        </w:rPr>
      </w:pPr>
    </w:p>
    <w:p>
      <w:pPr>
        <w:ind w:left="1680" w:right="100" w:hanging="531"/>
        <w:spacing w:after="0" w:line="233"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Holliday's employment agreement, of which two-thirds will vest on January 17, 2012 and one-third will vest on January 17, 2013, based on the attainment of specified performance goals during the vesting period. See "—Potential Payments Upon Termination or a Change in Control" for a description of the performance goals.</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notional stock units vested on January 17, 2011,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restricted stock will vest on June 22, 2011.</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notional stock units vested on December 31, 2010,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Mathias' employment agreement and vested immediately upon grant.</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This grant of restricted stock was awarded in connection with Mr. Mead's employment agreement and will vest in three equal annual installments beginning on December 31, 2011.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line="233" w:lineRule="auto"/>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Mead's employment agreement and will vest in three equal annual installments beginning on December 31, 2011, based on the attainment of specified performance goals during the vesting period. See "—Potential Payments Upon Termination or a Change in Control" for a description of the performance goals.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vested on January 12,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vested on September 30,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vested immediately upon grant.</w:t>
      </w:r>
    </w:p>
    <w:p>
      <w:pPr>
        <w:spacing w:after="0" w:line="20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Grants were made pursuant to the Second Amended and Restated 2005 Stock Option and Incentive Plan. The executives are entitled (i) to vote the underlying shares and (ii) to receive any cash dividends on shares of stock (whether or not then subject to restrictions) that have not been forfeited. See "Potential Payments Upon Termination or a Change in Control" below, for a discussion regarding potential acceleration of the restricted shares and a material description of the material terms of each named executive officer's employment agreement.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2010.</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8"/>
              </w:rPr>
              <w:t>Option Awards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Market</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Value of</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80" w:type="dxa"/>
            <w:vAlign w:val="bottom"/>
          </w:tcPr>
          <w:p>
            <w:pPr>
              <w:spacing w:after="0"/>
              <w:rPr>
                <w:sz w:val="4"/>
                <w:szCs w:val="4"/>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or</w:t>
            </w: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4"/>
                <w:szCs w:val="4"/>
                <w:color w:val="auto"/>
              </w:rPr>
            </w:pPr>
          </w:p>
        </w:tc>
        <w:tc>
          <w:tcPr>
            <w:tcW w:w="8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8"/>
                <w:szCs w:val="8"/>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4"/>
                <w:szCs w:val="4"/>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4"/>
                <w:szCs w:val="4"/>
                <w:color w:val="auto"/>
              </w:rPr>
            </w:pPr>
          </w:p>
        </w:tc>
        <w:tc>
          <w:tcPr>
            <w:tcW w:w="8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8"/>
                <w:szCs w:val="8"/>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4"/>
                <w:szCs w:val="4"/>
                <w:color w:val="auto"/>
              </w:rPr>
            </w:pPr>
          </w:p>
        </w:tc>
        <w:tc>
          <w:tcPr>
            <w:tcW w:w="5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80" w:type="dxa"/>
            <w:vAlign w:val="bottom"/>
          </w:tcPr>
          <w:p>
            <w:pPr>
              <w:spacing w:after="0"/>
              <w:rPr>
                <w:sz w:val="4"/>
                <w:szCs w:val="4"/>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That</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Other Rights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8"/>
                <w:szCs w:val="8"/>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4"/>
                <w:szCs w:val="4"/>
                <w:color w:val="auto"/>
              </w:rPr>
            </w:pPr>
          </w:p>
        </w:tc>
        <w:tc>
          <w:tcPr>
            <w:tcW w:w="5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80" w:type="dxa"/>
            <w:vAlign w:val="bottom"/>
          </w:tcPr>
          <w:p>
            <w:pPr>
              <w:spacing w:after="0"/>
              <w:rPr>
                <w:sz w:val="4"/>
                <w:szCs w:val="4"/>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Have Not</w:t>
            </w:r>
          </w:p>
        </w:tc>
        <w:tc>
          <w:tcPr>
            <w:tcW w:w="80" w:type="dxa"/>
            <w:vAlign w:val="bottom"/>
          </w:tcPr>
          <w:p>
            <w:pPr>
              <w:spacing w:after="0"/>
              <w:rPr>
                <w:sz w:val="4"/>
                <w:szCs w:val="4"/>
                <w:color w:val="auto"/>
              </w:rPr>
            </w:pPr>
          </w:p>
        </w:tc>
        <w:tc>
          <w:tcPr>
            <w:tcW w:w="8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5"/>
                <w:szCs w:val="5"/>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5"/>
                <w:szCs w:val="5"/>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Unexercisable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ind w:left="6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312,782(1) $</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21,115,913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203,635(2)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$ 13,747,399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60,000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29.53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11/09/2011</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147,000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28.10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10/10/2012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44,468(3) $</w:t>
            </w:r>
          </w:p>
        </w:tc>
        <w:tc>
          <w:tcPr>
            <w:tcW w:w="680" w:type="dxa"/>
            <w:vAlign w:val="bottom"/>
          </w:tcPr>
          <w:p>
            <w:pPr>
              <w:jc w:val="right"/>
              <w:spacing w:after="0"/>
              <w:rPr>
                <w:sz w:val="20"/>
                <w:szCs w:val="20"/>
                <w:color w:val="auto"/>
              </w:rPr>
            </w:pPr>
            <w:r>
              <w:rPr>
                <w:rFonts w:ascii="Arial" w:cs="Arial" w:eastAsia="Arial" w:hAnsi="Arial"/>
                <w:sz w:val="14"/>
                <w:szCs w:val="14"/>
                <w:color w:val="auto"/>
              </w:rPr>
              <w:t>3,002,035</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45,714(4)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3,086,152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81,075(5)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5,473,373</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82,977(6)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5,601,777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20,021(7) $</w:t>
            </w:r>
          </w:p>
        </w:tc>
        <w:tc>
          <w:tcPr>
            <w:tcW w:w="680" w:type="dxa"/>
            <w:vAlign w:val="bottom"/>
          </w:tcPr>
          <w:p>
            <w:pPr>
              <w:jc w:val="right"/>
              <w:spacing w:after="0"/>
              <w:rPr>
                <w:sz w:val="20"/>
                <w:szCs w:val="20"/>
                <w:color w:val="auto"/>
              </w:rPr>
            </w:pPr>
            <w:r>
              <w:rPr>
                <w:rFonts w:ascii="Arial" w:cs="Arial" w:eastAsia="Arial" w:hAnsi="Arial"/>
                <w:sz w:val="14"/>
                <w:szCs w:val="14"/>
                <w:color w:val="auto"/>
              </w:rPr>
              <w:t>1,351,618</w:t>
            </w:r>
          </w:p>
        </w:tc>
        <w:tc>
          <w:tcPr>
            <w:tcW w:w="16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13,579(8)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916,718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18,899(9)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1,275,871</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19,519(10)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1,317,728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Arial" w:cs="Arial" w:eastAsia="Arial" w:hAnsi="Arial"/>
                <w:sz w:val="14"/>
                <w:szCs w:val="14"/>
                <w:color w:val="auto"/>
                <w:w w:val="97"/>
              </w:rPr>
              <w:t>Gregory F. Hughes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9,141(11) $</w:t>
            </w:r>
          </w:p>
        </w:tc>
        <w:tc>
          <w:tcPr>
            <w:tcW w:w="700" w:type="dxa"/>
            <w:vAlign w:val="bottom"/>
          </w:tcPr>
          <w:p>
            <w:pPr>
              <w:jc w:val="right"/>
              <w:spacing w:after="0"/>
              <w:rPr>
                <w:sz w:val="20"/>
                <w:szCs w:val="20"/>
                <w:color w:val="auto"/>
              </w:rPr>
            </w:pPr>
            <w:r>
              <w:rPr>
                <w:rFonts w:ascii="Arial" w:cs="Arial" w:eastAsia="Arial" w:hAnsi="Arial"/>
                <w:sz w:val="14"/>
                <w:szCs w:val="14"/>
                <w:color w:val="auto"/>
              </w:rPr>
              <w:t>617,109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61"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restricted stock awards granted on: (i) 01/01/2010 for 200,000 shares, of which 133,334 shares vest on 01/17/2012, and 66,666 shares vest on 01/17/2013; and (ii) 06/22/2010 for 18,056 shares which will vest on 06/22/2011. Also includes 85,591 LTIP Units granted under our 2010 Notional Unit Plan, with respect to which the performance-based vesting conditions had been met, but which remained subject to vesting requirements based on continued employment, with 50% scheduled to vest on 01/01/2013 and 25% scheduled to vest on each of 01/01/2014 and 01/01/2015 subject to continued employment through such dates. Also includes 9,135 notional stock units representing the contingent right to receive the value of one share of common stock in accordance with the terms of a deferred compensation agreement. These notional stock units were scheduled to vest on 01/17/2011. Vested notional stock units are settled in cash no later than 30 days following the earliest of (i) Mr. Holliday's death, (ii) the date of</w:t>
      </w:r>
    </w:p>
    <w:p>
      <w:pPr>
        <w:spacing w:after="0" w:line="2"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4"/>
          <w:szCs w:val="14"/>
          <w:color w:val="auto"/>
        </w:rPr>
        <w:t>Mr. Holliday's separation from service with us, and (iii) the effective date of a Change-in-Control (as defined in the deferred compensation agreement).</w:t>
      </w:r>
    </w:p>
    <w:p>
      <w:pPr>
        <w:spacing w:after="0" w:line="110" w:lineRule="exact"/>
        <w:rPr>
          <w:rFonts w:ascii="Arial" w:cs="Arial" w:eastAsia="Arial" w:hAnsi="Arial"/>
          <w:sz w:val="12"/>
          <w:szCs w:val="12"/>
          <w:color w:val="auto"/>
        </w:rPr>
      </w:pPr>
    </w:p>
    <w:p>
      <w:pPr>
        <w:ind w:left="1680" w:right="40" w:hanging="531"/>
        <w:spacing w:after="0" w:line="230"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 restricted stock award of 100,000 shares granted on 01/01/2010, of which 66,666 shares vest on 01/17/2012, and 33,334 shares vest on 01/17/2013, based on the attainment of specified performance goals during the vesting period. Also includes 103,635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112" w:lineRule="exact"/>
        <w:rPr>
          <w:rFonts w:ascii="Arial" w:cs="Arial" w:eastAsia="Arial" w:hAnsi="Arial"/>
          <w:sz w:val="14"/>
          <w:szCs w:val="14"/>
          <w:color w:val="auto"/>
        </w:rPr>
      </w:pPr>
    </w:p>
    <w:p>
      <w:pPr>
        <w:ind w:left="1680" w:right="20" w:hanging="531"/>
        <w:spacing w:after="0" w:line="288"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a restricted stock award of 6,713 shares award granted on 06/22/2010 which will vest on 06/22/2011. Also includes 37,755 LTIP Units granted under our 2010 Notional Unit Plan with respect to which the performance-based vesting conditions had been met, but which remained subject to vesting requirements based on continued employment, with 50% scheduled to vest on 01/01/2013 and 25% scheduled to vest on each of 01/01/2014 and 01/01/2015 subject to continued employment through such 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30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45,714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111" w:lineRule="exact"/>
        <w:rPr>
          <w:rFonts w:ascii="Arial" w:cs="Arial" w:eastAsia="Arial" w:hAnsi="Arial"/>
          <w:sz w:val="14"/>
          <w:szCs w:val="14"/>
          <w:color w:val="auto"/>
        </w:rPr>
      </w:pPr>
    </w:p>
    <w:p>
      <w:pPr>
        <w:ind w:left="1680" w:right="140" w:hanging="531"/>
        <w:spacing w:after="0" w:line="230"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restricted stock awards granted on: (i) 06/01/2007 for 9,834 shares which will vest on 01/01/2011; and (ii) 06/22/2010 for 10,833 shares which will vest on 06/22/2011. Also includes 60,408 LTIP Units granted under our 2010 Notional Unit Plan with respect to which the performance-based vesting conditions had been met, but which remained subject to vesting requirements based on continued employment, with 50% scheduled to vest on 01/01/2013 and 25% scheduled to vest on each of 01/01/2014 and 01/01/2015 subject to continued employment through such dates.</w:t>
      </w:r>
    </w:p>
    <w:p>
      <w:pPr>
        <w:spacing w:after="0" w:line="112" w:lineRule="exact"/>
        <w:rPr>
          <w:rFonts w:ascii="Arial" w:cs="Arial" w:eastAsia="Arial" w:hAnsi="Arial"/>
          <w:sz w:val="14"/>
          <w:szCs w:val="14"/>
          <w:color w:val="auto"/>
        </w:rPr>
      </w:pPr>
    </w:p>
    <w:p>
      <w:pPr>
        <w:ind w:left="1680" w:right="120" w:hanging="531"/>
        <w:spacing w:after="0" w:line="28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the unvested portion of a restricted stock award granted on 06/01/2007, of which 9,834 shares will vest on 01/01/2011 based on the attainment of specified performance goals during the vesting period. Also includes 73,143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83" w:lineRule="exact"/>
        <w:rPr>
          <w:rFonts w:ascii="Arial" w:cs="Arial" w:eastAsia="Arial" w:hAnsi="Arial"/>
          <w:sz w:val="12"/>
          <w:szCs w:val="12"/>
          <w:color w:val="auto"/>
        </w:rPr>
      </w:pPr>
    </w:p>
    <w:p>
      <w:pPr>
        <w:ind w:left="1680" w:hanging="531"/>
        <w:spacing w:after="0" w:line="230"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 restricted stock award of 15,000 shares granted on November 4, 2010, of which 5,000 shares vest on 12/31/2011, 5,000 shares vest on 12/31/2012 and 5,000 shares vest on 12/31/2013. Also includes 5,021 LTIP Units granted under our 2010 Notional Unit Plan with respect to which the performance-based vesting conditions had been met, but which remained subject to vesting requirements based on continued employment, with 50% scheduled to vest on 01/01/2013 and 25% scheduled to vest on each of 01/01/2014 and 01/01/2015 subject to continued employment through such dates.</w:t>
      </w:r>
    </w:p>
    <w:p>
      <w:pPr>
        <w:spacing w:after="0" w:line="112" w:lineRule="exact"/>
        <w:rPr>
          <w:rFonts w:ascii="Arial" w:cs="Arial" w:eastAsia="Arial" w:hAnsi="Arial"/>
          <w:sz w:val="14"/>
          <w:szCs w:val="14"/>
          <w:color w:val="auto"/>
        </w:rPr>
      </w:pPr>
    </w:p>
    <w:p>
      <w:pPr>
        <w:ind w:left="1680" w:right="60" w:hanging="531"/>
        <w:spacing w:after="0" w:line="230"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 restricted stock award of 7,500 shares granted on 11/04/2010, of which 2,500 shares vest on 12/31/2011, 2,500 shares vest on 12/31/2012 and 2,500 shares vest on 12/31/2013, based on the attainment of specified performance goals during the vesting period. Also includes 6,079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112" w:lineRule="exact"/>
        <w:rPr>
          <w:rFonts w:ascii="Arial" w:cs="Arial" w:eastAsia="Arial" w:hAnsi="Arial"/>
          <w:sz w:val="14"/>
          <w:szCs w:val="14"/>
          <w:color w:val="auto"/>
        </w:rPr>
      </w:pPr>
    </w:p>
    <w:p>
      <w:pPr>
        <w:ind w:left="1680" w:right="120" w:hanging="531"/>
        <w:spacing w:after="0" w:line="28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a restricted stock award of 2,778 shares award granted on 01/12/2010 which will vest on 01/12/2011. Also includes 16,121 LTIP Units granted under our 2010 Notional Unit Plan with respect to which performance-based vesting conditions had been met, but which remained subject to vesting requirements based on continued employment, with 50% scheduled to vest on 01/01/2013 and 25% scheduled to vest on each of 01/01/2014 and 01/01/2015 subject to continued employment through such dates.</w:t>
      </w:r>
    </w:p>
    <w:p>
      <w:pPr>
        <w:spacing w:after="0" w:line="83" w:lineRule="exact"/>
        <w:rPr>
          <w:rFonts w:ascii="Arial" w:cs="Arial" w:eastAsia="Arial" w:hAnsi="Arial"/>
          <w:sz w:val="12"/>
          <w:szCs w:val="12"/>
          <w:color w:val="auto"/>
        </w:rPr>
      </w:pPr>
    </w:p>
    <w:p>
      <w:pPr>
        <w:ind w:left="1680" w:right="30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19,519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111" w:lineRule="exact"/>
        <w:rPr>
          <w:rFonts w:ascii="Arial" w:cs="Arial" w:eastAsia="Arial" w:hAnsi="Arial"/>
          <w:sz w:val="14"/>
          <w:szCs w:val="14"/>
          <w:color w:val="auto"/>
        </w:rPr>
      </w:pPr>
    </w:p>
    <w:p>
      <w:pPr>
        <w:ind w:left="1680" w:right="2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9,141 LTIP Units, which represents the number of LTIP Units that would be earned if we achieved the same per year percentage stock price appreciation during the three-year performance period under the 2010 Notional Unit Plan as we did from plan inception through year-end 2010.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Option Exercises and Stock Vested</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2010.</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19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84"/>
              </w:rPr>
              <w:t>Stock Awards</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2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2"/>
              </w:rPr>
              <w:t>Value Realized on</w:t>
            </w:r>
          </w:p>
        </w:tc>
        <w:tc>
          <w:tcPr>
            <w:tcW w:w="160" w:type="dxa"/>
            <w:vAlign w:val="bottom"/>
          </w:tcPr>
          <w:p>
            <w:pPr>
              <w:spacing w:after="0"/>
              <w:rPr>
                <w:sz w:val="12"/>
                <w:szCs w:val="12"/>
                <w:color w:val="auto"/>
              </w:rPr>
            </w:pPr>
          </w:p>
        </w:tc>
        <w:tc>
          <w:tcPr>
            <w:tcW w:w="19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Exercise(1)</w:t>
            </w:r>
          </w:p>
        </w:tc>
        <w:tc>
          <w:tcPr>
            <w:tcW w:w="160" w:type="dxa"/>
            <w:vAlign w:val="bottom"/>
          </w:tcPr>
          <w:p>
            <w:pPr>
              <w:spacing w:after="0"/>
              <w:rPr>
                <w:sz w:val="12"/>
                <w:szCs w:val="12"/>
                <w:color w:val="auto"/>
              </w:rPr>
            </w:pPr>
          </w:p>
        </w:tc>
        <w:tc>
          <w:tcPr>
            <w:tcW w:w="19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on Vesting</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Vesting(2)</w:t>
            </w:r>
          </w:p>
        </w:tc>
        <w:tc>
          <w:tcPr>
            <w:tcW w:w="0" w:type="dxa"/>
            <w:vAlign w:val="bottom"/>
          </w:tcPr>
          <w:p>
            <w:pPr>
              <w:spacing w:after="0"/>
              <w:rPr>
                <w:sz w:val="1"/>
                <w:szCs w:val="1"/>
                <w:color w:val="auto"/>
              </w:rPr>
            </w:pPr>
          </w:p>
        </w:tc>
      </w:tr>
      <w:tr>
        <w:trPr>
          <w:trHeight w:val="16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458"/>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178,019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122,722(3)</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6,394,267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136,967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Gregory F. Hughes</w:t>
            </w: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123,878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6,617,386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122" w:lineRule="exact"/>
        <w:rPr>
          <w:rFonts w:ascii="Arial" w:cs="Arial" w:eastAsia="Arial" w:hAnsi="Arial"/>
          <w:sz w:val="14"/>
          <w:szCs w:val="14"/>
          <w:color w:val="auto"/>
        </w:rPr>
      </w:pPr>
    </w:p>
    <w:p>
      <w:pPr>
        <w:ind w:left="1680" w:right="160" w:hanging="531"/>
        <w:spacing w:after="0" w:line="288"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2,925 notional stock units representing the contingent right to receive the value of one share of common stock in accordance with the terms of a deferred compensation agreement that vested on December 31, 2010. Vested notional stock units are settled in cash no later than 30 days following the earliest of (i) Mr. Green's death, (ii) the date of Mr. Green's separation from service with us, and (iii) the effective date of a Change-in-Control (as defined in the deferred compensation agreement).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2010 Notional Unit Plan</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December 2009, our Compensation Committee approved the general terms of the SL Green Realty Corp. 2010 Notional Unit Long-Term Compensation Plan, or the 2010 Notional Unit Plan. The 2010 Notional Unit Plan is a long-term incentive compensation plan pursuant to which award recipients may earn, in the aggregate, from approximately $15 million up to approximately $75 million of LTIP Units in our operating partnership based on our stock price appreciation over three years beginning on December 1, 2009. If our aggregate stock price appreciation during this period is less than 25%, then award recipients will not earn any LTIP Units under the 2010 Notional Unit Plan. For stock price appreciation between 25% and 50% during this period, award recipients will earn LTIP Units with a value ranging from approximately $15 million to approximately $75 million based on a sliding scale. If our aggregate stock price appreciation during this period equals or exceeds 50%, then award recipients will earn the maximum award of $75 million under the 2010 Notional Unit Plan. However, if our aggregate stock price appreciation during this period exceeds 50%, the number of LTIP Units earned will be reduced so that the aggregate value of such units will not exceed the $75 million maximum award. In all events, the value of the LTIP Units awarded will not exceed a $75 million aggregate cap on the value of awards earned.</w:t>
      </w:r>
    </w:p>
    <w:p>
      <w:pPr>
        <w:spacing w:after="0" w:line="1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prior to the end of the three-year performance period, we achieve the maximum stock price appreciation of 50% for 45 consecutive days, then a portion of the total awards may be earned early as described in this paragraph. If this 45 consecutive day maximum performance period is completed at any point during the second year of the performance period, then approximately $25 million of LTIP Units will be earned. If this 45 consecutive day maximum performance period is completed at any point during the third year of the performance period, then approximately $25 million (or if the maximum performance was not also achieved at any point during the second year, then approximately $50 million) of LTIP Units will be earned. Other than in connection with a change in control of our company, no acceleration may occur prior to the commencement of the second year or with respect to the final $25 million of LTIP Units. After the awards are earned, they will remain subject to vesting, with 50% of any LTIP Units earned vesting on January 1, 2013 and an additional 25% vesting on each of January 1, 2014 and 2015, in each case, subject to continued employment through the vesting date.</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Overall, the 2010 Notional Unit Plan contemplates maximum potential awards of 1,179,987 LTIP Units and a cap of approximately $75 million when earned. On April 2, 2010, we issued 744,128 LTIP Units under the 2010 Notional Unit Plan, subject to the performance-based and time-based vesting described above, and after stockholders approved the Second Amended and Restated 2005 Stock Option and Incentive Plan on June 15, 2010, we issued an additional 425,947 LTIP Units under the 2010 Notional Unit Plan, subject to the same terms. The LTIP Units granted to award recipients will not entitle them to receive any distributions before the LTIP Units are earned (i.e., the performance-based vesting hurdles have been met). If LTIP Units are earned, then award recipients will be entitled to receive all distributions that would have been paid had the number of LTIP Units been issued at the beginning of the performance period. Distributions will be paid currently with respect to all LTIP Units that are earned, whether or not the time-based vesting hurdles have been met.</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the event of a change in control of our company on or after December 1, 2010, the performance period will be shortened to end on the date of such change in control and the awards earned under the 2010 Notional Unit Plan will be calculated assuming the performance period ended on November 30, 2012 and our stock price appreciation continued at the same annualized rate from the date of the change in control to November 30, 2012 as was achieved from December 1, 2009 to the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stock price appreciation to be utilized may not exceed 200% of what it would have been if it was calculated using the stock price appreciation from December 1, 2009 to the date of the change in control. In either case, all earned awards will be fully vested upon the change in control. If a change in control occurs after the performance period has ended, all unvested awards issued under the 2010 Notional Unit Plan will become fully vested upon the change in control. Additionally, under the 2010 Notional Unit Plan, an award recipient's termination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due to death or disability will be treated in the same manner, for that award recipient, as if a change in control had occurred on the date of such termination.</w:t>
      </w:r>
    </w:p>
    <w:p>
      <w:pPr>
        <w:spacing w:after="0" w:line="248"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2010 Notional Unit Plan also provide that if that named executive officer's employment is terminated by us without cause or by the executive officer for good reason, then the executive officer is treated under the 2010 Notional Unit Plan as if he had remained employed by us for 12 months after the date of his termination.</w:t>
      </w:r>
    </w:p>
    <w:p>
      <w:pPr>
        <w:spacing w:after="0" w:line="194"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foregoing description assumes that we maintain our dividend payments at the current rate of $0.10 per share per quarter. In the event that this rate changes, the stock price appreciation percentages needed to earn awards under the 2010 Notional Unit Plan will be adjusted to reflect the change.</w:t>
      </w:r>
    </w:p>
    <w:p>
      <w:pPr>
        <w:spacing w:after="0" w:line="139"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In December 2010, as a result of our superior performance and industry-beating stock price appreciation of over 56% during the first year of the performance period of the 2010 Notional Unit Plan that surpassed the maximum stock price appreciation level of 50% for 45 consecutive days, a pro-rata portion, or</w:t>
      </w:r>
    </w:p>
    <w:p>
      <w:pPr>
        <w:jc w:val="both"/>
        <w:ind w:right="40"/>
        <w:spacing w:after="0" w:line="331" w:lineRule="auto"/>
        <w:rPr>
          <w:sz w:val="20"/>
          <w:szCs w:val="20"/>
          <w:color w:val="auto"/>
        </w:rPr>
      </w:pPr>
      <w:r>
        <w:rPr>
          <w:rFonts w:ascii="Arial" w:cs="Arial" w:eastAsia="Arial" w:hAnsi="Arial"/>
          <w:sz w:val="15"/>
          <w:szCs w:val="15"/>
          <w:color w:val="auto"/>
        </w:rPr>
        <w:t>$25 million, of awards were earned. In accordance with the plan terms, these awards remain subject to time-based vesting requirements, with 50% of such awards scheduled to vest on January 1, 2013 and an additional 25% scheduled to vest on each January 1 of 2014 and 2015. The remaining two-thirds of potential awards that may be earned under the 2010 Notional Unit Plan continue to be at-risk and subject to the attainment of stock price appreciation thresholds.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Company does not provide supplemental pension or other retirement benefits other than our tax-qualified 401(k) Plan. See "Summary Compensation Table." In addition, the Company does not have a nonqualified deferred compensation plan that provides for deferral of compensation on a basis that is not tax-qualified for our named executive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immaterial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amounts shown below assume that such Change-in-Control or such termination was effective as of December 31, 2010 and are estimates of the amounts that would be paid out to the named executive officers upon such Change-in-Control or termination of employment. In the case of Mr. Mathias, such amounts were calculated based on the terms of his amended and restated employment agreement, which became effective January 1, 2011. The value of the acceleration of vesting of shares of restricted stock and the LTIP Units is based on the value of unvested awards set forth in the "Outstanding Equity Awards" table above.</w:t>
      </w:r>
    </w:p>
    <w:p>
      <w:pPr>
        <w:spacing w:after="0" w:line="15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Health and welfare benefits are valued based on the estimated amount of future premiums that would be paid on behalf of the named executive officer under our existing plans, based on the premiums in effect as of December 31, 2010.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We have designed our equity-based awards to encourage retention and continued performance. As a result, the executive would suffer a material economic forfeiture should an executive leave our employment without Good Reason.</w:t>
      </w:r>
    </w:p>
    <w:p>
      <w:pPr>
        <w:spacing w:after="0" w:line="197" w:lineRule="exact"/>
        <w:rPr>
          <w:sz w:val="20"/>
          <w:szCs w:val="20"/>
          <w:color w:val="auto"/>
        </w:rPr>
      </w:pPr>
    </w:p>
    <w:p>
      <w:pPr>
        <w:ind w:right="160" w:firstLine="341"/>
        <w:spacing w:after="0" w:line="283" w:lineRule="auto"/>
        <w:rPr>
          <w:sz w:val="20"/>
          <w:szCs w:val="20"/>
          <w:color w:val="auto"/>
        </w:rPr>
      </w:pPr>
      <w:r>
        <w:rPr>
          <w:rFonts w:ascii="Arial" w:cs="Arial" w:eastAsia="Arial" w:hAnsi="Arial"/>
          <w:sz w:val="16"/>
          <w:szCs w:val="16"/>
          <w:color w:val="auto"/>
        </w:rPr>
        <w:t>As these agreements expire, they will be re-evaluated based on peer group analysis, market conditions, and prevailing practices in the REIT industry to determine whether they should be re-negotiated. During fiscal year 2010, we negotiated and entered into amended and restated employment agreements with Stephen L. Green, Andrew Mathias (to be effective as of January 1, 2011) and Andrew S. Levine, and we also entered into an employment and non-competition agreement with James Mead as of November 4, 2010 in connection with his appointment as our Chief Financial Officer. Among other things, these new agreements did not contain any tax gross-up provisions, either as a result of any payment or benefit constitutes an excess "parachute payment" under</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Section 280G of the IRC being subject to an excise tax or otherwise, or any provision requiring us to make any payments or provide any benefits or accelerated vesting as a result of a Change-in-Control unless the executive's employment is terminated by us (or our successor) without Cause or by the executive for Good Reason.</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Stephen L. Green's amended and restated employment and non-competition agreement has a term commencing on December 24, 2010</w:t>
      </w:r>
      <w:r>
        <w:rPr>
          <w:rFonts w:ascii="Arial" w:cs="Arial" w:eastAsia="Arial" w:hAnsi="Arial"/>
          <w:sz w:val="16"/>
          <w:szCs w:val="16"/>
          <w:b w:val="1"/>
          <w:bCs w:val="1"/>
          <w:color w:val="auto"/>
        </w:rPr>
        <w:t xml:space="preserve"> </w:t>
      </w:r>
      <w:r>
        <w:rPr>
          <w:rFonts w:ascii="Arial" w:cs="Arial" w:eastAsia="Arial" w:hAnsi="Arial"/>
          <w:sz w:val="16"/>
          <w:szCs w:val="16"/>
          <w:color w:val="auto"/>
        </w:rPr>
        <w:t>and ending on December 31, 2011, which will automatically renew for successive one-year periods unless either party delivers six months' prior written notice of non-renewal under the agreement. The agreement provides for an annual salary of no less than $600,000 for the fiscal year ended December 31, 2010 and no less than $750,000 from January 1, 2011 through the end of the employment period, and such discretionary annual bonuses as we, in our sole discretion, may deem appropriate to reward Mr. Green for job performance. In addition to annual salary and bonuses, the agreement provides for annual contributions of notional stock units with a value equal to $150,000, on January 1st of each year during the employment period, into a deferred compensation account maintained on Mr. Green's behalf, with vesting of each annual contribution occurring on December 31st of that year subject to continued employment. Under the agreement, we are also obligated to maintain a life insurance policy for the benefit of Mr. Green's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beneficiaries in the face amount of $5 million, or if not available at reasonable rates, to self-insure Mr. Green up to the maximum cash severance payable under the agreement. The benefit payable under this policy to Mr. Green's beneficiaries will offset certain other benefits that would otherwise be provided to his estate under this agreement, as more fully described below.</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Green's employment is terminated for any reason, under the agreement he will be subject to the following continuing obligations after termination:</w:t>
      </w:r>
    </w:p>
    <w:p>
      <w:pPr>
        <w:spacing w:after="0" w:line="38" w:lineRule="exact"/>
        <w:rPr>
          <w:sz w:val="20"/>
          <w:szCs w:val="20"/>
          <w:color w:val="auto"/>
        </w:rPr>
      </w:pPr>
    </w:p>
    <w:p>
      <w:pPr>
        <w:ind w:right="20" w:firstLine="8"/>
        <w:spacing w:after="0" w:line="292" w:lineRule="auto"/>
        <w:tabs>
          <w:tab w:leader="none" w:pos="2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Green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2010, Mr. Green would have been entitled to the following payments and benefits:</w:t>
      </w:r>
    </w:p>
    <w:p>
      <w:pPr>
        <w:spacing w:after="0" w:line="184" w:lineRule="exact"/>
        <w:rPr>
          <w:rFonts w:ascii="Arial" w:cs="Arial" w:eastAsia="Arial" w:hAnsi="Arial"/>
          <w:sz w:val="16"/>
          <w:szCs w:val="16"/>
          <w:color w:val="auto"/>
        </w:rPr>
      </w:pPr>
    </w:p>
    <w:p>
      <w:pPr>
        <w:ind w:left="1080" w:hanging="532"/>
        <w:spacing w:after="0" w:line="285"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Green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Green receiving a total value of $7,548,840. Mr. Green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2010 Change-in-Control, Mr. Green's payments and benefits would not have been reduced as a result of this provision. In order to avoid creating an opportunity for a successor to induce Mr. Green to terminate his employment without Good Reason following a Change-in-Control, Mr. Green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209" w:lineRule="exact"/>
        <w:rPr>
          <w:rFonts w:ascii="Arial" w:cs="Arial" w:eastAsia="Arial" w:hAnsi="Arial"/>
          <w:sz w:val="16"/>
          <w:szCs w:val="16"/>
          <w:color w:val="auto"/>
        </w:rPr>
      </w:pPr>
    </w:p>
    <w:p>
      <w:pPr>
        <w:ind w:left="1080" w:hanging="532"/>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would have received no payments or benefits.</w:t>
      </w:r>
    </w:p>
    <w:p>
      <w:pPr>
        <w:spacing w:after="0" w:line="238" w:lineRule="exact"/>
        <w:rPr>
          <w:rFonts w:ascii="Arial" w:cs="Arial" w:eastAsia="Arial" w:hAnsi="Arial"/>
          <w:sz w:val="18"/>
          <w:szCs w:val="18"/>
          <w:color w:val="auto"/>
        </w:rPr>
      </w:pPr>
    </w:p>
    <w:p>
      <w:pPr>
        <w:ind w:left="1080" w:right="120" w:hanging="532"/>
        <w:spacing w:after="0" w:line="312"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Green's employment agreement, Mr. Green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of $3,329,500,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Mr. Green's employment was terminated (and the prior year if such bonus had not yet been determined) based on Mr. Green's Average Annual Cash Bonus. Under Mr. Green's employment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302" w:lineRule="auto"/>
        <w:rPr>
          <w:sz w:val="20"/>
          <w:szCs w:val="20"/>
          <w:color w:val="auto"/>
        </w:rPr>
      </w:pPr>
      <w:r>
        <w:rPr>
          <w:rFonts w:ascii="Arial" w:cs="Arial" w:eastAsia="Arial" w:hAnsi="Arial"/>
          <w:sz w:val="15"/>
          <w:szCs w:val="15"/>
          <w:color w:val="auto"/>
        </w:rPr>
        <w:t>Mr. Green also would have received his medical and welfare benefits for 12 months, the cost of which to us is projected to aggregate approximately $19,879. Under Mr. Green's employment agreement, all of his outstanding equity awards, other than those made under the 2010 Notional Unit Plan, and all of his outstanding unvested deferred compensation contributions would have fully vested upon termination. In addition, Mr. Green would have become entitled to receive a Gross-Up Payment in respect of the vesting of the shares of restricted stock granted on or before December 31, 2008, in an amount equal to 40% of the value of the shares vesting and would have been payable upon vesting. The combination of the accelerated vesting and his Gross-Up Payment results in total value of $603,195. Under the 2010 Notional Unit Plan,</w:t>
      </w:r>
    </w:p>
    <w:p>
      <w:pPr>
        <w:spacing w:after="0" w:line="1" w:lineRule="exact"/>
        <w:rPr>
          <w:sz w:val="20"/>
          <w:szCs w:val="20"/>
          <w:color w:val="auto"/>
        </w:rPr>
      </w:pPr>
    </w:p>
    <w:p>
      <w:pPr>
        <w:ind w:left="1080" w:right="60"/>
        <w:spacing w:after="0" w:line="295" w:lineRule="auto"/>
        <w:rPr>
          <w:sz w:val="20"/>
          <w:szCs w:val="20"/>
          <w:color w:val="auto"/>
        </w:rPr>
      </w:pPr>
      <w:r>
        <w:rPr>
          <w:rFonts w:ascii="Arial" w:cs="Arial" w:eastAsia="Arial" w:hAnsi="Arial"/>
          <w:sz w:val="16"/>
          <w:szCs w:val="16"/>
          <w:color w:val="auto"/>
        </w:rPr>
        <w:t>Mr. Green also would have 12 months of additional vesting for his awards under the 2010 Notional Unit Plan; however, as awards under the 2010 Notional Unit Plan do not begin to vest until January 1, 2013, Mr. Green would not have received any benefit from this 12 months of additional vesting. Mr. Green only would have been entitled to receive the severance payments, accelerated vesting and other benefits provided for in his employment agreement, as described above, if he executed a general release of claims with us.</w:t>
      </w:r>
    </w:p>
    <w:p>
      <w:pPr>
        <w:spacing w:after="0" w:line="183" w:lineRule="exact"/>
        <w:rPr>
          <w:sz w:val="20"/>
          <w:szCs w:val="20"/>
          <w:color w:val="auto"/>
        </w:rPr>
      </w:pPr>
    </w:p>
    <w:p>
      <w:pPr>
        <w:ind w:left="1080" w:hanging="532"/>
        <w:spacing w:after="0" w:line="283"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Green's employment agreement, if Mr. Green had been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Green for Good Reason in connection with or within 18 months after a Change-in-Control, Mr. Green would have received a cash severance payment of $9,988,500, which is equal to the sum of (i) three times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Green's employment agreement,</w:t>
      </w:r>
    </w:p>
    <w:p>
      <w:pPr>
        <w:spacing w:after="0" w:line="2" w:lineRule="exact"/>
        <w:rPr>
          <w:rFonts w:ascii="Arial" w:cs="Arial" w:eastAsia="Arial" w:hAnsi="Arial"/>
          <w:sz w:val="16"/>
          <w:szCs w:val="16"/>
          <w:color w:val="auto"/>
        </w:rPr>
      </w:pPr>
    </w:p>
    <w:p>
      <w:pPr>
        <w:ind w:left="1080" w:right="20"/>
        <w:spacing w:after="0" w:line="285" w:lineRule="auto"/>
        <w:rPr>
          <w:rFonts w:ascii="Arial" w:cs="Arial" w:eastAsia="Arial" w:hAnsi="Arial"/>
          <w:sz w:val="16"/>
          <w:szCs w:val="16"/>
          <w:color w:val="auto"/>
        </w:rPr>
      </w:pPr>
      <w:r>
        <w:rPr>
          <w:rFonts w:ascii="Arial" w:cs="Arial" w:eastAsia="Arial" w:hAnsi="Arial"/>
          <w:sz w:val="16"/>
          <w:szCs w:val="16"/>
          <w:color w:val="auto"/>
        </w:rPr>
        <w:t>Mr. Green also would have received his medical and welfare benefits for 24 months, the cost of which to us is projected to aggregate approximately $39,758. Mr. Green's equity awards and outstanding unvested deferred compensation contributions would have fully vested in the same manner (and Mr. Green would have received a Gross-Up Payment in respect of such equity vesting) as described in the preceding paragraph, except with respect to Mr. Green's awards under the 2010 Notional Unit Plan. Under the 2010 Notional Unit Plan, Mr. Green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and Gross-Up Payment under Mr. Green's employment agreement and the earning of the maximum award and accelerated time-based vesting under the 2010 Notional Unit Plan results in total value of $8,152,035. Under Mr. Green's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2010 Change-in-Control, Mr. Green's payments and benefits would not have been reduced as a result of this provision.</w:t>
      </w:r>
    </w:p>
    <w:p>
      <w:pPr>
        <w:spacing w:after="0" w:line="207"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Green's employment agreement, Mr. Green would have received a cash severance payment of $3,329,500,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equal to the sum of (i)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Green's employment agreement, Mr. Green also would have continued to receive his medical and welfare benefits for 36 months, the cost of which to us is projected to aggregate approximately $59,637. Mr. Green also would have received 24 months of additional vesting for his outstanding equity awards, other than awards made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88" w:lineRule="auto"/>
        <w:rPr>
          <w:sz w:val="20"/>
          <w:szCs w:val="20"/>
          <w:color w:val="auto"/>
        </w:rPr>
      </w:pPr>
      <w:r>
        <w:rPr>
          <w:rFonts w:ascii="Arial" w:cs="Arial" w:eastAsia="Arial" w:hAnsi="Arial"/>
          <w:sz w:val="16"/>
          <w:szCs w:val="16"/>
          <w:color w:val="auto"/>
        </w:rPr>
        <w:t>under the 2010 Notional Unit Plan, and full vesting for his stock options, equity awards granted in lieu of cash bonuses and any unvested deferred compensation contributions. In addition, under the terms of the restricted stock award agreements entered into on or before December 31, 2008, Mr. Green would have received, or become entitled to receive, a Gross-Up Payment in respect of the vesting of the shares of stock subject to such agreements. Under the 2010 Notional Unit Plan, Mr. Green would have earned the maximum award, as the performance period would have ended early and we would have exceeded the maximum stock appreciation hurdle. The time-based vesting of the award under the 2010 Notional Unit Plan also would have fully vested. The combination of the earning of the maximum award and accelerated time-based vesting under the 2010 Notional Unit Plan, the accelerated vesting and his Gross-Up Payment results in total value of $8,152,035. Mr. Green only would have been entitled to receive the severance payments, accelerated vesting and other benefits provided for in his employment agreement, as described above, if he had executed a general release of claims with us.</w:t>
      </w:r>
    </w:p>
    <w:p>
      <w:pPr>
        <w:spacing w:after="0" w:line="187" w:lineRule="exact"/>
        <w:rPr>
          <w:sz w:val="20"/>
          <w:szCs w:val="20"/>
          <w:color w:val="auto"/>
        </w:rPr>
      </w:pPr>
    </w:p>
    <w:p>
      <w:pPr>
        <w:ind w:left="1080" w:hanging="532"/>
        <w:spacing w:after="0" w:line="285"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Green's employment agreement, Mr. Green's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(ii) 24 months of additional vesting for his outstanding equity awards, other than awards made under the Outperformance Plans and the 2010 Notional Unit Plan, and (iii) full vesting for his equity awards granted in lieu of cash bonuses and his outstanding unvested deferred compensation contributions. Under the terms of the restricted stock award agreements entered into on or before December 31, 2008, Mr. Green's estate would have received, or become entitled to receive, a Gross-Up Payment in respect of the vesting of the shares of stock subject to such agreements. Under the general terms of our equity plans, all of the stock options granted to Mr. Green would have fully vested. Under the 2010 Notional Unit Plan, Mr. Green would have earned the maximum award, as the performance period would have ended early and we would have exceeded the maximum stock appreciation hurdle. The time-based vesting of the award under the 2010 Notional Unit Plan also would have fully vested. However, notwithstanding the foregoing, Mr. Green's estate only would have been entitled to receive the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bonus, vesting credit, payments and other benefits described above to the extent that the aggregate value of such</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bonus,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credit, payments and other benefits exceeds the amount payable to Mr. Green's beneficiaries under the life insurance policy, or self-insurance, maintained by us. As we maintained a life insurance policy for the benefit of Mr. Green's beneficiaries in the face amount of $5 million as of December 31, 2010, the aggregate value that Mr. Green's estate would have received with respect to the pro rata bonus, vesting credit, payments and other benefits described above would have been $3,152,035, which equals the amount by which their value exceeded $5 million.</w:t>
      </w:r>
    </w:p>
    <w:p>
      <w:pPr>
        <w:spacing w:after="0" w:line="174" w:lineRule="exact"/>
        <w:rPr>
          <w:sz w:val="20"/>
          <w:szCs w:val="20"/>
          <w:color w:val="auto"/>
        </w:rPr>
      </w:pPr>
    </w:p>
    <w:p>
      <w:pPr>
        <w:jc w:val="both"/>
        <w:ind w:right="200" w:firstLine="351"/>
        <w:spacing w:after="0" w:line="304" w:lineRule="auto"/>
        <w:rPr>
          <w:sz w:val="20"/>
          <w:szCs w:val="20"/>
          <w:color w:val="auto"/>
        </w:rPr>
      </w:pPr>
      <w:r>
        <w:rPr>
          <w:rFonts w:ascii="Arial" w:cs="Arial" w:eastAsia="Arial" w:hAnsi="Arial"/>
          <w:sz w:val="15"/>
          <w:szCs w:val="15"/>
          <w:b w:val="1"/>
          <w:bCs w:val="1"/>
          <w:color w:val="auto"/>
        </w:rPr>
        <w:t xml:space="preserve">Marc Holliday. </w:t>
      </w:r>
      <w:r>
        <w:rPr>
          <w:rFonts w:ascii="Arial" w:cs="Arial" w:eastAsia="Arial" w:hAnsi="Arial"/>
          <w:sz w:val="15"/>
          <w:szCs w:val="15"/>
          <w:color w:val="auto"/>
        </w:rPr>
        <w:t>Marc Holliday's amended and restated (as of January 1, 2010) employment and non-competition agreement has a term commencing on</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1, 2010 and ending on January 17, 2013, which will automatically renew for successive one-year periods unless either party delivers six months' prior written notice of non-renewal under the agreement; provided, in the event that Mr. Holliday gives prior written notice of non-renewal, the Company, in its sole discretion, may extend the current term or a renewal term by 90 days (such extension, the "Extension Period"), upon written notice to Mr. Holliday at least</w:t>
      </w:r>
    </w:p>
    <w:p>
      <w:pPr>
        <w:spacing w:after="0" w:line="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120 days before the end of the current term or such renewal term, as applicable. The agreement provides for an annual salary of no less than $725,000 from the beginning of the employment period through December 31, 2010 and no less than $1,000,000 from January 1, 2011 through the end of the employment period, and such discretionary annual bonuses as we, in our sole discretion, may deem appropriate to reward Mr. Holliday for job performance. Under the agreement, Mr. Holliday was also entitled to receive a one-time bonus of $1,000,000, which was to be paid in cash on January 18, 2010; provided that Mr. Holliday's employment with us had not been terminated by us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with Cause or by Mr. Holliday without Good Reason prior to such date. This bonus was paid to Mr. Holliday on January 18, 2010. In the event that Mr. Holliday's employment was terminated by us with Cause or by Mr. Holliday without Good Reason on or before June 30, 2010, Mr. Holliday agreed to repay this bonus to us. In addition to annual salary and bonuses, the agreement provides for (i) annual contributions of notional stock units with a value equal to $450,000, on January 18th of each year during the employment period (but excluding the Extension Period), into a deferred compensation account maintained on</w:t>
      </w:r>
    </w:p>
    <w:p>
      <w:pPr>
        <w:spacing w:after="0" w:line="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Mr. Holliday's behalf, with vesting of each annual contribution occurring on January 17th of the following year subject to continued employment and (ii) a grant of an award under the 2010 Notional Unit Plan equal to at least 20% of the total units available under such plan. The agreement also contemplated that we would grant 300,000 restricted stock units to Mr. Holliday on January 1, 2010, with 200,000 of such units subject to time-based vesting occurring in three equal annual installments on January 17th of each of 2011, 2012 and 2013, and 100,000 of such units subject to performance-based vesting occurring in three equal annual installments on January 17th of each of 2011, 2012 and 2013. The vesting each year for the performance-based restricted stock units is to be based on the achievement of any of the following financial performance goals during the prior year (or on a cumulative basis beginning with 2010 (or 2009, with respect to stock price appreciation relative to our peers)): (i) 7% or greater increase in funds from operations on a per-share basis (with 2010 being measured against results from the third and fourth quarters of 2009 annualized), (ii) 7% or greater stock price appreciation or (iii) stock price appreciation or percentage increase in funds from operations in the top one-third of a peer group of companies determined each year by our Compensation Committee. On January 1, 2010, we granted restricted stock units to Mr. Holliday on the terms contemplated by the agreement. 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The benefit payable under this policy to Mr. Holliday's beneficiaries will offset certain other benefits that would otherwise be provided to his estate under this agreement, as more fully described below.</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Holliday's employment is terminated for any reason, under the agreement he will be subject to the following continuing obligations after termination:</w:t>
      </w:r>
    </w:p>
    <w:p>
      <w:pPr>
        <w:spacing w:after="0" w:line="38" w:lineRule="exact"/>
        <w:rPr>
          <w:sz w:val="20"/>
          <w:szCs w:val="20"/>
          <w:color w:val="auto"/>
        </w:rPr>
      </w:pPr>
    </w:p>
    <w:p>
      <w:pPr>
        <w:ind w:right="120" w:firstLine="8"/>
        <w:spacing w:after="0" w:line="252"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2010, Mr. Holliday would have been entitled to the following payments and benefits:</w:t>
      </w:r>
    </w:p>
    <w:p>
      <w:pPr>
        <w:spacing w:after="0" w:line="215" w:lineRule="exact"/>
        <w:rPr>
          <w:rFonts w:ascii="Arial" w:cs="Arial" w:eastAsia="Arial" w:hAnsi="Arial"/>
          <w:sz w:val="18"/>
          <w:szCs w:val="18"/>
          <w:color w:val="auto"/>
        </w:rPr>
      </w:pPr>
    </w:p>
    <w:p>
      <w:pPr>
        <w:ind w:left="1080" w:right="120" w:hanging="532"/>
        <w:spacing w:after="0" w:line="289"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Holliday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Holliday receiving a total value of $17,113,248. Mr. Holliday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benefit to Mr. Holliday. Based on an assumed December 31, 2010 Change-in-Control, Mr. Holliday's payments and benefits would not have been reduced as a result of this provision.</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would have received no payments or benefits.</w:t>
      </w:r>
    </w:p>
    <w:p>
      <w:pPr>
        <w:spacing w:after="0" w:line="252"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for Good Reason. </w:t>
      </w:r>
      <w:r>
        <w:rPr>
          <w:rFonts w:ascii="Arial" w:cs="Arial" w:eastAsia="Arial" w:hAnsi="Arial"/>
          <w:sz w:val="16"/>
          <w:szCs w:val="16"/>
          <w:color w:val="auto"/>
        </w:rPr>
        <w:t>Under Mr. Holliday's employment agreement, Mr. Holliday would have received a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severance payment of $5,545,171,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Holliday's employment was terminated (and the prior year if such bonus had not yet been determined) based on Mr. Holliday's Average Annual Cash Bonus. Under Mr. Holliday's employment agreement, Mr. Holliday also would have received his medical and welfare benefits for 12 months, the cost of which to us is projected to aggregate approximately $20,221. Under Mr. Holliday's employment agreement, all of his outstanding equity awards, other than those made under the 2010 Notional Unit Plan, and all of his outstanding unvested deferred compensation contributions would have fully vested upon termination. In addition, Mr. Holliday would have become entitled to receive a Gross-Up Payment in respect of the vesting of the shares of restricted stock granted on or before December 31, 2008, in an amount equal to 40% of the value of the shares vesting and would have been payable upon vesting. The combination of the accelerated vesting and his Gross-Up Payment results in total value of $21,921,961. Under the 2010 Notional Unit Plan, Mr. Holliday also would have 12 months of additional vesting for his awards under the 2010 Notional Unit Plan; however, as awards under the 2010 Notional Unit Plan do not begin to vest until January 1, 2013, Mr. Holliday would not have received any benefit from this 12 months of additional vesting. Mr. Holliday only would have been entitled to receive the severance payments, accelerated vesting and other benefits provided for in his employment agreement, as described above, if he executed a general release of claims with us.</w:t>
      </w:r>
    </w:p>
    <w:p>
      <w:pPr>
        <w:spacing w:after="0" w:line="188" w:lineRule="exact"/>
        <w:rPr>
          <w:rFonts w:ascii="Arial" w:cs="Arial" w:eastAsia="Arial" w:hAnsi="Arial"/>
          <w:sz w:val="16"/>
          <w:szCs w:val="16"/>
          <w:color w:val="auto"/>
        </w:rPr>
      </w:pPr>
    </w:p>
    <w:p>
      <w:pPr>
        <w:ind w:left="1080" w:right="20" w:hanging="532"/>
        <w:spacing w:after="0" w:line="28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Cause or by Mr. Holliday for Good Reason in connection with or within 18 months after a Change-in-Control, Mr. Holliday would have received a cash severance payment of $16,635,512, which is equal to the sum of (i) three times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Holliday's employment agreement, Mr. Holliday also would have received his medical and welfare benefits for 24 months, the cost of which to us is projected to aggregate approximately $40,443. Mr. Holliday's equity awards and outstanding unvested deferred compensation contributions would have fully vested in the same manner (and Mr. Holliday would have received a Gross-Up Payment in respect of such equity vesting) as described in the preceding paragraph, except with respect to Mr. Holliday's awards under the 2010 Notional Unit Plan.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and Gross-Up Payment under Mr. Holliday's employment agreement and the earning of the maximum award and accelerated time-based vesting under the 2010 Notional Unit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Plan results in total value of $39,035,209. Under Mr. Holliday's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 Based on an assumed December 31, 2010 Change-in-Control, Mr. Holliday's payments and benefits would not have been reduced as a result of this provision.</w:t>
      </w:r>
    </w:p>
    <w:p>
      <w:pPr>
        <w:spacing w:after="0" w:line="183" w:lineRule="exact"/>
        <w:rPr>
          <w:sz w:val="20"/>
          <w:szCs w:val="20"/>
          <w:color w:val="auto"/>
        </w:rPr>
      </w:pPr>
    </w:p>
    <w:p>
      <w:pPr>
        <w:ind w:left="1080" w:right="20" w:hanging="532"/>
        <w:spacing w:after="0" w:line="285"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would have received a cash severance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$5,545,171, which is equal to the sum of (i)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Holliday's employment agreement, Mr. Holliday also would have continued to receive his medical and welfare benefits for 36 months, the cost of which to us is projected to aggregate approximately $60,664. Mr. Holliday also would have received 24 months of additional vesting for his outstanding equity awards, other than awards made under the 2010 Notional Unit Plan, and full vesting for his stock options, equity awards granted in lieu of cash bonuses and any unvested deferred compensation contributions. In addition, under the terms of the restricted stock award agreements entered into on or before December 31, 2008, Mr. Holliday would have received, or become entitled to receive, a Gross-Up Payment in respect of the vesting of the shares of stock subject to such agreements.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The combination of the earning of the maximum award and accelerated time-based vesting under the 2010 Notional Unit Plan, the accelerated vesting and his Gross-Up Payment results in total value of $32,284,209. Mr. Holliday only would have been entitled to receive the severance payments, accelerated vesting and other benefits provided for in his employment agreement, as described above, if he had executed a general release of claims with us.</w:t>
      </w:r>
    </w:p>
    <w:p>
      <w:pPr>
        <w:spacing w:after="0" w:line="207" w:lineRule="exact"/>
        <w:rPr>
          <w:rFonts w:ascii="Arial" w:cs="Arial" w:eastAsia="Arial" w:hAnsi="Arial"/>
          <w:sz w:val="16"/>
          <w:szCs w:val="16"/>
          <w:color w:val="auto"/>
        </w:rPr>
      </w:pPr>
    </w:p>
    <w:p>
      <w:pPr>
        <w:ind w:left="1080" w:right="60" w:hanging="532"/>
        <w:spacing w:after="0" w:line="28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Holliday's employment agreement, Mr. Holliday's estate would have received (i)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equal 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(ii) 24 months of additional vesting for his outstanding equity awards, other than awards made under the Outperformance Plans and the 2010 Notional Unit Plan, and (iii) full vesting for his equity awards granted in lieu of cash bonuses and his outstanding unvested deferred compensation contributions. Under the terms of the restricted stock award agreements entered into on or before December 31, 2008, Mr. Holliday's estate would have received, or become entitled to receive, a Gross-Up Payment in respect of the vesting of the shares of stock subject to such agreements. Under the general terms of our equity plans, all of the stock options granted to Mr. Holliday would have fully vested.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However, notwithstanding the foregoing, Mr. Holliday's estate only would have been entitled to receive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vesting credit, payments and other benefits described above to the extent that the aggregate value of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vesting credit, payments and other benefits exceeds the amount payable to Mr. Holliday's beneficiaries under the life insurance policy, or self-insurance, maintained by us. As we maintained a life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306" w:lineRule="auto"/>
        <w:rPr>
          <w:sz w:val="20"/>
          <w:szCs w:val="20"/>
          <w:color w:val="auto"/>
        </w:rPr>
      </w:pPr>
      <w:r>
        <w:rPr>
          <w:rFonts w:ascii="Arial" w:cs="Arial" w:eastAsia="Arial" w:hAnsi="Arial"/>
          <w:sz w:val="16"/>
          <w:szCs w:val="16"/>
          <w:color w:val="auto"/>
        </w:rPr>
        <w:t>insurance policy for the benefit of Mr. Holliday's beneficiaries in the face amount of $10 million as of December 31, 2010, the aggregate value that Mr. Holliday's estate would have received with respect to the pro rata bonus, vesting credit, payments and other benefits described above would have been $22,284,209, which equals the amount by which their value exceeded $10 million.</w:t>
      </w:r>
    </w:p>
    <w:p>
      <w:pPr>
        <w:spacing w:after="0" w:line="155" w:lineRule="exact"/>
        <w:rPr>
          <w:sz w:val="20"/>
          <w:szCs w:val="20"/>
          <w:color w:val="auto"/>
        </w:rPr>
      </w:pPr>
    </w:p>
    <w:p>
      <w:pPr>
        <w:ind w:right="20" w:firstLine="341"/>
        <w:spacing w:after="0" w:line="285"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(as of January 1, 2011) employment and non-competition agreement has a term commencing on</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2011 and ending on December 31, 2013, which will automatically renew for successive one-year periods unless either party delivers six months' prior written notice of non-renewal under the agreement; provided, in the event that Mr. Mathias gives prior written notice of non-renewal, the Company, in its sole discretion, may extend the current term or a renewal term by 90 days (such extension, the "Extension Period"), upon written notice to Mr. Mathias at least</w:t>
      </w:r>
    </w:p>
    <w:p>
      <w:pPr>
        <w:spacing w:after="0" w:line="3"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120 days before the end of the current term or such renewal term, as applicable. The agreement provides for an annual salary of no less than $750,000 during 2010 and the employment period, and such discretionary annual bonuses as we, in our sole discretion, may deem appropriate to reward Mr. Mathias for his job performance. Under the agreement, Mr. Mathias was also entitled to receive a one-time grant of 8,000 shares of unrestricted common stock. In addition to annual salary and bonuses, the agreement provides for annual contributions of notional stock units with a value equal to $350,000, on January 1st of each year during the employment period (but excluding the Extension Period), into a deferred compensation account maintained on Mr. Mathias' behalf, with vesting of each annual</w:t>
      </w:r>
    </w:p>
    <w:p>
      <w:pPr>
        <w:spacing w:after="0" w:line="2" w:lineRule="exact"/>
        <w:rPr>
          <w:sz w:val="20"/>
          <w:szCs w:val="20"/>
          <w:color w:val="auto"/>
        </w:rPr>
      </w:pPr>
    </w:p>
    <w:p>
      <w:pPr>
        <w:jc w:val="both"/>
        <w:ind w:right="60"/>
        <w:spacing w:after="0" w:line="266" w:lineRule="auto"/>
        <w:rPr>
          <w:sz w:val="20"/>
          <w:szCs w:val="20"/>
          <w:color w:val="auto"/>
        </w:rPr>
      </w:pPr>
      <w:r>
        <w:rPr>
          <w:rFonts w:ascii="Arial" w:cs="Arial" w:eastAsia="Arial" w:hAnsi="Arial"/>
          <w:sz w:val="15"/>
          <w:szCs w:val="15"/>
          <w:color w:val="auto"/>
        </w:rPr>
        <w:t>contribution occurring on December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of that year subject to continued employment. The agreement also provided that Good Reason would exist if we did not grant Mr. Mathias (1) a restricted stock award for 100,000 shares of common stock subject to time-based vesting occurring in three equal annual installments on December 31st of each of 2011, 2012 and 2013, and (2) a restricted stock unit award for 50,000 units subject to performance-based vesting, based on the goals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described below, occurring in three equal annual installments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of 2011, 2012 and 2013. The vesting each year for the performance-based restricted stock units was to be based on the achievement of any of the following financial performance goals during the prior year (or on a cumulative basis beginning with 2011 (or 2010, with respect to stock price appreciation relative to our peers)): (i) 7% or greater increase in funds from operations on a per-share basis, (ii) 7% or greater stock price appreciation or (iii) stock price appreciation or percentage increase in funds from operations in the top one-third of a peer group of companies determined each year by our Compensation Committee. On January 6, 2011, we granted the restricted stock and restricted stock units to Mr. Mathias on the terms described above.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Mathias' employment is terminated for any reason, under the agreement he will be subject to the following continuing obligations after termination:</w:t>
      </w:r>
    </w:p>
    <w:p>
      <w:pPr>
        <w:spacing w:after="0" w:line="38" w:lineRule="exact"/>
        <w:rPr>
          <w:sz w:val="20"/>
          <w:szCs w:val="20"/>
          <w:color w:val="auto"/>
        </w:rPr>
      </w:pPr>
    </w:p>
    <w:p>
      <w:pPr>
        <w:ind w:right="100" w:firstLine="8"/>
        <w:spacing w:after="0" w:line="252"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Mathias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2010, Mr. Mathias would have been entitled to the following payments and benefits:</w:t>
      </w:r>
    </w:p>
    <w:p>
      <w:pPr>
        <w:spacing w:after="0" w:line="215" w:lineRule="exact"/>
        <w:rPr>
          <w:rFonts w:ascii="Arial" w:cs="Arial" w:eastAsia="Arial" w:hAnsi="Arial"/>
          <w:sz w:val="18"/>
          <w:szCs w:val="18"/>
          <w:color w:val="auto"/>
        </w:rPr>
      </w:pPr>
    </w:p>
    <w:p>
      <w:pPr>
        <w:ind w:left="1080" w:right="100" w:hanging="532"/>
        <w:spacing w:after="0" w:line="298" w:lineRule="auto"/>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Mathias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Mathias receiving a total value of $12,078,144. Mr. Mathias would not have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Mathias will not be entitled to a tax gross-up payment; however, Mr. Mathias' payments and benefits would be reduced to the extent necessary to avoid such excise taxes, but only if such a reduction of pay or benefits would result in a greater after-tax benefit to Mr. Mathias. Based on an assumed December 31, 2010 Change-in-Control, Mr. Mathias' payments and benefits would not have been reduced as a result of this provision.</w:t>
      </w:r>
    </w:p>
    <w:p>
      <w:pPr>
        <w:spacing w:after="0" w:line="21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would have received no payments or benefits.</w:t>
      </w:r>
    </w:p>
    <w:p>
      <w:pPr>
        <w:spacing w:after="0" w:line="252"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Mathias' employment agreement, Mr. Mathias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of $4,456,250,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Mr. Mathias' employment was terminated (and the prior year if such bonus had not yet been determined) based on Mr. Mathias' Average Annual Cash Bonus. Under Mr. Mathias' employment agreement,</w:t>
      </w:r>
    </w:p>
    <w:p>
      <w:pPr>
        <w:spacing w:after="0" w:line="4" w:lineRule="exact"/>
        <w:rPr>
          <w:rFonts w:ascii="Arial" w:cs="Arial" w:eastAsia="Arial" w:hAnsi="Arial"/>
          <w:sz w:val="15"/>
          <w:szCs w:val="15"/>
          <w:color w:val="auto"/>
        </w:rPr>
      </w:pPr>
    </w:p>
    <w:p>
      <w:pPr>
        <w:ind w:left="1080"/>
        <w:spacing w:after="0" w:line="281" w:lineRule="auto"/>
        <w:rPr>
          <w:rFonts w:ascii="Arial" w:cs="Arial" w:eastAsia="Arial" w:hAnsi="Arial"/>
          <w:sz w:val="15"/>
          <w:szCs w:val="15"/>
          <w:color w:val="auto"/>
        </w:rPr>
      </w:pPr>
      <w:r>
        <w:rPr>
          <w:rFonts w:ascii="Arial" w:cs="Arial" w:eastAsia="Arial" w:hAnsi="Arial"/>
          <w:sz w:val="16"/>
          <w:szCs w:val="16"/>
          <w:color w:val="auto"/>
        </w:rPr>
        <w:t>Mr. Mathias also would have received his medical and welfare benefits for 12 months, the cost of which to us is projected to aggregate approximately $20,217. Under Mr. Mathias' employment agreement, all of his outstanding equity awards, other than those made under the 2010 Notional Unit Plan, and all of his outstanding unvested deferred compensation contributions would have fully vested upon termination. In addition, Mr. Mathias would have become entitled to receive a Gross-Up Payment in respect of the vesting of the shares of restricted stock granted on or before December 31, 2008, in an amount equal to 40% of the value of the shares vesting and would have been payable upon vesting. The combination of the accelerated vesting and his Gross-Up Payment results in total value of $2,940,237. Under the 2010 Notional Unit Plan,</w:t>
      </w:r>
    </w:p>
    <w:p>
      <w:pPr>
        <w:spacing w:after="0" w:line="4" w:lineRule="exact"/>
        <w:rPr>
          <w:rFonts w:ascii="Arial" w:cs="Arial" w:eastAsia="Arial" w:hAnsi="Arial"/>
          <w:sz w:val="15"/>
          <w:szCs w:val="15"/>
          <w:color w:val="auto"/>
        </w:rPr>
      </w:pPr>
    </w:p>
    <w:p>
      <w:pPr>
        <w:ind w:left="1080" w:right="120"/>
        <w:spacing w:after="0" w:line="295" w:lineRule="auto"/>
        <w:rPr>
          <w:rFonts w:ascii="Arial" w:cs="Arial" w:eastAsia="Arial" w:hAnsi="Arial"/>
          <w:sz w:val="15"/>
          <w:szCs w:val="15"/>
          <w:color w:val="auto"/>
        </w:rPr>
      </w:pPr>
      <w:r>
        <w:rPr>
          <w:rFonts w:ascii="Arial" w:cs="Arial" w:eastAsia="Arial" w:hAnsi="Arial"/>
          <w:sz w:val="16"/>
          <w:szCs w:val="16"/>
          <w:color w:val="auto"/>
        </w:rPr>
        <w:t>Mr. Mathias also would have 12 months of additional vesting for his awards under the 2010 Notional Unit Plan; however, as awards under the 2010 Notional Unit Plan do not begin to vest until January 1, 2013, Mr. Mathias would not have received any benefit from this 12 months of additional vesting. Mr. Mathias only would have been entitled to receive the severance payments, accelerated vesting and other benefits provided for in his employment agreement, as described above, if he executed a general release of claims with us.</w:t>
      </w:r>
    </w:p>
    <w:p>
      <w:pPr>
        <w:spacing w:after="0" w:line="182" w:lineRule="exact"/>
        <w:rPr>
          <w:rFonts w:ascii="Arial" w:cs="Arial" w:eastAsia="Arial" w:hAnsi="Arial"/>
          <w:sz w:val="15"/>
          <w:szCs w:val="15"/>
          <w:color w:val="auto"/>
        </w:rPr>
      </w:pPr>
    </w:p>
    <w:p>
      <w:pPr>
        <w:ind w:left="1080" w:right="20" w:hanging="532"/>
        <w:spacing w:after="0" w:line="28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Mathias' employment agreement, if Mr. Mathias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Cause or by Mr. Mathias for Good Reason in connection with or within 18 months after a Change-in-Control, Mr. Mathias would have received a cash severance payment of $11,140,625, which is equal to the sum of (i) 2.5 times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also would have received his medical and welfare benefits for 24 months, the cost of which to us is projected to aggregate approximately $40,435. Mr. Mathias' equity awards and outstanding unvested deferred compensation contributions would have fully vested in the same manner (and Mr. Mathias would have received a Gross-Up Payment in respect of such equity vesting) as described in the preceding paragraph, except with respect to Mr. Mathias' awards under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302" w:lineRule="auto"/>
        <w:rPr>
          <w:sz w:val="20"/>
          <w:szCs w:val="20"/>
          <w:color w:val="auto"/>
        </w:rPr>
      </w:pPr>
      <w:r>
        <w:rPr>
          <w:rFonts w:ascii="Arial" w:cs="Arial" w:eastAsia="Arial" w:hAnsi="Arial"/>
          <w:sz w:val="15"/>
          <w:szCs w:val="15"/>
          <w:color w:val="auto"/>
        </w:rPr>
        <w:t>2010 Notional Unit Plan. Under the 2010 Notional Unit Plan, Mr. Mathias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and Gross-Up Payment under Mr. Mathias' employment agreement and the earning of the maximum award and accelerated time-based vesting under the 2010 Notional Unit Plan results in total value of $15,018,381. Under Mr. Mathias' employment agreement, in the event that any payment or benefit constitutes an excess "parachute payment" under Section 280G of the IRC subject to an excise tax, Mr. Mathias will not be entitled to a tax gross-up payment; however,</w:t>
      </w:r>
    </w:p>
    <w:p>
      <w:pPr>
        <w:spacing w:after="0" w:line="1" w:lineRule="exact"/>
        <w:rPr>
          <w:sz w:val="20"/>
          <w:szCs w:val="20"/>
          <w:color w:val="auto"/>
        </w:rPr>
      </w:pPr>
    </w:p>
    <w:p>
      <w:pPr>
        <w:jc w:val="both"/>
        <w:ind w:left="1080" w:right="320"/>
        <w:spacing w:after="0" w:line="255" w:lineRule="auto"/>
        <w:rPr>
          <w:sz w:val="20"/>
          <w:szCs w:val="20"/>
          <w:color w:val="auto"/>
        </w:rPr>
      </w:pPr>
      <w:r>
        <w:rPr>
          <w:rFonts w:ascii="Arial" w:cs="Arial" w:eastAsia="Arial" w:hAnsi="Arial"/>
          <w:sz w:val="18"/>
          <w:szCs w:val="18"/>
          <w:color w:val="auto"/>
        </w:rPr>
        <w:t>Mr. Mathias' payments and benefits would be reduced to the extent necessary to avoid such excise taxes, but only if such a reduction of pay or benefits would result in a greater after-tax benefit to Mr. Mathias. Based on an assumed December 31, 2010 Change-in-Control, Mr. Mathias' payments and benefits would not have been reduced as a result of this provision.</w:t>
      </w:r>
    </w:p>
    <w:p>
      <w:pPr>
        <w:spacing w:after="0" w:line="21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would have received a cash severance payment of</w:t>
      </w:r>
    </w:p>
    <w:p>
      <w:pPr>
        <w:spacing w:after="0" w:line="38" w:lineRule="exact"/>
        <w:rPr>
          <w:rFonts w:ascii="Arial" w:cs="Arial" w:eastAsia="Arial" w:hAnsi="Arial"/>
          <w:sz w:val="16"/>
          <w:szCs w:val="16"/>
          <w:color w:val="auto"/>
        </w:rPr>
      </w:pPr>
    </w:p>
    <w:p>
      <w:pPr>
        <w:ind w:left="1080"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$4,456,250, which is equal to the sum of (i)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also would have continued to receive his medical and welfare benefits for 36 months, the cost of which to us is projected to aggregate approximately $60,652. Mr. Mathias also would have received 12 months of additional vesting for his outstanding equity awards, other than awards made under the 2010 Notional Unit Plan, and full vesting for his stock options, equity awards granted in lieu of cash bonuses and any unvested deferred compensation contributions. In addition, under the terms of the restricted stock award agreements entered into on or before December 31, 2008, Mr. Mathias would have received, or become entitled to receive, a Gross-Up Payment in respect of the vesting of the shares of stock subject to such agreements. Under the 2010 Notional Unit Plan, Mr. Mathias would have earned the maximum award, as the performance period would have ended early and we would have exceeded the maximum stock appreciation hurdle. The time-based vesting of the award under the 2010 Notional Unit Plan also would have fully vested. The combination of the earning of the maximum award and accelerated time-based vesting under the 2010 Notional Unit Plan, the accelerated vesting and his Gross-Up Payment results in total value of $15,018,381. Mr. Mathias only would have been entitled to receive the severance payments, accelerated vesting and other benefits provided for in his employment agreement, as described above, if he had executed a general release of claims with us.</w:t>
      </w:r>
    </w:p>
    <w:p>
      <w:pPr>
        <w:spacing w:after="0" w:line="203" w:lineRule="exact"/>
        <w:rPr>
          <w:rFonts w:ascii="Arial" w:cs="Arial" w:eastAsia="Arial" w:hAnsi="Arial"/>
          <w:sz w:val="16"/>
          <w:szCs w:val="16"/>
          <w:color w:val="auto"/>
        </w:rPr>
      </w:pPr>
    </w:p>
    <w:p>
      <w:pPr>
        <w:ind w:left="1080" w:hanging="532"/>
        <w:spacing w:after="0" w:line="28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(ii) 12 months of additional vesting for his outstanding equity awards, other than awards made under the Outperformance Plans and the 2010 Notional Unit Plan, and (iii) full vesting for his equity awards granted in lieu of cash bonuses and his outstanding unvested deferred compensation contributions. Under the terms of the restricted stock award agreements entered into on or before December 31, 2008, Mr. Mathias' estate would have received, or become entitled to receive, a Gross-Up Payment in respect of the vesting of the shares of stock subject to such agreements. Under the general terms of our equity plans, all of the stock options granted to Mr. Mathias would have fully vested. Under the 2010 Notional Unit Plan, Mr. Mathias would have earned the maximum award, as the performance period would have ended early and we would have exceeded the maximum stock appreciation hurdle. The time-based vesting of the award under the 2010 Notional Unit Plan also would have fully vested. The aggregate value that Mr. Mathias' estate would have received with respect to the pro rata bonus, vesting credit, payments and other benefits described above would have been $15,018,381.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351"/>
        <w:spacing w:after="0" w:line="304" w:lineRule="auto"/>
        <w:rPr>
          <w:sz w:val="20"/>
          <w:szCs w:val="20"/>
          <w:color w:val="auto"/>
        </w:rPr>
      </w:pPr>
      <w:r>
        <w:rPr>
          <w:rFonts w:ascii="Arial" w:cs="Arial" w:eastAsia="Arial" w:hAnsi="Arial"/>
          <w:sz w:val="15"/>
          <w:szCs w:val="15"/>
          <w:b w:val="1"/>
          <w:bCs w:val="1"/>
          <w:color w:val="auto"/>
        </w:rPr>
        <w:t xml:space="preserve">James Mead. </w:t>
      </w:r>
      <w:r>
        <w:rPr>
          <w:rFonts w:ascii="Arial" w:cs="Arial" w:eastAsia="Arial" w:hAnsi="Arial"/>
          <w:sz w:val="15"/>
          <w:szCs w:val="15"/>
          <w:color w:val="auto"/>
        </w:rPr>
        <w:t>In connection with the appointment of Mr. Mead as our Chief Financial Officer, we entered into an employment and non-competition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with Mr. Mead as of November 4, 2010. The original term of the agreement will end on December 31, 2013, but will automatically renew for successive six-month periods unless either party serves the required notice under the agreement. The agreement provides for an annual salary of at least $500,000, and such discretionary annual bonuses as we, in our sole discretion, may deem appropriate to reward Mr. Mead for his job performance; provided, however,</w:t>
      </w:r>
    </w:p>
    <w:p>
      <w:pPr>
        <w:spacing w:after="0" w:line="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Mr. Mead's bonus for 2011 shall be at least $500,000. Mr. Mead was also entitled to receive a signing bonus of $300,000 under the agreement, which we paid in cash on December 31, 2010; provided that a portion of the signing bonus may be subject to forfeiture in the event that Mr. Mead's employment is terminated for any reason before July 31, 2011. Pursuant to his employment agreement, on November 4, 2010, we granted Mr. Mead 15,000 shares of restricted stock subject to time-based vesting and 7,500 restricted stock units subject to performance-based vesting, based on the goals described below, occurring in three equal annual installments on December 31 of each of 2011, 2012 and 2013. The vesting each year of the performance-based restricted stock units is to be based on the achievement of any of the following financial performance goals during the year (or on a cumulative basis beginning with 2011): (1) 7% or greater increase in funds from operations per year on a per-share basis, (2) 7% or greater stock price appreciation per year or (3) stock price appreciation or percentage increase in funds from operations in the top one-third of a peer group of companies determined each year by our Compensation Committee. On November 4, 2010, we also granted Mr. Mead an award under the 2010 Notional Unit Plan equal to a 1.33% interest in the 2010 Notional Unit Plan. Mr. Mead is also eligible for the health and welfare benefits provided by us to our senior executive officers. Pursuant to the agreement, if Mr. Mead is terminated for any reason (other than termination by us without Cause or by Mr. Mead with Good Reason in connection with or within 18 months after a Change-in-Control in the case of clause (ii) below), he will be subject to the following obligations: (i) non-competition with the Company for six months (or three months in the event of a termination upon or after the expiration of the term of the employment agreement); (ii) non-solicitation of our employees for 24 months; (iii) non-disparagement of the Company and non-interference with its business for one year; and (iv) perpetual nondisclosure of confidential information. In connection with a Triggering Event occurring as of December 31, 2010, Mr. Mead would have been entitled to the following payments and benefits under the agreements and our other applicable executive compensation programs:</w:t>
      </w:r>
    </w:p>
    <w:p>
      <w:pPr>
        <w:spacing w:after="0" w:line="197" w:lineRule="exact"/>
        <w:rPr>
          <w:sz w:val="20"/>
          <w:szCs w:val="20"/>
          <w:color w:val="auto"/>
        </w:rPr>
      </w:pPr>
    </w:p>
    <w:p>
      <w:pPr>
        <w:ind w:left="1080" w:hanging="532"/>
        <w:spacing w:after="0" w:line="28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Mead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Mead receiving a total value of $1,003,968. Mr. Mead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2010 Change-in-Control, Mr. Mead's payments and benefits would not have been reduced as a result of this provision.</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Mead would have received no payments or benefits.</w:t>
      </w:r>
    </w:p>
    <w:p>
      <w:pPr>
        <w:spacing w:after="0" w:line="238"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or with Good Reason. </w:t>
      </w:r>
      <w:r>
        <w:rPr>
          <w:rFonts w:ascii="Arial" w:cs="Arial" w:eastAsia="Arial" w:hAnsi="Arial"/>
          <w:sz w:val="18"/>
          <w:szCs w:val="18"/>
          <w:color w:val="auto"/>
        </w:rPr>
        <w:t>Under Mr. Mead's employment agreement, Mr. Mead would have received a cash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$1,000,000, which is equal to the sum of (i) his average annual base salary in effect during the preceding 24 months, or his Average Annual Base Salary, plus (ii) a bonus equal to the average bonuses (including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86" w:lineRule="auto"/>
        <w:rPr>
          <w:sz w:val="20"/>
          <w:szCs w:val="20"/>
          <w:color w:val="auto"/>
        </w:rPr>
      </w:pPr>
      <w:r>
        <w:rPr>
          <w:rFonts w:ascii="Arial" w:cs="Arial" w:eastAsia="Arial" w:hAnsi="Arial"/>
          <w:sz w:val="16"/>
          <w:szCs w:val="16"/>
          <w:color w:val="auto"/>
        </w:rPr>
        <w:t xml:space="preserve">equity awarded as bonus) paid to him for the two most recently completed fiscal years, or his Average Annual Cash Bonus (which is deemed to be $500,000 until his 2011 cash bonus is determined),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Mead's employment was terminated (and a bonus for the prior year if such bonus had not yet been determined) based on Mr. Mead's Average Annual Cash Bonus less (iv) $236,667, which represents the portion of Mr. Mead's signing bonus that he would be required to repay. Under Mr. Mead's employment agreement, Mr. Mead also would have received his medical and welfare benefits for 12 months, the cost of which to us is projected to aggregate approximately $20,217. Under Mr. Mead's employment agreement, all of his outstanding equity awards, other than those made under the 2010 Notional Unit Plan, would have fully vested at termination. The accelerated vesting results in total value to be received of $1,518,975. Under the 2010 Notional Unit Plan, Mr. Mead also would have 12 months of additional vesting for his awards under the 2010 Notional Unit Plan; however, as awards under the 2010 Notional Unit Plan do not begin to vest until January 1, 2013, Mr. Mead would not have received any benefit from this 12 months of additional vesting. Mr. Mead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95" w:lineRule="exact"/>
        <w:rPr>
          <w:sz w:val="20"/>
          <w:szCs w:val="20"/>
          <w:color w:val="auto"/>
        </w:rPr>
      </w:pPr>
    </w:p>
    <w:p>
      <w:pPr>
        <w:ind w:left="1080" w:hanging="532"/>
        <w:spacing w:after="0" w:line="285"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Mead's employment agreement, if Mr. Mead had been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Mead for Good Reason in connection with or within 18 months after a Change-in-Control, Mr. Mead would have received a cash severance payment of $2,000,000, which is equal to the sum of (i) two times his Average Annual Base Salary, plus (ii) two times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Mead's employment was terminated (and a bonus for the prior year if such bonus had not yet been determined) based on Mr. Mead's Average Annual Cash Bonus less (iv) $236,667, which represents the portion of Mr. Mead's signing bonus that he would be required to repay. Under Mr. Mead's employment agreement, Mr. Mead also would have received his medical and welfare benefits for 24 months, the cost of which to us is projected to aggregate approximately $40,435. Under Mr. Mead's employment agreement, all of his outstanding equity awards, other than those made under the 2010 Notional Unit Plan, would have fully vested at termination.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 Mr. Mead's employment agreement and the earning of the maximum award and accelerated time-based vesting under the 2010 Notional Unit Plan would have resulted in Mr. Mead receiving a total value of $2,552,943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2010 Change-in-Control, Mr. Mead's payments and benefits would not have been reduced as a result of this provision.</w:t>
      </w:r>
    </w:p>
    <w:p>
      <w:pPr>
        <w:spacing w:after="0" w:line="202"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upon disability. </w:t>
      </w:r>
      <w:r>
        <w:rPr>
          <w:rFonts w:ascii="Arial" w:cs="Arial" w:eastAsia="Arial" w:hAnsi="Arial"/>
          <w:sz w:val="18"/>
          <w:szCs w:val="18"/>
          <w:color w:val="auto"/>
        </w:rPr>
        <w:t>Under Mr. Mead's employment agreement, Mr. Mead would have received a cash severance payment of $1,000,000,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is equal to the sum of (i) his Average Annual Base Salary, plus (ii) his Average Annual Cash Bonus, plus (iii)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in which his employment was terminated (and a bonus for the prior year if such bonus had not yet been determined) based on his Average Annual Cash Bonus less (iv) $236,667, which represents the portion of Mr. Mead's signing bonus that he would be required to repay. Under Mr. Mead's employment agreement, Mr. Mead also would have continued to receive his medical and welfare benefits for 36 months, the cost of which to us is projected to aggregate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83" w:lineRule="auto"/>
        <w:rPr>
          <w:sz w:val="20"/>
          <w:szCs w:val="20"/>
          <w:color w:val="auto"/>
        </w:rPr>
      </w:pPr>
      <w:r>
        <w:rPr>
          <w:rFonts w:ascii="Arial" w:cs="Arial" w:eastAsia="Arial" w:hAnsi="Arial"/>
          <w:sz w:val="16"/>
          <w:szCs w:val="16"/>
          <w:color w:val="auto"/>
        </w:rPr>
        <w:t>approximately $60,652. Mr. Mead also would have received 12 months of additional vesting for his outstanding equity awards, other than those made under the 2010 Notional Unit Plan, and full vesting for his stock options and his equity awards granted in lieu of cash bonuses.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 Mr. Mead's employment agreement and the earning of the maximum award and accelerated time-based vesting under the 2010 Notional Unit Plan would have resulted in Mr. Mead receiving a total value of $2,016,618.</w:t>
      </w:r>
    </w:p>
    <w:p>
      <w:pPr>
        <w:spacing w:after="0" w:line="1" w:lineRule="exact"/>
        <w:rPr>
          <w:sz w:val="20"/>
          <w:szCs w:val="20"/>
          <w:color w:val="auto"/>
        </w:rPr>
      </w:pPr>
    </w:p>
    <w:p>
      <w:pPr>
        <w:ind w:left="1080" w:right="300"/>
        <w:spacing w:after="0" w:line="255" w:lineRule="auto"/>
        <w:rPr>
          <w:sz w:val="20"/>
          <w:szCs w:val="20"/>
          <w:color w:val="auto"/>
        </w:rPr>
      </w:pPr>
      <w:r>
        <w:rPr>
          <w:rFonts w:ascii="Arial" w:cs="Arial" w:eastAsia="Arial" w:hAnsi="Arial"/>
          <w:sz w:val="18"/>
          <w:szCs w:val="18"/>
          <w:color w:val="auto"/>
        </w:rPr>
        <w:t>Mr. Mead only would have been entitled to the severance payments and the acceleration of vesting of equity awards provided for in his employment agreement, as described above, upon Mr. Mead's execution of a mutual release agreement that released us from all claims he may have against us.</w:t>
      </w:r>
    </w:p>
    <w:p>
      <w:pPr>
        <w:spacing w:after="0" w:line="212" w:lineRule="exact"/>
        <w:rPr>
          <w:sz w:val="20"/>
          <w:szCs w:val="20"/>
          <w:color w:val="auto"/>
        </w:rPr>
      </w:pPr>
    </w:p>
    <w:p>
      <w:pPr>
        <w:ind w:left="1080" w:right="40" w:hanging="532"/>
        <w:spacing w:after="0" w:line="309"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death. </w:t>
      </w:r>
      <w:r>
        <w:rPr>
          <w:rFonts w:ascii="Arial" w:cs="Arial" w:eastAsia="Arial" w:hAnsi="Arial"/>
          <w:sz w:val="15"/>
          <w:szCs w:val="15"/>
          <w:color w:val="auto"/>
        </w:rPr>
        <w:t>Under Mr. Mead's employment agreement, Mr. Mead's estate would have received a cash severance payment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equal to his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his employment was terminated (and a bonus for the prior year if such bonus had not yet been determined) based on his Average Annual Cash Bonus less $236,667, which represents the portion of Mr. Mead's signing bonus that would be required to be repaid. Mr. Mead's estate also would have received 12 months of additional vesting for his outstanding equity awards, other than those made under the 2010 Notional Unit Plan, and full vesting for his stock options and his equity awards granted in lieu of cash bonuses.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 Mr. Mead's employment agreement and the earning of the maximum award and accelerated time-based vesting under the 2010 Notional Unit Plan would have resulted in Mr. Mead receiving a total value of $2,016,618.</w:t>
      </w:r>
    </w:p>
    <w:p>
      <w:pPr>
        <w:spacing w:after="0" w:line="156"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Andrew Levine's amended and restated employment and non-competition agreement has a term commencing on January 1, 2010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January 1, 2013, which will automatically renew for successive six-month periods unless either party delivers three months' prior written notice of non-renewal under the agreement; provided, in the event that Mr. Levine gives prior written notice of non-renewal, the Company, in its sole discretion, may extend the current term or a renewal term by 90 days (such extension, the "Extension Period"), upon written notice to Mr. Levine at least 80 days before the end of the current term or such renewal term, as applicable. The agreement provides for an annual salary of no less than $450,000 during the employment period, and such discretionary annual bonuses as we, in our sole discretion, may deem appropriate to reward Mr. Levine for job performance. The agreement also provided that Good Reason would exist if we did not grant Mr. Levine a restricted stock award for 42,000 shares of common stock subject to time-based vesting occurring in</w:t>
      </w:r>
    </w:p>
    <w:p>
      <w:pPr>
        <w:spacing w:after="0" w:line="1" w:lineRule="exact"/>
        <w:rPr>
          <w:sz w:val="20"/>
          <w:szCs w:val="20"/>
          <w:color w:val="auto"/>
        </w:rPr>
      </w:pPr>
    </w:p>
    <w:p>
      <w:pPr>
        <w:ind w:right="160"/>
        <w:spacing w:after="0" w:line="209" w:lineRule="auto"/>
        <w:rPr>
          <w:sz w:val="20"/>
          <w:szCs w:val="20"/>
          <w:color w:val="auto"/>
        </w:rPr>
      </w:pPr>
      <w:r>
        <w:rPr>
          <w:rFonts w:ascii="Arial" w:cs="Arial" w:eastAsia="Arial" w:hAnsi="Arial"/>
          <w:sz w:val="18"/>
          <w:szCs w:val="18"/>
          <w:color w:val="auto"/>
        </w:rPr>
        <w:t>three equal installments on January 1, 2011 (or the date of grant if later) and January 1</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2012 and 2013 subject to continued employment through such dates. On January 6, 2011, we granted restricted stock to Mr. Levine on the terms described above.</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Levine's employment is terminated for any reason, under the agreement he will be subject to the following continuing obligations after termination:</w:t>
      </w:r>
    </w:p>
    <w:p>
      <w:pPr>
        <w:spacing w:after="0" w:line="38" w:lineRule="exact"/>
        <w:rPr>
          <w:sz w:val="20"/>
          <w:szCs w:val="20"/>
          <w:color w:val="auto"/>
        </w:rPr>
      </w:pPr>
    </w:p>
    <w:p>
      <w:pPr>
        <w:ind w:right="160" w:firstLine="8"/>
        <w:spacing w:after="0" w:line="295" w:lineRule="auto"/>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noncompetition with us for 12 months unless employment is terminated upon non-renewal of the agreement or by us without Cause or Mr. Levine for Good Reason within 18 months after a Change-in-Control; (ii) nonsolicitation of our employees for 24 months (unless employment is terminated by us without Cause or Mr. Levine with Good Reason in connection with or within 18 months after a Change-in-Control, in which case the nonsolicitation provision will not extend beyond termination of employment); and (iii) nondisparagement of us and non-interference with our business for one year. In connection with 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Triggering Event occurring as of December 31, 2010, Mr. Levine would have been entitled to the following payments and benefits:</w:t>
      </w:r>
    </w:p>
    <w:p>
      <w:pPr>
        <w:spacing w:after="0" w:line="239" w:lineRule="exact"/>
        <w:rPr>
          <w:sz w:val="20"/>
          <w:szCs w:val="20"/>
          <w:color w:val="auto"/>
        </w:rPr>
      </w:pPr>
    </w:p>
    <w:p>
      <w:pPr>
        <w:ind w:left="1080" w:right="40" w:hanging="532"/>
        <w:spacing w:after="0" w:line="285"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Levine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Levine receiving a total value of $3,223,329. Mr. Levine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Based on an assumed December 31, 2010 Change-in-Control, Mr. Levine's payments and benefits would not have been reduced as a result of this provision. In order to avoid creating an opportunity for a successor to induce Mr. Levine to terminate his employment without Good Reason following a Change-in-Control, Mr. Levine will be entitled to receive cash compensation following a Change-in-Control at a per annum rate equal to the sum of his base salary in effect prior to the Change-in-Control plus his annual bonus and the value of his equity awards (other than those granted under outperformance plans) that vested during the most recent fiscal year prior to the Change-in-Control, and the failure to pay such compensation after a Change-in-Control will constitute Good Reason.</w:t>
      </w:r>
    </w:p>
    <w:p>
      <w:pPr>
        <w:spacing w:after="0" w:line="209"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would have received no payments or benefits.</w:t>
      </w:r>
    </w:p>
    <w:p>
      <w:pPr>
        <w:spacing w:after="0" w:line="238"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$959,375,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Under Mr. Levine's employment agreement, Mr. Levine also would have received his medical and welfare benefits for 12 months, the cost of which to us is projected to aggregate approximately $20,217. Under Mr. Levine's employment agreement, all of his outstanding equity awards, other than those made under the 2010 Notional Unit Plan, would have fully vested at termination. The accelerated vesting results in total value to be received of $187,543. Under the 2010 Notional Unit Plan, Mr. Levine also would have 12 months of additional vesting for his awards under the 2010 Notional Unit Plan; however, as awards under the 2010 Notional Unit Plan do not begin to vest until January 1, 2013, Mr. Levine would not have received any benefit from this 12 months of additional vesting. Mr. Levine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94" w:lineRule="exact"/>
        <w:rPr>
          <w:rFonts w:ascii="Arial" w:cs="Arial" w:eastAsia="Arial" w:hAnsi="Arial"/>
          <w:sz w:val="16"/>
          <w:szCs w:val="16"/>
          <w:color w:val="auto"/>
        </w:rPr>
      </w:pPr>
    </w:p>
    <w:p>
      <w:pPr>
        <w:ind w:left="1080" w:right="120" w:hanging="532"/>
        <w:spacing w:after="0" w:line="314"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Levine's employment agreement, if Mr. Levine had been terminated by us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without Cause or by Mr. Levine for Good Reason in connection with or within 18 months after a Change-in-Control, Mr. Levine would have received a cash severance payment of $1,918,750, which is equal to the sum of (i) two times his Average Annual Base Salary, plus (ii) two times his Average Annual Cash Bonus, plus (iii)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Mr. Levine's employment was terminated (and a bonus for the prior year if such bonus had not yet been determined) based on Mr. Levine's Average Annual Cash Bonus. Under Mr. Levine's employment agreement, Mr. Levine also would have received his medical and welfare benefits for 24 months, the cost of which to us is projected to aggregate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83" w:lineRule="auto"/>
        <w:rPr>
          <w:sz w:val="20"/>
          <w:szCs w:val="20"/>
          <w:color w:val="auto"/>
        </w:rPr>
      </w:pPr>
      <w:r>
        <w:rPr>
          <w:rFonts w:ascii="Arial" w:cs="Arial" w:eastAsia="Arial" w:hAnsi="Arial"/>
          <w:sz w:val="16"/>
          <w:szCs w:val="16"/>
          <w:color w:val="auto"/>
        </w:rPr>
        <w:t>approximately $40,435. Under Mr. Levine's employment agreement, all of his outstanding equity awards, other than those made under the 2010 Notional Unit Plan, would have fully vested at termination. Under the 2010 Notional Unit Plan, Mr. Levine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w:t>
      </w:r>
    </w:p>
    <w:p>
      <w:pPr>
        <w:spacing w:after="0" w:line="3" w:lineRule="exact"/>
        <w:rPr>
          <w:sz w:val="20"/>
          <w:szCs w:val="20"/>
          <w:color w:val="auto"/>
        </w:rPr>
      </w:pPr>
    </w:p>
    <w:p>
      <w:pPr>
        <w:ind w:left="1080" w:right="60"/>
        <w:spacing w:after="0" w:line="290" w:lineRule="auto"/>
        <w:rPr>
          <w:sz w:val="20"/>
          <w:szCs w:val="20"/>
          <w:color w:val="auto"/>
        </w:rPr>
      </w:pPr>
      <w:r>
        <w:rPr>
          <w:rFonts w:ascii="Arial" w:cs="Arial" w:eastAsia="Arial" w:hAnsi="Arial"/>
          <w:sz w:val="16"/>
          <w:szCs w:val="16"/>
          <w:color w:val="auto"/>
        </w:rPr>
        <w:t>Mr. Levine's employment agreement and the earning of the maximum award and accelerated time-based vesting under the 2010 Notional Unit Plan would have resulted in Mr. Levine receiving a total value of $3,410,871.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Based on an assumed December 31, 2010 Change-in-Control, Mr. Levine's payments and benefits would not have been reduced as a result of this provision.</w:t>
      </w:r>
    </w:p>
    <w:p>
      <w:pPr>
        <w:spacing w:after="0" w:line="186" w:lineRule="exact"/>
        <w:rPr>
          <w:sz w:val="20"/>
          <w:szCs w:val="20"/>
          <w:color w:val="auto"/>
        </w:rPr>
      </w:pPr>
    </w:p>
    <w:p>
      <w:pPr>
        <w:ind w:left="1080" w:hanging="532"/>
        <w:spacing w:after="0" w:line="302"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disability. </w:t>
      </w:r>
      <w:r>
        <w:rPr>
          <w:rFonts w:ascii="Arial" w:cs="Arial" w:eastAsia="Arial" w:hAnsi="Arial"/>
          <w:sz w:val="15"/>
          <w:szCs w:val="15"/>
          <w:color w:val="auto"/>
        </w:rPr>
        <w:t>Under Mr. Levine's employment agreement, Mr. Levine would have received a cash severance payment of $959,375,</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which is equal to the sum of (i) his Average Annual Base Salary, plus (ii) his Average Annual Cash Bonus, plus (iii)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his employment was terminated (and a bonus for the prior year if such bonus had not yet been determined) based on his Average Annual Cash Bonus. Under Mr. Levine's employment agreement, Mr. Levine also would have continued to receive his medical and welfare benefits for</w:t>
      </w:r>
    </w:p>
    <w:p>
      <w:pPr>
        <w:spacing w:after="0" w:line="2" w:lineRule="exact"/>
        <w:rPr>
          <w:rFonts w:ascii="Arial" w:cs="Arial" w:eastAsia="Arial" w:hAnsi="Arial"/>
          <w:sz w:val="15"/>
          <w:szCs w:val="15"/>
          <w:color w:val="auto"/>
        </w:rPr>
      </w:pPr>
    </w:p>
    <w:p>
      <w:pPr>
        <w:ind w:left="1080" w:right="20"/>
        <w:spacing w:after="0" w:line="287" w:lineRule="auto"/>
        <w:rPr>
          <w:rFonts w:ascii="Arial" w:cs="Arial" w:eastAsia="Arial" w:hAnsi="Arial"/>
          <w:sz w:val="15"/>
          <w:szCs w:val="15"/>
          <w:color w:val="auto"/>
        </w:rPr>
      </w:pPr>
      <w:r>
        <w:rPr>
          <w:rFonts w:ascii="Arial" w:cs="Arial" w:eastAsia="Arial" w:hAnsi="Arial"/>
          <w:sz w:val="16"/>
          <w:szCs w:val="16"/>
          <w:color w:val="auto"/>
        </w:rPr>
        <w:t>36 months, the cost of which to us is projected to aggregate approximately $60,652. Mr. Levine also would have received 12 months of additional vesting for his outstanding equity awards, other than those made under the 2010 Notional Unit Plan, and full vesting for his stock options and his equity awards granted in lieu of cash bonuses. Under the 2010 Notional Unit Plan, Mr. Levine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 Mr. Levine's employment agreement and the earning of the maximum award and accelerated time-based vesting under the 2010 Notional Unit Plan would have resulted in Mr. Levine receiving a total value of $3,410,871.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201" w:lineRule="exact"/>
        <w:rPr>
          <w:rFonts w:ascii="Arial" w:cs="Arial" w:eastAsia="Arial" w:hAnsi="Arial"/>
          <w:sz w:val="15"/>
          <w:szCs w:val="15"/>
          <w:color w:val="auto"/>
        </w:rPr>
      </w:pPr>
    </w:p>
    <w:p>
      <w:pPr>
        <w:ind w:left="1080" w:right="20" w:hanging="532"/>
        <w:spacing w:after="0" w:line="28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equal 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Mr. Levine's estate also would have received 12 months of additional vesting for his outstanding equity awards, other than those made under the 2010 Notional Unit Plan, and full vesting for his stock options and his equity awards granted in lieu of cash bonuses. Under the 2010 Notional Unit Plan, Mr. Levine would have earned the maximum award, as the performance period would have ended early and we would have exceeded the maximum stock appreciation hurdle. The time-based vesting of the award under the 2010 Notional Unit Plan also would have fully vested. The combination of the accelerated vesting under Mr. Levine's employment agreement and the earning of the maximum award and accelerated time-based vesting under the 2010 Notional Unit Plan would have resulted in Mr. Levine receiving a total value of $3,410,871.</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Jr., Edwin Thomas Burton, III and John S. Levy. There are no Compensation Committee interlocks and none of our employees is a member of the Compensation Committee.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March 31, 2011, unless otherwise noted, for</w:t>
      </w:r>
    </w:p>
    <w:p>
      <w:pPr>
        <w:spacing w:after="0" w:line="38" w:lineRule="exact"/>
        <w:rPr>
          <w:sz w:val="20"/>
          <w:szCs w:val="20"/>
          <w:color w:val="auto"/>
        </w:rPr>
      </w:pPr>
    </w:p>
    <w:p>
      <w:pPr>
        <w:ind w:right="60" w:firstLine="8"/>
        <w:spacing w:after="0" w:line="253" w:lineRule="auto"/>
        <w:tabs>
          <w:tab w:leader="none" w:pos="2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2011, there were 80,925,309 shares outstanding.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Amount And Nature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340" w:type="dxa"/>
            <w:vAlign w:val="bottom"/>
            <w:gridSpan w:val="4"/>
          </w:tcPr>
          <w:p>
            <w:pPr>
              <w:ind w:left="1140"/>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7,965,193</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The Vanguard Group, Inc.(2)</w:t>
            </w:r>
          </w:p>
        </w:tc>
        <w:tc>
          <w:tcPr>
            <w:tcW w:w="1520" w:type="dxa"/>
            <w:vAlign w:val="bottom"/>
          </w:tcPr>
          <w:p>
            <w:pPr>
              <w:jc w:val="right"/>
              <w:spacing w:after="0"/>
              <w:rPr>
                <w:sz w:val="20"/>
                <w:szCs w:val="20"/>
                <w:color w:val="auto"/>
              </w:rPr>
            </w:pPr>
            <w:r>
              <w:rPr>
                <w:rFonts w:ascii="Arial" w:cs="Arial" w:eastAsia="Arial" w:hAnsi="Arial"/>
                <w:sz w:val="18"/>
                <w:szCs w:val="18"/>
                <w:color w:val="auto"/>
              </w:rPr>
              <w:t>7,366,994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6,354,155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Deutsche Bank AG(4)</w:t>
            </w:r>
          </w:p>
        </w:tc>
        <w:tc>
          <w:tcPr>
            <w:tcW w:w="1520" w:type="dxa"/>
            <w:vAlign w:val="bottom"/>
          </w:tcPr>
          <w:p>
            <w:pPr>
              <w:jc w:val="right"/>
              <w:spacing w:after="0"/>
              <w:rPr>
                <w:sz w:val="20"/>
                <w:szCs w:val="20"/>
                <w:color w:val="auto"/>
              </w:rPr>
            </w:pPr>
            <w:r>
              <w:rPr>
                <w:rFonts w:ascii="Arial" w:cs="Arial" w:eastAsia="Arial" w:hAnsi="Arial"/>
                <w:sz w:val="18"/>
                <w:szCs w:val="18"/>
                <w:color w:val="auto"/>
              </w:rPr>
              <w:t>4,591,329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Cohen &amp; Steers, Inc.(5)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4,541,659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Vanguard Specialized Funds—Vanguard REIT Index Fund—23-2834924(6)</w:t>
            </w:r>
          </w:p>
        </w:tc>
        <w:tc>
          <w:tcPr>
            <w:tcW w:w="1520" w:type="dxa"/>
            <w:vAlign w:val="bottom"/>
          </w:tcPr>
          <w:p>
            <w:pPr>
              <w:jc w:val="right"/>
              <w:spacing w:after="0"/>
              <w:rPr>
                <w:sz w:val="20"/>
                <w:szCs w:val="20"/>
                <w:color w:val="auto"/>
              </w:rPr>
            </w:pPr>
            <w:r>
              <w:rPr>
                <w:rFonts w:ascii="Arial" w:cs="Arial" w:eastAsia="Arial" w:hAnsi="Arial"/>
                <w:sz w:val="18"/>
                <w:szCs w:val="18"/>
                <w:color w:val="auto"/>
              </w:rPr>
              <w:t>4,135,751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 Rowe Price Associates, Inc.(7)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3,090,490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Invesco Ltd.(8)</w:t>
            </w:r>
          </w:p>
        </w:tc>
        <w:tc>
          <w:tcPr>
            <w:tcW w:w="1520" w:type="dxa"/>
            <w:vAlign w:val="bottom"/>
          </w:tcPr>
          <w:p>
            <w:pPr>
              <w:jc w:val="right"/>
              <w:spacing w:after="0"/>
              <w:rPr>
                <w:sz w:val="20"/>
                <w:szCs w:val="20"/>
                <w:color w:val="auto"/>
              </w:rPr>
            </w:pPr>
            <w:r>
              <w:rPr>
                <w:rFonts w:ascii="Arial" w:cs="Arial" w:eastAsia="Arial" w:hAnsi="Arial"/>
                <w:sz w:val="18"/>
                <w:szCs w:val="18"/>
                <w:color w:val="auto"/>
              </w:rPr>
              <w:t>2,628,640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H. Alschuler, Jr.(9)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Edwin Thomas Burton, III(10)</w:t>
            </w:r>
          </w:p>
        </w:tc>
        <w:tc>
          <w:tcPr>
            <w:tcW w:w="1520" w:type="dxa"/>
            <w:vAlign w:val="bottom"/>
          </w:tcPr>
          <w:p>
            <w:pPr>
              <w:jc w:val="right"/>
              <w:spacing w:after="0"/>
              <w:rPr>
                <w:sz w:val="20"/>
                <w:szCs w:val="20"/>
                <w:color w:val="auto"/>
              </w:rPr>
            </w:pPr>
            <w:r>
              <w:rPr>
                <w:rFonts w:ascii="Arial" w:cs="Arial" w:eastAsia="Arial" w:hAnsi="Arial"/>
                <w:sz w:val="18"/>
                <w:szCs w:val="18"/>
                <w:color w:val="auto"/>
              </w:rPr>
              <w:t>48,993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L. Green(11)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1,400,769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Craig M. Hatkoff(12)</w:t>
            </w:r>
          </w:p>
        </w:tc>
        <w:tc>
          <w:tcPr>
            <w:tcW w:w="1520" w:type="dxa"/>
            <w:vAlign w:val="bottom"/>
          </w:tcPr>
          <w:p>
            <w:pPr>
              <w:jc w:val="right"/>
              <w:spacing w:after="0"/>
              <w:rPr>
                <w:sz w:val="20"/>
                <w:szCs w:val="20"/>
                <w:color w:val="auto"/>
              </w:rPr>
            </w:pPr>
            <w:r>
              <w:rPr>
                <w:rFonts w:ascii="Arial" w:cs="Arial" w:eastAsia="Arial" w:hAnsi="Arial"/>
                <w:sz w:val="18"/>
                <w:szCs w:val="18"/>
                <w:color w:val="auto"/>
              </w:rPr>
              <w:t>7,467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Gregory Hughes(13)</w:t>
            </w:r>
          </w:p>
        </w:tc>
        <w:tc>
          <w:tcPr>
            <w:tcW w:w="1520" w:type="dxa"/>
            <w:vAlign w:val="bottom"/>
          </w:tcPr>
          <w:p>
            <w:pPr>
              <w:jc w:val="right"/>
              <w:spacing w:after="0"/>
              <w:rPr>
                <w:sz w:val="20"/>
                <w:szCs w:val="20"/>
                <w:color w:val="auto"/>
              </w:rPr>
            </w:pPr>
            <w:r>
              <w:rPr>
                <w:rFonts w:ascii="Arial" w:cs="Arial" w:eastAsia="Arial" w:hAnsi="Arial"/>
                <w:sz w:val="18"/>
                <w:szCs w:val="18"/>
                <w:color w:val="auto"/>
              </w:rPr>
              <w:t>38,649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John S. Levy(14)</w:t>
            </w:r>
          </w:p>
        </w:tc>
        <w:tc>
          <w:tcPr>
            <w:tcW w:w="1520" w:type="dxa"/>
            <w:vAlign w:val="bottom"/>
          </w:tcPr>
          <w:p>
            <w:pPr>
              <w:jc w:val="right"/>
              <w:spacing w:after="0"/>
              <w:rPr>
                <w:sz w:val="20"/>
                <w:szCs w:val="20"/>
                <w:color w:val="auto"/>
              </w:rPr>
            </w:pPr>
            <w:r>
              <w:rPr>
                <w:rFonts w:ascii="Arial" w:cs="Arial" w:eastAsia="Arial" w:hAnsi="Arial"/>
                <w:sz w:val="18"/>
                <w:szCs w:val="18"/>
                <w:color w:val="auto"/>
              </w:rPr>
              <w:t>106,066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378,928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520" w:type="dxa"/>
            <w:vAlign w:val="bottom"/>
          </w:tcPr>
          <w:p>
            <w:pPr>
              <w:jc w:val="right"/>
              <w:spacing w:after="0"/>
              <w:rPr>
                <w:sz w:val="20"/>
                <w:szCs w:val="20"/>
                <w:color w:val="auto"/>
              </w:rPr>
            </w:pPr>
            <w:r>
              <w:rPr>
                <w:rFonts w:ascii="Arial" w:cs="Arial" w:eastAsia="Arial" w:hAnsi="Arial"/>
                <w:sz w:val="18"/>
                <w:szCs w:val="18"/>
                <w:color w:val="auto"/>
              </w:rPr>
              <w:t>22,500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2,491,642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540" w:right="40" w:hanging="532"/>
        <w:spacing w:after="0" w:line="230"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14, 2011, as of December 31, 2010, FMR LLC, Edward C. Johnson 3d, Fidelity Management &amp; Research Company, Pyramis Global Advisors, LLC, Pyramis Global Advisors Trust Company and FIL Limited, or, collectively, Fidelity, may be deemed to beneficially own an aggregate of 7,965,193 shares of our common stock, which includes 7,945,286 shares of our common stock and 19,907 share-equivalents issuable upon the conversion of our 3% convertible bonds. The business address for Fidelity is 82 Devonshire Street, Boston, MA 02109.</w:t>
      </w:r>
    </w:p>
    <w:p>
      <w:pPr>
        <w:spacing w:after="0" w:line="112" w:lineRule="exact"/>
        <w:rPr>
          <w:rFonts w:ascii="Arial" w:cs="Arial" w:eastAsia="Arial" w:hAnsi="Arial"/>
          <w:sz w:val="14"/>
          <w:szCs w:val="14"/>
          <w:color w:val="auto"/>
        </w:rPr>
      </w:pPr>
    </w:p>
    <w:p>
      <w:pPr>
        <w:jc w:val="both"/>
        <w:ind w:left="540" w:hanging="532"/>
        <w:spacing w:after="0" w:line="288" w:lineRule="auto"/>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10, 2011, as of December 31, 2010, The Vanguard Group, Inc. may be deemed to beneficially own an aggregate of 7,366,994 shares of our common stock in its capacity as an investment advisor, which includes 52,139 shares of our common stock held by Vanguard Fiduciary Trust Company as a result of its serving as investment manager of collective trust accounts. The business address of Vanguard is 100 Vanguard Blvd., Malvern, PA 19355.</w:t>
      </w:r>
    </w:p>
    <w:p>
      <w:pPr>
        <w:spacing w:after="0" w:line="83" w:lineRule="exact"/>
        <w:rPr>
          <w:rFonts w:ascii="Arial" w:cs="Arial" w:eastAsia="Arial" w:hAnsi="Arial"/>
          <w:sz w:val="12"/>
          <w:szCs w:val="12"/>
          <w:color w:val="auto"/>
        </w:rPr>
      </w:pPr>
    </w:p>
    <w:p>
      <w:pPr>
        <w:ind w:left="540" w:right="80" w:hanging="532"/>
        <w:spacing w:after="0" w:line="318" w:lineRule="auto"/>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8, 2011, as of December 31, 2010, BlackRock, Inc., BlackRock Japan Co. Ltd., BlackRock Advisors (UK) Limited, BlackRock Asset Management Deutschland AG, BlackRock Institutional Trust Company, N.A., BlackRock Fund Advisors, BlackRock Asset Management Canada</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540"/>
        <w:spacing w:after="0" w:line="288" w:lineRule="auto"/>
        <w:rPr>
          <w:sz w:val="20"/>
          <w:szCs w:val="20"/>
          <w:color w:val="auto"/>
        </w:rPr>
      </w:pPr>
      <w:r>
        <w:rPr>
          <w:rFonts w:ascii="Arial" w:cs="Arial" w:eastAsia="Arial" w:hAnsi="Arial"/>
          <w:sz w:val="12"/>
          <w:szCs w:val="12"/>
          <w:color w:val="auto"/>
        </w:rPr>
        <w:t>Limited, BlackRock Asset Management Australia Limited, BlackRock Advisors, LLC, BlackRock Capital Management, Inc., BlackRock Financial Management, Inc., BlackRock Investment Management, LLC, BlackRock Investment Management (Australia) Limited, BlackRock (Luxembourg) S.A., BlackRock Fund Managers Limited and BlackRock International Limited, or, collectively, BlackRock, may be deemed to beneficially own an aggregate of 6,354,155 shares of our common stock. The business address for BlackRock is 40 East 52nd Street, New York, NY 10022.</w:t>
      </w:r>
    </w:p>
    <w:p>
      <w:pPr>
        <w:spacing w:after="0" w:line="151" w:lineRule="exact"/>
        <w:rPr>
          <w:sz w:val="20"/>
          <w:szCs w:val="20"/>
          <w:color w:val="auto"/>
        </w:rPr>
      </w:pPr>
    </w:p>
    <w:p>
      <w:pPr>
        <w:ind w:left="540" w:right="160" w:hanging="532"/>
        <w:spacing w:after="0" w:line="28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11, 2011, as of December 31, 2010, Deutsche Bank AG, Deutsche Investment Management Americas, Deutsche Bank Trust Company Americas, Oppenheim Asset Management Services S.à. r.l, 4IP Management S.A. and RREEF America, L.L.C., or, collectively, Deutsche Bank, may be deemed to beneficially own an aggregate of 4,591,329 shares of our common stock. The business address for Deutsche Bank is 1555 Peachtree Street NE; Atlanta, GA 30309.</w:t>
      </w:r>
    </w:p>
    <w:p>
      <w:pPr>
        <w:spacing w:after="0" w:line="83" w:lineRule="exact"/>
        <w:rPr>
          <w:rFonts w:ascii="Arial" w:cs="Arial" w:eastAsia="Arial" w:hAnsi="Arial"/>
          <w:sz w:val="12"/>
          <w:szCs w:val="12"/>
          <w:color w:val="auto"/>
        </w:rPr>
      </w:pPr>
    </w:p>
    <w:p>
      <w:pPr>
        <w:jc w:val="both"/>
        <w:ind w:left="540" w:right="20" w:hanging="532"/>
        <w:spacing w:after="0" w:line="28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14, 2011, as of December 31, 2010, Cohen &amp; Steers, Inc., Cohen &amp; Steers Capital Management, Inc. and Cohen &amp; Steers Europe S.A., collectively, may be deemed to beneficially own an aggregate of 4,541,659 shares of our common stock. The business address for Cohen &amp; Steers, Inc. and Cohen &amp; Steers Capital Management, Inc. is 280 Park Avenue, 10th Floor, New York, NY 10017. The business address for Cohen &amp; Steers Europe S.A. is Chausee de la Hulpe 116, 1170 Brussels, Belgium.</w:t>
      </w:r>
    </w:p>
    <w:p>
      <w:pPr>
        <w:spacing w:after="0" w:line="83" w:lineRule="exact"/>
        <w:rPr>
          <w:rFonts w:ascii="Arial" w:cs="Arial" w:eastAsia="Arial" w:hAnsi="Arial"/>
          <w:sz w:val="12"/>
          <w:szCs w:val="12"/>
          <w:color w:val="auto"/>
        </w:rPr>
      </w:pPr>
    </w:p>
    <w:p>
      <w:pPr>
        <w:ind w:left="540" w:hanging="532"/>
        <w:spacing w:after="0" w:line="233"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10, 2011, as of December 31, 2010, Vanguard Specialized Funds—Vanguard REIT Index Fund—23-2834924 may be deemed to beneficially own an aggregate of 4,135,751 shares of our common stock in its capacity as an investment advisor. The business address of Vanguard Specialized Funds—Vanguard REIT Index Fund—23-2834924 is 100 Vanguard Blvd., Malvern, PA 19355.</w:t>
      </w:r>
    </w:p>
    <w:p>
      <w:pPr>
        <w:spacing w:after="0" w:line="111" w:lineRule="exact"/>
        <w:rPr>
          <w:rFonts w:ascii="Arial" w:cs="Arial" w:eastAsia="Arial" w:hAnsi="Arial"/>
          <w:sz w:val="14"/>
          <w:szCs w:val="14"/>
          <w:color w:val="auto"/>
        </w:rPr>
      </w:pPr>
    </w:p>
    <w:p>
      <w:pPr>
        <w:ind w:left="540" w:right="500" w:hanging="532"/>
        <w:spacing w:after="0" w:line="31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10, 2011, as of December 31, 2010, T. Rowe Price Associates, Inc. may be deemed to beneficially own an aggregate of 3,090,490 shares of our common stock. The business address for T. Rowe Price Associates, Inc. is 100 E. Pratt Street, Baltimore, MD 21202.</w:t>
      </w:r>
    </w:p>
    <w:p>
      <w:pPr>
        <w:spacing w:after="0" w:line="66" w:lineRule="exact"/>
        <w:rPr>
          <w:rFonts w:ascii="Arial" w:cs="Arial" w:eastAsia="Arial" w:hAnsi="Arial"/>
          <w:sz w:val="12"/>
          <w:szCs w:val="12"/>
          <w:color w:val="auto"/>
        </w:rPr>
      </w:pPr>
    </w:p>
    <w:p>
      <w:pPr>
        <w:ind w:left="540" w:right="120" w:hanging="532"/>
        <w:spacing w:after="0" w:line="28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10, 2011, as of December 31, 2010, Invesco Ltd., Invesco Advisers, Inc., Invesco PowerShares Capital Management, Van Kampen Asset Management, Invesco PowerShares Capital Management Ireland Ltd. and Invesco National Trust Company, or, collectively, Invesco, may be deemed to beneficially own an aggregate of 2,628,640 shares of our common stock. The business address for Invesco is 1555 Peachtree Street NE; Atlanta, GA 30309.</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42,000 shares of our common stock subject to options exercisable within 60 days of April 29, 2011 and 14,796 phantom units.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24,000 shares of our common stock subject to options exercisable within 60 days of April 29, 2011 and 24,993 phantom units.</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1,113,925 limited partnership units in SL Green Operating Partnership, L.P. held directly or indirectly through certain partnerships and other similar entities and 207,000 shares of our common stock issuable upon the exercise of options exercisable within 60 days of April 29, 2011.</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6,000 shares of our common stock subject to options exercisable within 60 days of April 29, 2011 and 1,467 phantom units.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Gregory Hughes' employment at the Company terminated in 2010.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66,000 shares of our common stock subject to options exercisable within 60 days of April 29, 2011 and 24,240 phantom units.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are not involved in any legal proceeding in which any of our directors or executive officers is adverse to the Company or in any material pending legal proceeding.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our board of directors. In addition, First Quality has the non-exclusive opportunity to provide cleaning and related services to individual tenants at our properties on a basis separately negotiated with any tenant seeking such additional services. The Service Corp. has entered into an arrangement with Alliance whereby it will receive a profit participation above a certain threshold for services provided by Alliance to certain tenants at certain buildings above the base services specified in their lease agreements. Alliance paid the Service Corporation approximately $2.2 million, $1.8 million and $1.4 million for the years ended December 31, 2010, 2009 and 2008, respectively. We paid Alliance approximately $14.2 million, $14.9 million and $15.1 million for three years ended December 31, 2010, respectively, for these services (excluding services provided directly to tenants).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The aggregate amount of fees paid to S.L. Green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Management Corp. from such entity was approximately $390,700 in 2010, $351,700 in 2009 and $353,500 in 2008.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Nancy Peck and Company leases 1,003 square feet of space at 420 Lexington Avenue under a lease that ends in August 2015. Nancy Peck and Company is owned by Nancy Peck, the wife of Stephen L. Green. The rent due pursuant to the lease is $35,516 per annum for year one increasing to $40,000 in year seven. From February 2007 through December 2008, Nancy Peck and Company leased 507 square feet of space at 420 Lexington Avenue pursuant to a lease which provided for annual rental payments of approximately $15,210.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Cushman &amp; Wakefield Sonnenblick-Goldman, LLC, or Sonnenblick, a nationally recognized real estate investment banking firm, provided mortgage brokerage services to us. Mr. Morton Holliday, the father of Mr. Marc Holliday, was a Managing Director of Sonnenblick at the time of the financings. In 2009, we paid approximately $428,000 to Sonnenblick in connection with the purchase of a sub-leasehold interest and the refinancing of 420 Lexington Avenue.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related parties at December 31, 2010 and 2009 consisted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from joint ventures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Officers and employees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8"/>
                <w:szCs w:val="18"/>
                <w:color w:val="auto"/>
              </w:rPr>
              <w:t>Related party receivables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6,295</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April 2004, we formed Gramercy as a commercial real estate finance business. Gramercy qualified as a REIT for federal income tax purposes and expects to qualify for its current fiscal year.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2010, we held 5,349,370 shares, or approximately 10.71% of Gramercy's common stock. Our total investment of approximately</w:t>
      </w:r>
    </w:p>
    <w:p>
      <w:pPr>
        <w:spacing w:after="0" w:line="3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$12.4 million is based on the market value of our common stock investment in Gramercy at December 31, 2010. As we no longer have any significant influence over Gramercy, we account for our investment as available-for-sale securities. During 2010, we sold 870,000 shares of Gramercy common stock and realized a gain of approximately $1.4 million on the sale.</w:t>
      </w:r>
    </w:p>
    <w:p>
      <w:pPr>
        <w:spacing w:after="0" w:line="19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Effective May 2005, June 2009 and October 2009, respectively, Gramercy entered into three lease agreements with an affiliate of ours, for their corporate offices at 420 Lexington Avenue in Manhattan. The first lease is for approximately 7,300 square feet and carries a term of ten years with rents of approximately $249,000 per annum for year one increasing to $315,000 per annum in year ten. The second lease is for approximately 900 square feet pursuant to a lease which ends in April 2015, with annual rent under this lease of approximately $35,300 per annum for year one increasing to $42,800 per annum in year six. The third lease is for approximately 1,400 square feet pursuant to a lease which ends in April 2015, with annual rent under this lease of approximately $67,300 per annum for year one increasing to $80,500 per annum in year six.</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October 28, 2009, Gramercy announced the appointment of Roger M. Cozzi, as President and Chief Executive Officer, effective immediately. Effective as of November 13, 2009, Timothy J. O'Connor was appointed as President of Gramercy. Mr. Holliday remains a board member of Gramercy.</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2009, we, as well as a consolidated affiliate of ours, entered into consulting agreements with Gramercy whereby Gramercy provides services required for the evaluation, acquisition, disposition and portfolio management of CMBS investments. We pay 10 basis points and our affiliate pays 25 basis points of the principal amount of all trades executed. We and our affiliate paid approximately $48,000 in aggregate fees for such services during the year ended December 31, 2010.</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$7,500 plus out-of-pocket expenses.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2012 annual meeting must submit their proposals to our Corporate Secretary on or before December 31, 2011.</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18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less than 90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Assuming that our 2012 annual meeting is not advanced by more than seven calendar days or delayed by more than 60 days from the anniversary date of the 2011 annual meeting, we must receive notice of your intention to introduce a nomination or other item of business at the 2012 annual meeting after December 18, 2011 and no later than March 17, 2012.</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that is a depositary) and any person that, directly or indirectly through one or more intermediaries, controls, is controlled by or is under common control with such stockholder or Stockholder Associated Person (a "Stockholder Associated Person"), the information required by our bylaws, including (i) the name and address of such stockholder, as they appear on SL Green's books, and the current name, business address and residence address of any such Stockholder Associated Person or Proposed Nominee, (ii)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(iii)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178"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165735</wp:posOffset>
            </wp:positionV>
            <wp:extent cx="1826895" cy="565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3"/>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3"/>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9"/>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4"/>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Roman"/>
      <w:start w:val="1"/>
    </w:lvl>
    <w:lvl w:ilvl="1">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lowerRoman"/>
      <w:start w:val="1"/>
    </w:lvl>
    <w:lvl w:ilvl="1">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Roman"/>
      <w:start w:val="1"/>
    </w:lvl>
    <w:lvl w:ilvl="1">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4"/>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2019-12-10T17:15:29Z</dcterms:created>
  <dcterms:modified xsi:type="dcterms:W3CDTF">2019-12-10T17:15:29Z</dcterms:modified>
</cp:coreProperties>
</file>