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 Prospectus Supplement</w:t>
        </w:r>
      </w:hyperlink>
    </w:p>
    <w:p>
      <w:pPr>
        <w:spacing w:after="0"/>
        <w:rPr>
          <w:rFonts w:ascii="Times New Roman" w:cs="Times New Roman" w:eastAsia="Times New Roman" w:hAnsi="Times New Roman"/>
          <w:sz w:val="22"/>
          <w:szCs w:val="22"/>
          <w:u w:val="single" w:color="auto"/>
          <w:color w:val="0000EE"/>
        </w:rPr>
      </w:pPr>
      <w:hyperlink w:anchor="page51">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65" w:lineRule="exact"/>
        <w:rPr>
          <w:sz w:val="24"/>
          <w:szCs w:val="24"/>
          <w:color w:val="auto"/>
        </w:rPr>
      </w:pPr>
    </w:p>
    <w:tbl>
      <w:tblPr>
        <w:tblLayout w:type="fixed"/>
        <w:tblInd w:w="16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4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226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86"/>
        </w:trPr>
        <w:tc>
          <w:tcPr>
            <w:tcW w:w="20" w:type="dxa"/>
            <w:vAlign w:val="bottom"/>
          </w:tcPr>
          <w:p>
            <w:pPr>
              <w:spacing w:after="0"/>
              <w:rPr>
                <w:sz w:val="16"/>
                <w:szCs w:val="16"/>
                <w:color w:val="auto"/>
              </w:rPr>
            </w:pPr>
          </w:p>
        </w:tc>
        <w:tc>
          <w:tcPr>
            <w:tcW w:w="22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Registration Fee(1)</w:t>
            </w:r>
          </w:p>
        </w:tc>
      </w:tr>
      <w:tr>
        <w:trPr>
          <w:trHeight w:val="237"/>
        </w:trPr>
        <w:tc>
          <w:tcPr>
            <w:tcW w:w="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8"/>
                <w:szCs w:val="18"/>
                <w:color w:val="auto"/>
                <w:w w:val="96"/>
              </w:rPr>
              <w:t>4.50% Senior Notes due 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$100,000,000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105.334%</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$105,334,000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$13,114.08</w:t>
            </w: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79" w:right="1440"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333-208621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Prospectus dated December 18, 2015)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162560</wp:posOffset>
            </wp:positionV>
            <wp:extent cx="227266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jc w:val="center"/>
        <w:spacing w:after="0"/>
        <w:rPr>
          <w:sz w:val="20"/>
          <w:szCs w:val="20"/>
          <w:color w:val="auto"/>
        </w:rPr>
      </w:pPr>
      <w:r>
        <w:rPr>
          <w:rFonts w:ascii="Times New Roman" w:cs="Times New Roman" w:eastAsia="Times New Roman" w:hAnsi="Times New Roman"/>
          <w:sz w:val="32"/>
          <w:szCs w:val="32"/>
          <w:b w:val="1"/>
          <w:bCs w:val="1"/>
          <w:color w:val="auto"/>
        </w:rPr>
        <w:t>Reckson Operating Partnership, L.P.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4.50%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SL Green Realty Corp. ("SL Green"), SL Green Operating Partnership, L.P. ("SL Green OP") and Reckson Operating Partnership, L.P. ("ROP") (collectively, the "co-obligors"), are jointly and severally offering an additional $100 million aggregate principal amount of their 4.50% Senior Notes due 2022 at 105.334% of the principal amount of the notes, which we refer to as the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SL Green Realty Corp.:</w:t>
      </w:r>
    </w:p>
    <w:p>
      <w:pPr>
        <w:spacing w:after="0" w:line="194" w:lineRule="exact"/>
        <w:rPr>
          <w:sz w:val="20"/>
          <w:szCs w:val="20"/>
          <w:color w:val="auto"/>
        </w:rPr>
      </w:pPr>
    </w:p>
    <w:p>
      <w:pPr>
        <w:jc w:val="both"/>
        <w:ind w:left="540" w:right="120" w:hanging="532"/>
        <w:spacing w:after="0" w:line="234" w:lineRule="auto"/>
        <w:tabs>
          <w:tab w:leader="none" w:pos="5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 Green is a self-managed real estate investment trust with in-house capabilities in property management, acquisitions and dispositions, financing, development and redevelopment, construction and leasing. SL Green operates its business through SL Green OP. Through its subsidiaries, SL Green owns interests in properties in the New York Metropolitan area, primarily in midtown Manhattan. SL Green's investments in the New York Metropolitan area also include investments in Brooklyn, Long Island, Westchester County, Connecticut and New Jersey.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4" w:lineRule="exact"/>
        <w:rPr>
          <w:sz w:val="20"/>
          <w:szCs w:val="20"/>
          <w:color w:val="auto"/>
        </w:rPr>
      </w:pPr>
    </w:p>
    <w:p>
      <w:pPr>
        <w:ind w:left="540" w:right="260" w:hanging="532"/>
        <w:spacing w:after="0" w:line="241" w:lineRule="auto"/>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the net proceeds from the sale of the notes offered hereby for general corporate purposes, which may include, among other things, the repayment of amounts outstanding under our Credit Facility (as defined herein) or other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Notes:</w:t>
      </w:r>
    </w:p>
    <w:p>
      <w:pPr>
        <w:spacing w:after="0" w:line="194"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The notes will mature on December 1, 2022.</w:t>
      </w:r>
    </w:p>
    <w:p>
      <w:pPr>
        <w:spacing w:after="0" w:line="122" w:lineRule="exact"/>
        <w:rPr>
          <w:rFonts w:ascii="Times New Roman" w:cs="Times New Roman" w:eastAsia="Times New Roman" w:hAnsi="Times New Roman"/>
          <w:sz w:val="14"/>
          <w:szCs w:val="14"/>
          <w:color w:val="auto"/>
        </w:rPr>
      </w:pPr>
    </w:p>
    <w:p>
      <w:pPr>
        <w:ind w:left="540" w:right="260" w:hanging="532"/>
        <w:spacing w:after="0" w:line="241" w:lineRule="auto"/>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The notes offered hereby will bear interest at the rate of 4.50% per year. We will pay interest on the notes semiannually in arrears in cash on June 1 and December 1 of each year, beginning on December 1, 2017.</w:t>
      </w:r>
    </w:p>
    <w:p>
      <w:pPr>
        <w:spacing w:after="0" w:line="108" w:lineRule="exact"/>
        <w:rPr>
          <w:rFonts w:ascii="Times New Roman" w:cs="Times New Roman" w:eastAsia="Times New Roman" w:hAnsi="Times New Roman"/>
          <w:sz w:val="14"/>
          <w:szCs w:val="14"/>
          <w:color w:val="auto"/>
        </w:rPr>
      </w:pPr>
    </w:p>
    <w:p>
      <w:pPr>
        <w:ind w:left="540" w:right="60" w:hanging="532"/>
        <w:spacing w:after="0" w:line="231" w:lineRule="auto"/>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notes offered hereby, other than their issue date and public offering price, will be identical to the terms of the $200,000,000 aggregate principal amount of 4.50% Senior Notes due December 1, 2022 offered and sold by our prospectus supplement dated November 9, 2012 and the accompanying prospectus (the "initial notes"). The notes offered by this prospectus supplement and the accompanying prospectus will have the same CUSIP number as the initial notes and will trade interchangeably with initial notes immediately upon settlement. Upon consummation of this offering, the aggregate principal amount of our 4.50% Senior Notes due 2022, including the notes offered hereby, will be $300,000,000.</w:t>
      </w:r>
    </w:p>
    <w:p>
      <w:pPr>
        <w:spacing w:after="0" w:line="109"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will be the unsecured senior obligations of SL Green, SL Green OP and ROP and rank equally with each entity's other senior indebtedness from time to time outstanding.</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Optional Redemption: We may redeem the notes, in whole or from time to time in part, at the applicable redemption price described in "Description of the Notes — Optional Redemption."</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 The notes offered hereby will be issued only in registered form in minimum denominations of $2,000 and integral multiples of $1,000 in excess thereof.</w:t>
      </w:r>
    </w:p>
    <w:p>
      <w:pPr>
        <w:spacing w:after="0" w:line="122" w:lineRule="exact"/>
        <w:rPr>
          <w:rFonts w:ascii="Times New Roman" w:cs="Times New Roman" w:eastAsia="Times New Roman" w:hAnsi="Times New Roman"/>
          <w:sz w:val="14"/>
          <w:szCs w:val="14"/>
          <w:color w:val="auto"/>
        </w:rPr>
      </w:pPr>
    </w:p>
    <w:p>
      <w:pPr>
        <w:ind w:left="540" w:right="20" w:hanging="532"/>
        <w:spacing w:after="0" w:line="241" w:lineRule="auto"/>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and Public Market: There is no established trading market for the notes. We do not intend to apply for the notes to be listed on any securities exchange or to arrange for the notes to be quoted on any quotation system.</w:t>
      </w:r>
    </w:p>
    <w:p>
      <w:pPr>
        <w:spacing w:after="0" w:line="1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b w:val="1"/>
          <w:bCs w:val="1"/>
          <w:color w:val="auto"/>
        </w:rPr>
        <w:t>Investing in our notes involves risks, which you should consider before investing. See "Risk Factors" beginning on page S-7 of this prospectus supplement, page 4 of the accompanying prospectus and the risk factors incorporated by reference herein.</w:t>
      </w:r>
    </w:p>
    <w:p>
      <w:pPr>
        <w:spacing w:after="0" w:line="182" w:lineRule="exact"/>
        <w:rPr>
          <w:sz w:val="20"/>
          <w:szCs w:val="20"/>
          <w:color w:val="auto"/>
        </w:rPr>
      </w:pPr>
    </w:p>
    <w:p>
      <w:pPr>
        <w:ind w:right="800"/>
        <w:spacing w:after="0" w:line="24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20" w:type="dxa"/>
            <w:vAlign w:val="bottom"/>
            <w:tcBorders>
              <w:top w:val="single" w:sz="8" w:color="auto"/>
              <w:bottom w:val="single" w:sz="8" w:color="auto"/>
            </w:tcBorders>
          </w:tcPr>
          <w:p>
            <w:pPr>
              <w:spacing w:after="0"/>
              <w:rPr>
                <w:sz w:val="3"/>
                <w:szCs w:val="3"/>
                <w:color w:val="auto"/>
              </w:rPr>
            </w:pPr>
          </w:p>
        </w:tc>
        <w:tc>
          <w:tcPr>
            <w:tcW w:w="46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Proceeds to</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680" w:type="dxa"/>
            <w:vAlign w:val="bottom"/>
          </w:tcPr>
          <w:p>
            <w:pPr>
              <w:ind w:left="3460"/>
              <w:spacing w:after="0" w:line="149" w:lineRule="exact"/>
              <w:rPr>
                <w:sz w:val="20"/>
                <w:szCs w:val="20"/>
                <w:color w:val="auto"/>
              </w:rPr>
            </w:pPr>
            <w:r>
              <w:rPr>
                <w:rFonts w:ascii="Times New Roman" w:cs="Times New Roman" w:eastAsia="Times New Roman" w:hAnsi="Times New Roman"/>
                <w:sz w:val="14"/>
                <w:szCs w:val="14"/>
                <w:b w:val="1"/>
                <w:bCs w:val="1"/>
                <w:color w:val="auto"/>
              </w:rPr>
              <w:t>Public Offering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Underwriting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 (before</w:t>
            </w:r>
          </w:p>
        </w:tc>
      </w:tr>
      <w:tr>
        <w:trPr>
          <w:trHeight w:val="186"/>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jc w:val="center"/>
              <w:ind w:left="3072"/>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Discount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expenses)</w:t>
            </w:r>
          </w:p>
        </w:tc>
      </w:tr>
      <w:tr>
        <w:trPr>
          <w:trHeight w:val="175"/>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Per Note</w:t>
            </w:r>
          </w:p>
        </w:tc>
        <w:tc>
          <w:tcPr>
            <w:tcW w:w="4680" w:type="dxa"/>
            <w:vAlign w:val="bottom"/>
            <w:tcBorders>
              <w:bottom w:val="single" w:sz="8" w:color="auto"/>
            </w:tcBorders>
          </w:tcPr>
          <w:p>
            <w:pPr>
              <w:jc w:val="center"/>
              <w:ind w:left="3092"/>
              <w:spacing w:after="0"/>
              <w:rPr>
                <w:sz w:val="20"/>
                <w:szCs w:val="20"/>
                <w:color w:val="auto"/>
              </w:rPr>
            </w:pPr>
            <w:r>
              <w:rPr>
                <w:rFonts w:ascii="Times New Roman" w:cs="Times New Roman" w:eastAsia="Times New Roman" w:hAnsi="Times New Roman"/>
                <w:sz w:val="14"/>
                <w:szCs w:val="14"/>
                <w:color w:val="auto"/>
                <w:w w:val="97"/>
              </w:rPr>
              <w:t>105.334%</w:t>
            </w:r>
          </w:p>
        </w:tc>
        <w:tc>
          <w:tcPr>
            <w:tcW w:w="14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0.600%</w:t>
            </w: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104.734%</w:t>
            </w:r>
          </w:p>
        </w:tc>
      </w:tr>
      <w:tr>
        <w:trPr>
          <w:trHeight w:val="169"/>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4680" w:type="dxa"/>
            <w:vAlign w:val="bottom"/>
            <w:tcBorders>
              <w:bottom w:val="single" w:sz="8" w:color="auto"/>
            </w:tcBorders>
          </w:tcPr>
          <w:p>
            <w:pPr>
              <w:jc w:val="center"/>
              <w:ind w:left="3072"/>
              <w:spacing w:after="0"/>
              <w:rPr>
                <w:sz w:val="20"/>
                <w:szCs w:val="20"/>
                <w:color w:val="auto"/>
              </w:rPr>
            </w:pPr>
            <w:r>
              <w:rPr>
                <w:rFonts w:ascii="Times New Roman" w:cs="Times New Roman" w:eastAsia="Times New Roman" w:hAnsi="Times New Roman"/>
                <w:sz w:val="14"/>
                <w:szCs w:val="14"/>
                <w:color w:val="auto"/>
                <w:w w:val="96"/>
              </w:rPr>
              <w:t>$105,334,000</w:t>
            </w:r>
          </w:p>
        </w:tc>
        <w:tc>
          <w:tcPr>
            <w:tcW w:w="14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$600,000</w:t>
            </w: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$104,734,000</w:t>
            </w: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80" w:firstLine="8"/>
        <w:spacing w:after="0" w:line="540" w:lineRule="auto"/>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and including June 1, 2017 to but excluding the delivery date (totaling $1,862,500). Accrued interest on the notes offered hereby must be paid by the purchasers of the notes. The underwriters expect to deliver the notes offered hereby on or about October 30, 2017 only in book-entry form through the facilities of The Depositary Trust Company.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36" w:lineRule="exact"/>
        <w:rPr>
          <w:sz w:val="20"/>
          <w:szCs w:val="20"/>
          <w:color w:val="auto"/>
        </w:rPr>
      </w:pPr>
    </w:p>
    <w:p>
      <w:pPr>
        <w:spacing w:after="0"/>
        <w:tabs>
          <w:tab w:leader="none" w:pos="5660" w:val="left"/>
          <w:tab w:leader="none" w:pos="10400" w:val="left"/>
        </w:tabs>
        <w:rPr>
          <w:sz w:val="20"/>
          <w:szCs w:val="20"/>
          <w:color w:val="auto"/>
        </w:rPr>
      </w:pPr>
      <w:r>
        <w:rPr>
          <w:rFonts w:ascii="Times New Roman" w:cs="Times New Roman" w:eastAsia="Times New Roman" w:hAnsi="Times New Roman"/>
          <w:sz w:val="24"/>
          <w:szCs w:val="24"/>
          <w:b w:val="1"/>
          <w:bCs w:val="1"/>
          <w:color w:val="auto"/>
        </w:rPr>
        <w:t>Wells Fargo Securities</w:t>
      </w:r>
      <w:r>
        <w:rPr>
          <w:sz w:val="20"/>
          <w:szCs w:val="20"/>
          <w:color w:val="auto"/>
        </w:rPr>
        <w:tab/>
      </w:r>
      <w:r>
        <w:rPr>
          <w:rFonts w:ascii="Times New Roman" w:cs="Times New Roman" w:eastAsia="Times New Roman" w:hAnsi="Times New Roman"/>
          <w:sz w:val="24"/>
          <w:szCs w:val="24"/>
          <w:b w:val="1"/>
          <w:bCs w:val="1"/>
          <w:color w:val="auto"/>
        </w:rPr>
        <w:t>BofA Merrill Lynch</w:t>
      </w:r>
      <w:r>
        <w:rPr>
          <w:sz w:val="20"/>
          <w:szCs w:val="20"/>
          <w:color w:val="auto"/>
        </w:rPr>
        <w:tab/>
      </w:r>
      <w:r>
        <w:rPr>
          <w:rFonts w:ascii="Times New Roman" w:cs="Times New Roman" w:eastAsia="Times New Roman" w:hAnsi="Times New Roman"/>
          <w:sz w:val="23"/>
          <w:szCs w:val="23"/>
          <w:b w:val="1"/>
          <w:bCs w:val="1"/>
          <w:color w:val="auto"/>
        </w:rPr>
        <w:t>Citigroup</w:t>
      </w:r>
    </w:p>
    <w:p>
      <w:pPr>
        <w:sectPr>
          <w:pgSz w:w="11900" w:h="16838" w:orient="portrait"/>
          <w:cols w:equalWidth="0" w:num="1">
            <w:col w:w="11420"/>
          </w:cols>
          <w:pgMar w:left="240" w:top="125" w:right="239" w:bottom="896"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date of this prospectus supplement is 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96"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prospectus and any related free writing prospectus we provide to you that is required to be filed with the Securities and Exchange Commission (the "Commission").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130810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40" w:type="dxa"/>
            <w:vAlign w:val="bottom"/>
            <w:gridSpan w:val="8"/>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2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1"/>
        </w:trPr>
        <w:tc>
          <w:tcPr>
            <w:tcW w:w="2500" w:type="dxa"/>
            <w:vAlign w:val="bottom"/>
            <w:tcBorders>
              <w:bottom w:val="single" w:sz="8" w:color="0000EE"/>
            </w:tcBorders>
            <w:gridSpan w:val="16"/>
          </w:tcPr>
          <w:p>
            <w:pPr>
              <w:spacing w:after="0" w:line="171"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About This Prospectus Supplement</w:t>
              </w:r>
            </w:hyperlink>
          </w:p>
        </w:tc>
        <w:tc>
          <w:tcPr>
            <w:tcW w:w="5980" w:type="dxa"/>
            <w:vAlign w:val="bottom"/>
            <w:gridSpan w:val="11"/>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0000EE"/>
            </w:tcBorders>
            <w:gridSpan w:val="4"/>
          </w:tcPr>
          <w:p>
            <w:pPr>
              <w:jc w:val="right"/>
              <w:spacing w:after="0" w:line="171" w:lineRule="exact"/>
              <w:rPr>
                <w:rFonts w:ascii="Times New Roman" w:cs="Times New Roman" w:eastAsia="Times New Roman" w:hAnsi="Times New Roman"/>
                <w:sz w:val="18"/>
                <w:szCs w:val="18"/>
                <w:color w:val="0000EE"/>
                <w:w w:val="90"/>
              </w:rPr>
            </w:pPr>
            <w:hyperlink w:anchor="page5">
              <w:r>
                <w:rPr>
                  <w:rFonts w:ascii="Times New Roman" w:cs="Times New Roman" w:eastAsia="Times New Roman" w:hAnsi="Times New Roman"/>
                  <w:sz w:val="18"/>
                  <w:szCs w:val="18"/>
                  <w:color w:val="0000EE"/>
                  <w:w w:val="90"/>
                </w:rPr>
                <w:t>S-iii</w:t>
              </w:r>
            </w:hyperlink>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Cautionary Statement Regarding Forward Looking Statements</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4"/>
          </w:tcPr>
          <w:p>
            <w:pPr>
              <w:jc w:val="right"/>
              <w:spacing w:after="0" w:line="196" w:lineRule="exact"/>
              <w:rPr>
                <w:rFonts w:ascii="Times New Roman" w:cs="Times New Roman" w:eastAsia="Times New Roman" w:hAnsi="Times New Roman"/>
                <w:sz w:val="18"/>
                <w:szCs w:val="18"/>
                <w:color w:val="0000EE"/>
                <w:w w:val="90"/>
              </w:rPr>
            </w:pPr>
            <w:hyperlink w:anchor="page5">
              <w:r>
                <w:rPr>
                  <w:rFonts w:ascii="Times New Roman" w:cs="Times New Roman" w:eastAsia="Times New Roman" w:hAnsi="Times New Roman"/>
                  <w:sz w:val="18"/>
                  <w:szCs w:val="18"/>
                  <w:color w:val="0000EE"/>
                  <w:w w:val="90"/>
                </w:rPr>
                <w:t>S-iii</w:t>
              </w:r>
            </w:hyperlink>
          </w:p>
        </w:tc>
      </w:tr>
      <w:tr>
        <w:trPr>
          <w:trHeight w:val="196"/>
        </w:trPr>
        <w:tc>
          <w:tcPr>
            <w:tcW w:w="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Summary</w:t>
              </w:r>
            </w:hyperlink>
          </w:p>
        </w:tc>
        <w:tc>
          <w:tcPr>
            <w:tcW w:w="3700" w:type="dxa"/>
            <w:vAlign w:val="bottom"/>
            <w:tcBorders>
              <w:top w:val="single" w:sz="8" w:color="0000EE"/>
            </w:tcBorders>
            <w:gridSpan w:val="21"/>
          </w:tcPr>
          <w:p>
            <w:pPr>
              <w:spacing w:after="0"/>
              <w:rPr>
                <w:sz w:val="17"/>
                <w:szCs w:val="17"/>
                <w:color w:val="auto"/>
              </w:rPr>
            </w:pPr>
          </w:p>
        </w:tc>
        <w:tc>
          <w:tcPr>
            <w:tcW w:w="40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7">
              <w:r>
                <w:rPr>
                  <w:rFonts w:ascii="Times New Roman" w:cs="Times New Roman" w:eastAsia="Times New Roman" w:hAnsi="Times New Roman"/>
                  <w:sz w:val="18"/>
                  <w:szCs w:val="18"/>
                  <w:color w:val="0000EE"/>
                  <w:w w:val="87"/>
                </w:rPr>
                <w:t>S-1</w:t>
              </w:r>
            </w:hyperlink>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758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13">
              <w:r>
                <w:rPr>
                  <w:rFonts w:ascii="Times New Roman" w:cs="Times New Roman" w:eastAsia="Times New Roman" w:hAnsi="Times New Roman"/>
                  <w:sz w:val="18"/>
                  <w:szCs w:val="18"/>
                  <w:color w:val="0000EE"/>
                  <w:w w:val="87"/>
                </w:rPr>
                <w:t>S-7</w:t>
              </w:r>
            </w:hyperlink>
          </w:p>
        </w:tc>
      </w:tr>
      <w:tr>
        <w:trPr>
          <w:trHeight w:val="196"/>
        </w:trPr>
        <w:tc>
          <w:tcPr>
            <w:tcW w:w="1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Use of Proceeds</w:t>
              </w:r>
            </w:hyperlink>
          </w:p>
        </w:tc>
        <w:tc>
          <w:tcPr>
            <w:tcW w:w="7320" w:type="dxa"/>
            <w:vAlign w:val="bottom"/>
            <w:gridSpan w:val="21"/>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15">
              <w:r>
                <w:rPr>
                  <w:rFonts w:ascii="Times New Roman" w:cs="Times New Roman" w:eastAsia="Times New Roman" w:hAnsi="Times New Roman"/>
                  <w:sz w:val="18"/>
                  <w:szCs w:val="18"/>
                  <w:color w:val="0000EE"/>
                  <w:w w:val="87"/>
                </w:rPr>
                <w:t>S-9</w:t>
              </w:r>
            </w:hyperlink>
          </w:p>
        </w:tc>
      </w:tr>
      <w:tr>
        <w:trPr>
          <w:trHeight w:val="196"/>
        </w:trPr>
        <w:tc>
          <w:tcPr>
            <w:tcW w:w="2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Ratios of Earnings to Fixed Charges</w:t>
              </w:r>
            </w:hyperlink>
          </w:p>
        </w:tc>
        <w:tc>
          <w:tcPr>
            <w:tcW w:w="59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16">
              <w:r>
                <w:rPr>
                  <w:rFonts w:ascii="Times New Roman" w:cs="Times New Roman" w:eastAsia="Times New Roman" w:hAnsi="Times New Roman"/>
                  <w:sz w:val="18"/>
                  <w:szCs w:val="18"/>
                  <w:color w:val="0000EE"/>
                  <w:w w:val="93"/>
                </w:rPr>
                <w:t>S-10</w:t>
              </w:r>
            </w:hyperlink>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Capitalization of SL Green</w:t>
              </w:r>
            </w:hyperlink>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5"/>
          </w:tcPr>
          <w:p>
            <w:pPr>
              <w:jc w:val="right"/>
              <w:spacing w:after="0" w:line="196"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S-11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Selected Financial Data of SL Green</w:t>
              </w:r>
            </w:hyperlink>
          </w:p>
        </w:tc>
        <w:tc>
          <w:tcPr>
            <w:tcW w:w="160" w:type="dxa"/>
            <w:vAlign w:val="bottom"/>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w w:val="93"/>
              </w:rPr>
            </w:pPr>
            <w:hyperlink w:anchor="page18">
              <w:r>
                <w:rPr>
                  <w:rFonts w:ascii="Times New Roman" w:cs="Times New Roman" w:eastAsia="Times New Roman" w:hAnsi="Times New Roman"/>
                  <w:sz w:val="18"/>
                  <w:szCs w:val="18"/>
                  <w:color w:val="0000EE"/>
                  <w:w w:val="93"/>
                </w:rPr>
                <w:t>S-12</w:t>
              </w:r>
            </w:hyperlink>
          </w:p>
        </w:tc>
      </w:tr>
      <w:tr>
        <w:trPr>
          <w:trHeight w:val="196"/>
        </w:trPr>
        <w:tc>
          <w:tcPr>
            <w:tcW w:w="25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Description of Other Indebtedness</w:t>
              </w:r>
            </w:hyperlink>
          </w:p>
        </w:tc>
        <w:tc>
          <w:tcPr>
            <w:tcW w:w="590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21">
              <w:r>
                <w:rPr>
                  <w:rFonts w:ascii="Times New Roman" w:cs="Times New Roman" w:eastAsia="Times New Roman" w:hAnsi="Times New Roman"/>
                  <w:sz w:val="18"/>
                  <w:szCs w:val="18"/>
                  <w:color w:val="0000EE"/>
                  <w:w w:val="93"/>
                </w:rPr>
                <w:t>S-15</w:t>
              </w:r>
            </w:hyperlink>
          </w:p>
        </w:tc>
      </w:tr>
      <w:tr>
        <w:trPr>
          <w:trHeight w:val="196"/>
        </w:trPr>
        <w:tc>
          <w:tcPr>
            <w:tcW w:w="17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Description of the Notes</w:t>
              </w:r>
            </w:hyperlink>
          </w:p>
        </w:tc>
        <w:tc>
          <w:tcPr>
            <w:tcW w:w="680" w:type="dxa"/>
            <w:vAlign w:val="bottom"/>
            <w:tcBorders>
              <w:top w:val="single" w:sz="8" w:color="0000EE"/>
            </w:tcBorders>
            <w:gridSpan w:val="6"/>
          </w:tcPr>
          <w:p>
            <w:pPr>
              <w:spacing w:after="0"/>
              <w:rPr>
                <w:sz w:val="17"/>
                <w:szCs w:val="17"/>
                <w:color w:val="auto"/>
              </w:rPr>
            </w:pPr>
          </w:p>
        </w:tc>
        <w:tc>
          <w:tcPr>
            <w:tcW w:w="60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25">
              <w:r>
                <w:rPr>
                  <w:rFonts w:ascii="Times New Roman" w:cs="Times New Roman" w:eastAsia="Times New Roman" w:hAnsi="Times New Roman"/>
                  <w:sz w:val="18"/>
                  <w:szCs w:val="18"/>
                  <w:color w:val="0000EE"/>
                  <w:w w:val="93"/>
                </w:rPr>
                <w:t>S-19</w:t>
              </w:r>
            </w:hyperlink>
          </w:p>
        </w:tc>
      </w:tr>
      <w:tr>
        <w:trPr>
          <w:trHeight w:val="196"/>
        </w:trPr>
        <w:tc>
          <w:tcPr>
            <w:tcW w:w="51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Supplemental Material United States Federal Income Tax Consequences</w:t>
              </w:r>
            </w:hyperlink>
          </w:p>
        </w:tc>
        <w:tc>
          <w:tcPr>
            <w:tcW w:w="33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40">
              <w:r>
                <w:rPr>
                  <w:rFonts w:ascii="Times New Roman" w:cs="Times New Roman" w:eastAsia="Times New Roman" w:hAnsi="Times New Roman"/>
                  <w:sz w:val="18"/>
                  <w:szCs w:val="18"/>
                  <w:color w:val="0000EE"/>
                  <w:w w:val="93"/>
                </w:rPr>
                <w:t>S-34</w:t>
              </w:r>
            </w:hyperlink>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Underwriting</w:t>
              </w:r>
            </w:hyperlink>
          </w:p>
        </w:tc>
        <w:tc>
          <w:tcPr>
            <w:tcW w:w="752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41">
              <w:r>
                <w:rPr>
                  <w:rFonts w:ascii="Times New Roman" w:cs="Times New Roman" w:eastAsia="Times New Roman" w:hAnsi="Times New Roman"/>
                  <w:sz w:val="18"/>
                  <w:szCs w:val="18"/>
                  <w:color w:val="0000EE"/>
                  <w:w w:val="93"/>
                </w:rPr>
                <w:t>S-35</w:t>
              </w:r>
            </w:hyperlink>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Legal Matters</w:t>
              </w:r>
            </w:hyperlink>
          </w:p>
        </w:tc>
        <w:tc>
          <w:tcPr>
            <w:tcW w:w="160" w:type="dxa"/>
            <w:vAlign w:val="bottom"/>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w w:val="93"/>
              </w:rPr>
            </w:pPr>
            <w:hyperlink w:anchor="page46">
              <w:r>
                <w:rPr>
                  <w:rFonts w:ascii="Times New Roman" w:cs="Times New Roman" w:eastAsia="Times New Roman" w:hAnsi="Times New Roman"/>
                  <w:sz w:val="18"/>
                  <w:szCs w:val="18"/>
                  <w:color w:val="0000EE"/>
                  <w:w w:val="93"/>
                </w:rPr>
                <w:t>S-40</w:t>
              </w:r>
            </w:hyperlink>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Experts</w:t>
              </w:r>
            </w:hyperlink>
          </w:p>
        </w:tc>
        <w:tc>
          <w:tcPr>
            <w:tcW w:w="750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46">
              <w:r>
                <w:rPr>
                  <w:rFonts w:ascii="Times New Roman" w:cs="Times New Roman" w:eastAsia="Times New Roman" w:hAnsi="Times New Roman"/>
                  <w:sz w:val="18"/>
                  <w:szCs w:val="18"/>
                  <w:color w:val="0000EE"/>
                  <w:w w:val="93"/>
                </w:rPr>
                <w:t>S-40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8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Where You Can Find More Information; Incorporation By Reference</w:t>
              </w:r>
            </w:hyperlink>
          </w:p>
        </w:tc>
        <w:tc>
          <w:tcPr>
            <w:tcW w:w="36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47">
              <w:r>
                <w:rPr>
                  <w:rFonts w:ascii="Times New Roman" w:cs="Times New Roman" w:eastAsia="Times New Roman" w:hAnsi="Times New Roman"/>
                  <w:sz w:val="18"/>
                  <w:szCs w:val="18"/>
                  <w:color w:val="0000EE"/>
                  <w:w w:val="93"/>
                </w:rPr>
                <w:t>S-41</w:t>
              </w:r>
            </w:hyperlink>
          </w:p>
        </w:tc>
      </w:tr>
      <w:tr>
        <w:trPr>
          <w:trHeight w:val="66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5"/>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1"/>
        </w:trPr>
        <w:tc>
          <w:tcPr>
            <w:tcW w:w="1560" w:type="dxa"/>
            <w:vAlign w:val="bottom"/>
            <w:gridSpan w:val="7"/>
          </w:tcPr>
          <w:p>
            <w:pPr>
              <w:spacing w:after="0" w:line="171"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About this Prospectus</w:t>
              </w:r>
            </w:hyperlink>
          </w:p>
        </w:tc>
        <w:tc>
          <w:tcPr>
            <w:tcW w:w="6920" w:type="dxa"/>
            <w:vAlign w:val="bottom"/>
            <w:gridSpan w:val="20"/>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spacing w:after="0" w:line="171"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ii</w:t>
              </w:r>
            </w:hyperlink>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040" w:type="dxa"/>
            <w:vAlign w:val="bottom"/>
            <w:gridSpan w:val="19"/>
          </w:tcPr>
          <w:p>
            <w:pPr>
              <w:spacing w:after="0" w:line="196" w:lineRule="exact"/>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Information About SL Green Realty Corp.</w:t>
              </w:r>
            </w:hyperlink>
          </w:p>
        </w:tc>
        <w:tc>
          <w:tcPr>
            <w:tcW w:w="5440" w:type="dxa"/>
            <w:vAlign w:val="bottom"/>
            <w:gridSpan w:val="8"/>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1</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980" w:type="dxa"/>
            <w:vAlign w:val="bottom"/>
            <w:gridSpan w:val="22"/>
          </w:tcPr>
          <w:p>
            <w:pPr>
              <w:spacing w:after="0" w:line="196" w:lineRule="exact"/>
              <w:rPr>
                <w:rFonts w:ascii="Times New Roman" w:cs="Times New Roman" w:eastAsia="Times New Roman" w:hAnsi="Times New Roman"/>
                <w:sz w:val="18"/>
                <w:szCs w:val="18"/>
                <w:color w:val="0000EE"/>
                <w:w w:val="95"/>
              </w:rPr>
            </w:pPr>
            <w:hyperlink w:anchor="page54">
              <w:r>
                <w:rPr>
                  <w:rFonts w:ascii="Times New Roman" w:cs="Times New Roman" w:eastAsia="Times New Roman" w:hAnsi="Times New Roman"/>
                  <w:sz w:val="18"/>
                  <w:szCs w:val="18"/>
                  <w:color w:val="0000EE"/>
                  <w:w w:val="95"/>
                </w:rPr>
                <w:t>Information About SL Green Operating Partnership, L.P.</w:t>
              </w:r>
            </w:hyperlink>
          </w:p>
        </w:tc>
        <w:tc>
          <w:tcPr>
            <w:tcW w:w="4500" w:type="dxa"/>
            <w:vAlign w:val="bottom"/>
            <w:gridSpan w:val="5"/>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2</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980" w:type="dxa"/>
            <w:vAlign w:val="bottom"/>
            <w:gridSpan w:val="22"/>
          </w:tcPr>
          <w:p>
            <w:pPr>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Information About Reckson Operating Partnership, L.P.</w:t>
              </w:r>
            </w:hyperlink>
          </w:p>
        </w:tc>
        <w:tc>
          <w:tcPr>
            <w:tcW w:w="4500" w:type="dxa"/>
            <w:vAlign w:val="bottom"/>
            <w:gridSpan w:val="5"/>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2</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Risk Factors</w:t>
              </w:r>
            </w:hyperlink>
          </w:p>
        </w:tc>
        <w:tc>
          <w:tcPr>
            <w:tcW w:w="3080" w:type="dxa"/>
            <w:vAlign w:val="bottom"/>
            <w:gridSpan w:val="19"/>
          </w:tcPr>
          <w:p>
            <w:pPr>
              <w:spacing w:after="0"/>
              <w:rPr>
                <w:sz w:val="17"/>
                <w:szCs w:val="17"/>
                <w:color w:val="auto"/>
              </w:rPr>
            </w:pPr>
          </w:p>
        </w:tc>
        <w:tc>
          <w:tcPr>
            <w:tcW w:w="4500" w:type="dxa"/>
            <w:vAlign w:val="bottom"/>
            <w:gridSpan w:val="5"/>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4</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Forward-Looking Statements May Prove Inaccurate</w:t>
              </w:r>
            </w:hyperlink>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Use of Proceeds</w:t>
              </w:r>
            </w:hyperlink>
          </w:p>
        </w:tc>
        <w:tc>
          <w:tcPr>
            <w:tcW w:w="2500" w:type="dxa"/>
            <w:vAlign w:val="bottom"/>
            <w:gridSpan w:val="14"/>
          </w:tcPr>
          <w:p>
            <w:pPr>
              <w:spacing w:after="0"/>
              <w:rPr>
                <w:sz w:val="17"/>
                <w:szCs w:val="17"/>
                <w:color w:val="auto"/>
              </w:rPr>
            </w:pPr>
          </w:p>
        </w:tc>
        <w:tc>
          <w:tcPr>
            <w:tcW w:w="4820" w:type="dxa"/>
            <w:vAlign w:val="bottom"/>
            <w:gridSpan w:val="7"/>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7</w:t>
              </w:r>
            </w:hyperlink>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540" w:type="dxa"/>
            <w:vAlign w:val="bottom"/>
            <w:gridSpan w:val="26"/>
          </w:tcPr>
          <w:p>
            <w:pPr>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Ratios of Earnings to Combined Fixed Charges and Preferred Stock Dividends</w:t>
              </w:r>
            </w:hyperlink>
          </w:p>
        </w:tc>
        <w:tc>
          <w:tcPr>
            <w:tcW w:w="2940" w:type="dxa"/>
            <w:vAlign w:val="bottom"/>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8</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540" w:type="dxa"/>
            <w:vAlign w:val="bottom"/>
            <w:gridSpan w:val="26"/>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Price Range of Common Stock and Dividend Policy</w:t>
              </w:r>
            </w:hyperlink>
          </w:p>
        </w:tc>
        <w:tc>
          <w:tcPr>
            <w:tcW w:w="2940" w:type="dxa"/>
            <w:vAlign w:val="bottom"/>
          </w:tcPr>
          <w:p>
            <w:pPr>
              <w:spacing w:after="0"/>
              <w:rPr>
                <w:sz w:val="17"/>
                <w:szCs w:val="17"/>
                <w:color w:val="auto"/>
              </w:rPr>
            </w:pPr>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9</w:t>
              </w:r>
            </w:hyperlink>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Description of Common Stock</w:t>
              </w:r>
            </w:hyperlink>
          </w:p>
        </w:tc>
        <w:tc>
          <w:tcPr>
            <w:tcW w:w="1500" w:type="dxa"/>
            <w:vAlign w:val="bottom"/>
            <w:gridSpan w:val="8"/>
          </w:tcPr>
          <w:p>
            <w:pPr>
              <w:spacing w:after="0"/>
              <w:rPr>
                <w:sz w:val="17"/>
                <w:szCs w:val="17"/>
                <w:color w:val="auto"/>
              </w:rPr>
            </w:pPr>
          </w:p>
        </w:tc>
        <w:tc>
          <w:tcPr>
            <w:tcW w:w="4800" w:type="dxa"/>
            <w:vAlign w:val="bottom"/>
            <w:gridSpan w:val="6"/>
          </w:tcPr>
          <w:p>
            <w:pPr>
              <w:spacing w:after="0"/>
              <w:rPr>
                <w:sz w:val="17"/>
                <w:szCs w:val="17"/>
                <w:color w:val="auto"/>
              </w:rPr>
            </w:pPr>
          </w:p>
        </w:tc>
        <w:tc>
          <w:tcPr>
            <w:tcW w:w="32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10</w:t>
              </w:r>
            </w:hyperlink>
          </w:p>
        </w:tc>
      </w:tr>
      <w:tr>
        <w:trPr>
          <w:trHeight w:val="196"/>
        </w:trPr>
        <w:tc>
          <w:tcPr>
            <w:tcW w:w="2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Description of Preferred Stock</w:t>
              </w:r>
            </w:hyperlink>
          </w:p>
        </w:tc>
        <w:tc>
          <w:tcPr>
            <w:tcW w:w="6320" w:type="dxa"/>
            <w:vAlign w:val="bottom"/>
            <w:gridSpan w:val="15"/>
          </w:tcPr>
          <w:p>
            <w:pPr>
              <w:spacing w:after="0"/>
              <w:rPr>
                <w:sz w:val="17"/>
                <w:szCs w:val="17"/>
                <w:color w:val="auto"/>
              </w:rPr>
            </w:pPr>
          </w:p>
        </w:tc>
        <w:tc>
          <w:tcPr>
            <w:tcW w:w="32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12</w:t>
              </w:r>
            </w:hyperlink>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Description of Depositary Shares</w:t>
              </w:r>
            </w:hyperlink>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19</w:t>
              </w:r>
            </w:hyperlink>
          </w:p>
        </w:tc>
      </w:tr>
      <w:tr>
        <w:trPr>
          <w:trHeight w:val="196"/>
        </w:trPr>
        <w:tc>
          <w:tcPr>
            <w:tcW w:w="17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Description of Warrants</w:t>
              </w:r>
            </w:hyperlink>
          </w:p>
        </w:tc>
        <w:tc>
          <w:tcPr>
            <w:tcW w:w="640" w:type="dxa"/>
            <w:vAlign w:val="bottom"/>
            <w:tcBorders>
              <w:top w:val="single" w:sz="8" w:color="0000EE"/>
            </w:tcBorders>
            <w:gridSpan w:val="6"/>
          </w:tcPr>
          <w:p>
            <w:pPr>
              <w:spacing w:after="0"/>
              <w:rPr>
                <w:sz w:val="17"/>
                <w:szCs w:val="17"/>
                <w:color w:val="auto"/>
              </w:rPr>
            </w:pPr>
          </w:p>
        </w:tc>
        <w:tc>
          <w:tcPr>
            <w:tcW w:w="6140" w:type="dxa"/>
            <w:vAlign w:val="bottom"/>
            <w:gridSpan w:val="13"/>
          </w:tcPr>
          <w:p>
            <w:pPr>
              <w:spacing w:after="0"/>
              <w:rPr>
                <w:sz w:val="17"/>
                <w:szCs w:val="17"/>
                <w:color w:val="auto"/>
              </w:rPr>
            </w:pPr>
          </w:p>
        </w:tc>
        <w:tc>
          <w:tcPr>
            <w:tcW w:w="32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23</w:t>
              </w:r>
            </w:hyperlink>
          </w:p>
        </w:tc>
      </w:tr>
      <w:tr>
        <w:trPr>
          <w:trHeight w:val="196"/>
        </w:trPr>
        <w:tc>
          <w:tcPr>
            <w:tcW w:w="8480" w:type="dxa"/>
            <w:vAlign w:val="bottom"/>
            <w:gridSpan w:val="27"/>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Description of Debt Securities</w:t>
              </w:r>
            </w:hyperlink>
          </w:p>
        </w:tc>
        <w:tc>
          <w:tcPr>
            <w:tcW w:w="50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24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62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1"/>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1"/>
        </w:trPr>
        <w:tc>
          <w:tcPr>
            <w:tcW w:w="1140" w:type="dxa"/>
            <w:vAlign w:val="bottom"/>
          </w:tcPr>
          <w:p>
            <w:pPr>
              <w:spacing w:after="0"/>
              <w:rPr>
                <w:sz w:val="14"/>
                <w:szCs w:val="14"/>
                <w:color w:val="auto"/>
              </w:rPr>
            </w:pPr>
          </w:p>
        </w:tc>
        <w:tc>
          <w:tcPr>
            <w:tcW w:w="8480" w:type="dxa"/>
            <w:vAlign w:val="bottom"/>
            <w:gridSpan w:val="11"/>
          </w:tcPr>
          <w:p>
            <w:pPr>
              <w:spacing w:after="0" w:line="171"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Description of Guarantees of Debt Securities</w:t>
              </w:r>
            </w:hyperlink>
          </w:p>
        </w:tc>
        <w:tc>
          <w:tcPr>
            <w:tcW w:w="500" w:type="dxa"/>
            <w:vAlign w:val="bottom"/>
            <w:gridSpan w:val="2"/>
          </w:tcPr>
          <w:p>
            <w:pPr>
              <w:jc w:val="right"/>
              <w:spacing w:after="0" w:line="171"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27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80" w:type="dxa"/>
            <w:vAlign w:val="bottom"/>
            <w:gridSpan w:val="11"/>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Certain Anti-Takeover Provisions of Maryland Law</w:t>
              </w:r>
            </w:hyperlink>
          </w:p>
        </w:tc>
        <w:tc>
          <w:tcPr>
            <w:tcW w:w="50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28</w:t>
              </w:r>
            </w:hyperlink>
          </w:p>
        </w:tc>
      </w:tr>
      <w:tr>
        <w:trPr>
          <w:trHeight w:val="196"/>
        </w:trPr>
        <w:tc>
          <w:tcPr>
            <w:tcW w:w="1140" w:type="dxa"/>
            <w:vAlign w:val="bottom"/>
          </w:tcPr>
          <w:p>
            <w:pPr>
              <w:spacing w:after="0"/>
              <w:rPr>
                <w:sz w:val="17"/>
                <w:szCs w:val="17"/>
                <w:color w:val="auto"/>
              </w:rPr>
            </w:pPr>
          </w:p>
        </w:tc>
        <w:tc>
          <w:tcPr>
            <w:tcW w:w="36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Restrictions on Ownership of Capital Stock</w:t>
              </w:r>
            </w:hyperlink>
          </w:p>
        </w:tc>
        <w:tc>
          <w:tcPr>
            <w:tcW w:w="48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31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80" w:type="dxa"/>
            <w:vAlign w:val="bottom"/>
            <w:gridSpan w:val="11"/>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Material United States Federal Income Tax Consequences</w:t>
              </w:r>
            </w:hyperlink>
          </w:p>
        </w:tc>
        <w:tc>
          <w:tcPr>
            <w:tcW w:w="50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33</w:t>
              </w:r>
            </w:hyperlink>
          </w:p>
        </w:tc>
      </w:tr>
      <w:tr>
        <w:trPr>
          <w:trHeight w:val="196"/>
        </w:trPr>
        <w:tc>
          <w:tcPr>
            <w:tcW w:w="1140" w:type="dxa"/>
            <w:vAlign w:val="bottom"/>
          </w:tcPr>
          <w:p>
            <w:pPr>
              <w:spacing w:after="0"/>
              <w:rPr>
                <w:sz w:val="17"/>
                <w:szCs w:val="17"/>
                <w:color w:val="auto"/>
              </w:rPr>
            </w:pPr>
          </w:p>
        </w:tc>
        <w:tc>
          <w:tcPr>
            <w:tcW w:w="4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Selling Stockholders</w:t>
              </w:r>
            </w:hyperlink>
          </w:p>
        </w:tc>
        <w:tc>
          <w:tcPr>
            <w:tcW w:w="44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2">
              <w:r>
                <w:rPr>
                  <w:rFonts w:ascii="Times New Roman" w:cs="Times New Roman" w:eastAsia="Times New Roman" w:hAnsi="Times New Roman"/>
                  <w:sz w:val="18"/>
                  <w:szCs w:val="18"/>
                  <w:color w:val="0000EE"/>
                  <w:w w:val="88"/>
                </w:rPr>
                <w:t>50</w:t>
              </w:r>
            </w:hyperlink>
          </w:p>
        </w:tc>
      </w:tr>
      <w:tr>
        <w:trPr>
          <w:trHeight w:val="196"/>
        </w:trPr>
        <w:tc>
          <w:tcPr>
            <w:tcW w:w="114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Plan of Distribution</w:t>
              </w:r>
            </w:hyperlink>
          </w:p>
        </w:tc>
        <w:tc>
          <w:tcPr>
            <w:tcW w:w="70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3">
              <w:r>
                <w:rPr>
                  <w:rFonts w:ascii="Times New Roman" w:cs="Times New Roman" w:eastAsia="Times New Roman" w:hAnsi="Times New Roman"/>
                  <w:sz w:val="18"/>
                  <w:szCs w:val="18"/>
                  <w:color w:val="0000EE"/>
                  <w:w w:val="88"/>
                </w:rPr>
                <w:t>51</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Legal Matters</w:t>
              </w:r>
            </w:hyperlink>
          </w:p>
        </w:tc>
        <w:tc>
          <w:tcPr>
            <w:tcW w:w="70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5">
              <w:r>
                <w:rPr>
                  <w:rFonts w:ascii="Times New Roman" w:cs="Times New Roman" w:eastAsia="Times New Roman" w:hAnsi="Times New Roman"/>
                  <w:sz w:val="18"/>
                  <w:szCs w:val="18"/>
                  <w:color w:val="0000EE"/>
                  <w:w w:val="88"/>
                </w:rPr>
                <w:t>53</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Experts</w:t>
              </w:r>
            </w:hyperlink>
          </w:p>
        </w:tc>
        <w:tc>
          <w:tcPr>
            <w:tcW w:w="75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5">
              <w:r>
                <w:rPr>
                  <w:rFonts w:ascii="Times New Roman" w:cs="Times New Roman" w:eastAsia="Times New Roman" w:hAnsi="Times New Roman"/>
                  <w:sz w:val="18"/>
                  <w:szCs w:val="18"/>
                  <w:color w:val="0000EE"/>
                  <w:w w:val="88"/>
                </w:rPr>
                <w:t>53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06">
              <w:r>
                <w:rPr>
                  <w:rFonts w:ascii="Times New Roman" w:cs="Times New Roman" w:eastAsia="Times New Roman" w:hAnsi="Times New Roman"/>
                  <w:sz w:val="18"/>
                  <w:szCs w:val="18"/>
                  <w:color w:val="0000EE"/>
                  <w:w w:val="97"/>
                </w:rPr>
                <w:t>Where You Can Find More Information; Incorporation By Reference</w:t>
              </w:r>
            </w:hyperlink>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6">
              <w:r>
                <w:rPr>
                  <w:rFonts w:ascii="Times New Roman" w:cs="Times New Roman" w:eastAsia="Times New Roman" w:hAnsi="Times New Roman"/>
                  <w:sz w:val="18"/>
                  <w:szCs w:val="18"/>
                  <w:color w:val="0000EE"/>
                  <w:w w:val="88"/>
                </w:rPr>
                <w:t>54</w:t>
              </w:r>
            </w:hyperlink>
          </w:p>
        </w:tc>
      </w:tr>
    </w:tbl>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7" w:lineRule="exact"/>
        <w:rPr>
          <w:sz w:val="20"/>
          <w:szCs w:val="20"/>
          <w:color w:val="auto"/>
        </w:rPr>
      </w:pPr>
    </w:p>
    <w:p>
      <w:pPr>
        <w:ind w:right="20" w:firstLine="436"/>
        <w:spacing w:after="0" w:line="293" w:lineRule="auto"/>
        <w:rPr>
          <w:sz w:val="20"/>
          <w:szCs w:val="20"/>
          <w:color w:val="auto"/>
        </w:rPr>
      </w:pPr>
      <w:r>
        <w:rPr>
          <w:rFonts w:ascii="Times New Roman" w:cs="Times New Roman" w:eastAsia="Times New Roman" w:hAnsi="Times New Roman"/>
          <w:sz w:val="16"/>
          <w:szCs w:val="16"/>
          <w:color w:val="auto"/>
        </w:rPr>
        <w:t>This document is in two parts. The first part is this prospectus supplement, which adds to and updates information contained in the accompanying prospectus as well as the documents incorporated by reference into this prospectus supplement. The second part, the accompanying prospectus, gives more general information about securities we may offer from time to time, some of which does not apply to the notes. To the extent any inconsistency or conflict exists between the information included in this prospectus supplement and the information included in the accompanying prospectus or any information incorporated by reference, the information contained in this prospectus supplement updates and supersedes such information. The information incorporated by reference into this prospectus supplement includes important business and financial information about us that is not included in, or delivered with, this prospectus supplement.</w:t>
      </w:r>
    </w:p>
    <w:p>
      <w:pPr>
        <w:spacing w:after="0" w:line="165" w:lineRule="exact"/>
        <w:rPr>
          <w:sz w:val="20"/>
          <w:szCs w:val="20"/>
          <w:color w:val="auto"/>
        </w:rPr>
      </w:pPr>
    </w:p>
    <w:p>
      <w:pPr>
        <w:ind w:right="180" w:firstLine="439"/>
        <w:spacing w:after="0" w:line="258"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prospectus in making your investment decision. You should also read and consider the information incorporated by reference in this prospectus supplement under the heading "Where You Can Find More Information; Incorporation by Reference," which supersedes the information under the heading "Where You Can Find More Information; Incorporation by Reference" in the accompanying prospectus.</w:t>
      </w:r>
    </w:p>
    <w:p>
      <w:pPr>
        <w:spacing w:after="0" w:line="190"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Unless the context requires otherwise, the term "SL Green" refers to SL Green Realty Corp. and not any of its subsidiaries, the term "SL Green OP" refers to SL Green Operating Partnership, L.P. and not any of its subsidiaries and the term "ROP" refers to Reckson Operating Partnership, L.P. and all entities owned or controlled by Reckson Operating Partnership, L.P. Unless the context requires otherwise, the terms "we," "our;" "ours," and "us" refers to SL Green Realty Corp., SL Green Operating Partnership, L.P. and Reckson Operating Partnership, L.P. and their respective subsidiaries on a consolidated basis.</w:t>
      </w: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7"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include certain statements that may be deemed to be "forward looking statements" within the meaning of the Private Securities Litigation Reform Act of 1995 and are intended to be covered by the safe harbor provisions thereof. All statements, other than statements of historical facts, included in this prospectus supplement, the accompanying prospectus and the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Manhattan, Brooklyn, Westchester County, Connecticut, Long Island and New Jersey office markets, business strategies, expansion and growth of our operations and other similar matters, are forward looking statements. These forward looking statements are based on certain assumptions and analyses made by us in light of our experience and our perception of historical trends, current conditions, expected future developments and other factors we believe are appropriate.</w:t>
      </w:r>
    </w:p>
    <w:p>
      <w:pPr>
        <w:spacing w:after="0" w:line="197" w:lineRule="exact"/>
        <w:rPr>
          <w:sz w:val="20"/>
          <w:szCs w:val="20"/>
          <w:color w:val="auto"/>
        </w:rPr>
      </w:pPr>
    </w:p>
    <w:p>
      <w:pPr>
        <w:ind w:right="180" w:firstLine="439"/>
        <w:spacing w:after="0" w:line="262" w:lineRule="auto"/>
        <w:rPr>
          <w:sz w:val="20"/>
          <w:szCs w:val="20"/>
          <w:color w:val="auto"/>
        </w:rPr>
      </w:pPr>
      <w:r>
        <w:rPr>
          <w:rFonts w:ascii="Times New Roman" w:cs="Times New Roman" w:eastAsia="Times New Roman" w:hAnsi="Times New Roman"/>
          <w:sz w:val="18"/>
          <w:szCs w:val="18"/>
          <w:color w:val="auto"/>
        </w:rPr>
        <w:t>Forward looking statements are not guarantees of future performance and actual results or developments may differ materially, and we caution you not to place undue reliance on such statements. Forward looking statements are generally identifiable by the use of the words "may," "will," "should," "expect," "anticipate," "estimate," "believe," "intend," "project," "continue," or the negative of these words, or other similar words or terms.</w:t>
      </w:r>
    </w:p>
    <w:p>
      <w:pPr>
        <w:spacing w:after="0" w:line="186"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8"/>
          <w:szCs w:val="18"/>
          <w:color w:val="auto"/>
        </w:rPr>
        <w:t>Forward looking statements contained in this prospectus supplement, the accompanying prospectus and the documents incorporated by reference herein are subject to a number of risks and uncertainties that may cause our actual results, performance or achievements to be materially different from</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results, performance or achievements expressed or implied by forward looking statements made by us. These risks and uncertainties include:</w:t>
      </w:r>
    </w:p>
    <w:p>
      <w:pPr>
        <w:spacing w:after="0" w:line="23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certain geographic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 and redevelopment, including the cost of construction delays and cost overruns;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 or borrower;</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(debt and equity);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 Green's ability to maintain its status as a real estate investment trust, or REIT;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 and</w:t>
      </w:r>
    </w:p>
    <w:p>
      <w:pPr>
        <w:spacing w:after="0" w:line="18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7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Other factors and risks to our business, many of which are beyond our control, are described in our filings with the Commission. Except as required by law, we undertake no obligation to publicly update or revise any forward looking statements, whether as a result of future events, new information or otherwise. In light of these risks and uncertainties, the forward looking events and circumstances discussed in this prospectus supplement, the accompanying prospectus and the documents incorporated by reference herein and therein might not occur and actual results, performance or achievement could differ materially from that anticipated or implied in the forward looking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353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35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left="240" w:right="1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or incorporated by reference in this prospectus supplement and accompanying prospectus and does not contain all of the information that may be important to you. You should carefully read this entire prospectus supplement and the accompanying prospectus, including the information incorporated by reference, before making a decision to invest in the notes.</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7" w:lineRule="exact"/>
        <w:rPr>
          <w:sz w:val="20"/>
          <w:szCs w:val="20"/>
          <w:color w:val="auto"/>
        </w:rPr>
      </w:pPr>
    </w:p>
    <w:p>
      <w:pPr>
        <w:ind w:left="240" w:right="460" w:firstLine="439"/>
        <w:spacing w:after="0" w:line="275" w:lineRule="auto"/>
        <w:rPr>
          <w:sz w:val="20"/>
          <w:szCs w:val="20"/>
          <w:color w:val="auto"/>
        </w:rPr>
      </w:pPr>
      <w:r>
        <w:rPr>
          <w:rFonts w:ascii="Times New Roman" w:cs="Times New Roman" w:eastAsia="Times New Roman" w:hAnsi="Times New Roman"/>
          <w:sz w:val="18"/>
          <w:szCs w:val="18"/>
          <w:color w:val="auto"/>
        </w:rPr>
        <w:t>SL Green, a Maryland corporation, is a self-managed REIT with in-house capabilities in property management, acquisitions and dispositions, financing, development and redevelopment, construction and leasing.</w:t>
      </w:r>
    </w:p>
    <w:p>
      <w:pPr>
        <w:spacing w:after="0" w:line="174" w:lineRule="exact"/>
        <w:rPr>
          <w:sz w:val="20"/>
          <w:szCs w:val="20"/>
          <w:color w:val="auto"/>
        </w:rPr>
      </w:pPr>
    </w:p>
    <w:p>
      <w:pPr>
        <w:ind w:left="240" w:firstLine="429"/>
        <w:spacing w:after="0" w:line="262" w:lineRule="auto"/>
        <w:rPr>
          <w:sz w:val="20"/>
          <w:szCs w:val="20"/>
          <w:color w:val="auto"/>
        </w:rPr>
      </w:pPr>
      <w:r>
        <w:rPr>
          <w:rFonts w:ascii="Times New Roman" w:cs="Times New Roman" w:eastAsia="Times New Roman" w:hAnsi="Times New Roman"/>
          <w:sz w:val="18"/>
          <w:szCs w:val="18"/>
          <w:color w:val="auto"/>
        </w:rPr>
        <w:t>As of June 30, 2017, SL Green owned the following interests in properties in the New York Metropolitan area, primarily in midtown Manhattan. SL Green's investments in the New York Metropolitan area also include investments in Brooklyn, Long Island, Westchester County, Connecticut and New Jersey, which are collectively known as the Suburban properties:</w:t>
      </w:r>
    </w:p>
    <w:p>
      <w:pPr>
        <w:spacing w:after="0" w:line="184" w:lineRule="exact"/>
        <w:rPr>
          <w:sz w:val="20"/>
          <w:szCs w:val="20"/>
          <w:color w:val="auto"/>
        </w:rPr>
      </w:pPr>
    </w:p>
    <w:tbl>
      <w:tblPr>
        <w:tblLayout w:type="fixed"/>
        <w:tblInd w:w="1340" w:type="dxa"/>
        <w:tblCellMar>
          <w:top w:w="0" w:type="dxa"/>
          <w:left w:w="0" w:type="dxa"/>
          <w:bottom w:w="0" w:type="dxa"/>
          <w:right w:w="0" w:type="dxa"/>
        </w:tblCellMar>
      </w:tblPr>
      <w:tr>
        <w:trPr>
          <w:trHeight w:val="165"/>
        </w:trPr>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r>
      <w:tr>
        <w:trPr>
          <w:trHeight w:val="149"/>
        </w:trPr>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5"/>
        </w:trPr>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r>
      <w:tr>
        <w:trPr>
          <w:trHeight w:val="27"/>
        </w:trPr>
        <w:tc>
          <w:tcPr>
            <w:tcW w:w="500" w:type="dxa"/>
            <w:vAlign w:val="bottom"/>
            <w:shd w:val="clear" w:color="auto" w:fill="000000"/>
          </w:tcPr>
          <w:p>
            <w:pPr>
              <w:spacing w:after="0"/>
              <w:rPr>
                <w:sz w:val="2"/>
                <w:szCs w:val="2"/>
                <w:color w:val="auto"/>
              </w:rPr>
            </w:pPr>
          </w:p>
        </w:tc>
        <w:tc>
          <w:tcPr>
            <w:tcW w:w="460" w:type="dxa"/>
            <w:vAlign w:val="bottom"/>
            <w:gridSpan w:val="2"/>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35"/>
        </w:trPr>
        <w:tc>
          <w:tcPr>
            <w:tcW w:w="9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Manhattan</w:t>
            </w:r>
          </w:p>
        </w:tc>
        <w:tc>
          <w:tcPr>
            <w:tcW w:w="1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Office</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16,054,606</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6,558,139</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22,612,745</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93.1%</w:t>
            </w:r>
          </w:p>
        </w:tc>
      </w:tr>
      <w:tr>
        <w:trPr>
          <w:trHeight w:val="216"/>
        </w:trPr>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Retail</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302,583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347,970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650,553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95.2%</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5"/>
              </w:rPr>
              <w:t>Development/Redevelopment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158,985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779,714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938,699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w:t>
            </w:r>
          </w:p>
        </w:tc>
      </w:tr>
      <w:tr>
        <w:trPr>
          <w:trHeight w:val="216"/>
        </w:trPr>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Fee Interest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176,530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176,530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16,692,704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7,685,823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24,378,527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91.5%</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96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Suburban</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(3)</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Office</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3,933,800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4,573,800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82.7%</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Retail</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52,000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16"/>
        </w:trPr>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Development/Redevelopment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3,986,800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4,626,800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82.9%</w:t>
            </w:r>
          </w:p>
        </w:tc>
      </w:tr>
      <w:tr>
        <w:trPr>
          <w:trHeight w:val="129"/>
        </w:trPr>
        <w:tc>
          <w:tcPr>
            <w:tcW w:w="960" w:type="dxa"/>
            <w:vAlign w:val="bottom"/>
            <w:gridSpan w:val="3"/>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9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20,679,504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8,325,823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29,005,327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90.2%</w:t>
            </w:r>
          </w:p>
        </w:tc>
      </w:tr>
      <w:tr>
        <w:trPr>
          <w:trHeight w:val="142"/>
        </w:trPr>
        <w:tc>
          <w:tcPr>
            <w:tcW w:w="9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9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Manhattan</w:t>
            </w:r>
          </w:p>
        </w:tc>
        <w:tc>
          <w:tcPr>
            <w:tcW w:w="1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8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472,105</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2,656,856</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3,128,961</w:t>
            </w: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88.9%</w:t>
            </w:r>
          </w:p>
        </w:tc>
      </w:tr>
      <w:tr>
        <w:trPr>
          <w:trHeight w:val="149"/>
        </w:trPr>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Suburban</w:t>
            </w:r>
          </w:p>
        </w:tc>
        <w:tc>
          <w:tcPr>
            <w:tcW w:w="1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29"/>
        </w:trPr>
        <w:tc>
          <w:tcPr>
            <w:tcW w:w="960" w:type="dxa"/>
            <w:vAlign w:val="bottom"/>
            <w:gridSpan w:val="3"/>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9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472,105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2,656,856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3,128,961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88.9%</w:t>
            </w:r>
          </w:p>
        </w:tc>
      </w:tr>
      <w:tr>
        <w:trPr>
          <w:trHeight w:val="142"/>
        </w:trPr>
        <w:tc>
          <w:tcPr>
            <w:tcW w:w="9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portfolio</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21,151,609</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10,982,679</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32,134,288</w:t>
            </w:r>
          </w:p>
        </w:tc>
        <w:tc>
          <w:tcPr>
            <w:tcW w:w="12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90.0%</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0" w:lineRule="exact"/>
        <w:rPr>
          <w:sz w:val="20"/>
          <w:szCs w:val="20"/>
          <w:color w:val="auto"/>
        </w:rPr>
      </w:pPr>
    </w:p>
    <w:p>
      <w:pPr>
        <w:ind w:left="1880" w:right="4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108" w:lineRule="exact"/>
        <w:rPr>
          <w:rFonts w:ascii="Times New Roman" w:cs="Times New Roman" w:eastAsia="Times New Roman" w:hAnsi="Times New Roman"/>
          <w:sz w:val="14"/>
          <w:szCs w:val="14"/>
          <w:color w:val="auto"/>
        </w:rPr>
      </w:pPr>
    </w:p>
    <w:p>
      <w:pPr>
        <w:ind w:left="1880" w:hanging="544"/>
        <w:spacing w:after="0" w:line="23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SL Green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109" w:lineRule="exact"/>
        <w:rPr>
          <w:rFonts w:ascii="Times New Roman" w:cs="Times New Roman" w:eastAsia="Times New Roman" w:hAnsi="Times New Roman"/>
          <w:sz w:val="14"/>
          <w:szCs w:val="14"/>
          <w:color w:val="auto"/>
        </w:rPr>
      </w:pPr>
    </w:p>
    <w:p>
      <w:pPr>
        <w:ind w:left="1880" w:right="12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properties at 680-750 Washington Boulevard, in Stamford, Connecticut, also known as Stamford Towers and 125 Chubb Avenue in Lyndhurst, New Jersey, which are classified as held for sale at June 30, 2017. 125 Chubb Avenue was sold in the fourth quarter of 2017.</w:t>
      </w:r>
    </w:p>
    <w:p>
      <w:pPr>
        <w:spacing w:after="0" w:line="188" w:lineRule="exact"/>
        <w:rPr>
          <w:sz w:val="20"/>
          <w:szCs w:val="20"/>
          <w:color w:val="auto"/>
        </w:rPr>
      </w:pPr>
    </w:p>
    <w:p>
      <w:pPr>
        <w:jc w:val="both"/>
        <w:ind w:left="240" w:right="80" w:firstLine="429"/>
        <w:spacing w:after="0" w:line="262" w:lineRule="auto"/>
        <w:rPr>
          <w:sz w:val="20"/>
          <w:szCs w:val="20"/>
          <w:color w:val="auto"/>
        </w:rPr>
      </w:pPr>
      <w:r>
        <w:rPr>
          <w:rFonts w:ascii="Times New Roman" w:cs="Times New Roman" w:eastAsia="Times New Roman" w:hAnsi="Times New Roman"/>
          <w:sz w:val="18"/>
          <w:szCs w:val="18"/>
          <w:color w:val="auto"/>
        </w:rPr>
        <w:t>As of June 30, 2017, SL Green also held debt and preferred equity investments with a book value of $2.1 billion, including $0.1 billion of debt and preferred equity investments and other financing receivables that are included in other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7225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22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7" w:lineRule="exact"/>
        <w:rPr>
          <w:sz w:val="20"/>
          <w:szCs w:val="20"/>
          <w:color w:val="auto"/>
        </w:rPr>
      </w:pPr>
    </w:p>
    <w:p>
      <w:pPr>
        <w:ind w:left="240" w:right="200" w:firstLine="439"/>
        <w:spacing w:after="0" w:line="262" w:lineRule="auto"/>
        <w:rPr>
          <w:sz w:val="20"/>
          <w:szCs w:val="20"/>
          <w:color w:val="auto"/>
        </w:rPr>
      </w:pPr>
      <w:r>
        <w:rPr>
          <w:rFonts w:ascii="Times New Roman" w:cs="Times New Roman" w:eastAsia="Times New Roman" w:hAnsi="Times New Roman"/>
          <w:sz w:val="18"/>
          <w:szCs w:val="18"/>
          <w:color w:val="auto"/>
        </w:rPr>
        <w:t>SL Green is the sole managing general partner of SL Green OP. Substantially all of SL Green's assets are held by, and all of its operations are conducted through, SL Green OP. As of June 30, 2017, SL Green owned 95.57% of the economic interests in SL Green OP and noncontrolling investors held, in the aggregate, a 4.43% limited partnership interest in SL Green OP.</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p>
      <w:pPr>
        <w:spacing w:after="0" w:line="227" w:lineRule="exact"/>
        <w:rPr>
          <w:sz w:val="20"/>
          <w:szCs w:val="20"/>
          <w:color w:val="auto"/>
        </w:rPr>
      </w:pPr>
    </w:p>
    <w:p>
      <w:pPr>
        <w:ind w:left="240" w:right="20" w:firstLine="439"/>
        <w:spacing w:after="0" w:line="262" w:lineRule="auto"/>
        <w:rPr>
          <w:sz w:val="20"/>
          <w:szCs w:val="20"/>
          <w:color w:val="auto"/>
        </w:rPr>
      </w:pPr>
      <w:r>
        <w:rPr>
          <w:rFonts w:ascii="Times New Roman" w:cs="Times New Roman" w:eastAsia="Times New Roman" w:hAnsi="Times New Roman"/>
          <w:sz w:val="18"/>
          <w:szCs w:val="18"/>
          <w:color w:val="auto"/>
        </w:rPr>
        <w:t>ROP is primarily engaged in the ownership, management, operation and development of commercial real estate properties, principally office properties, and also owns land for future development located in the New York Metropolitan area. ROP commenced operations on June 2, 1995. A wholly-owned subsidiary of SL Green OP is the sole general partner of ROP. SL Green OP is the sole limited partner of ROP.</w:t>
      </w:r>
    </w:p>
    <w:p>
      <w:pPr>
        <w:spacing w:after="0" w:line="186" w:lineRule="exact"/>
        <w:rPr>
          <w:sz w:val="20"/>
          <w:szCs w:val="20"/>
          <w:color w:val="auto"/>
        </w:rPr>
      </w:pPr>
    </w:p>
    <w:p>
      <w:pPr>
        <w:ind w:left="240" w:right="20" w:firstLine="429"/>
        <w:spacing w:after="0" w:line="262" w:lineRule="auto"/>
        <w:rPr>
          <w:sz w:val="20"/>
          <w:szCs w:val="20"/>
          <w:color w:val="auto"/>
        </w:rPr>
      </w:pPr>
      <w:r>
        <w:rPr>
          <w:rFonts w:ascii="Times New Roman" w:cs="Times New Roman" w:eastAsia="Times New Roman" w:hAnsi="Times New Roman"/>
          <w:sz w:val="18"/>
          <w:szCs w:val="18"/>
          <w:color w:val="auto"/>
        </w:rPr>
        <w:t>As of June 30, 2017, ROP owned the following interests in commercial office properties in the New York Metropolitan area, primarily in midtown Manhattan. ROP's investments in the New York Metropolitan area also include investments in Westchester County and Connecticut, which are collectively known as ROP's Suburban assets:</w:t>
      </w:r>
    </w:p>
    <w:p>
      <w:pPr>
        <w:spacing w:after="0" w:line="184"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9"/>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Location</w:t>
            </w:r>
          </w:p>
        </w:tc>
        <w:tc>
          <w:tcPr>
            <w:tcW w:w="1960" w:type="dxa"/>
            <w:vAlign w:val="bottom"/>
            <w:tcBorders>
              <w:bottom w:val="single" w:sz="8" w:color="CCEEFF"/>
            </w:tcBorders>
            <w:gridSpan w:val="2"/>
          </w:tcPr>
          <w:p>
            <w:pPr>
              <w:spacing w:after="0"/>
              <w:rPr>
                <w:sz w:val="20"/>
                <w:szCs w:val="20"/>
                <w:color w:val="auto"/>
              </w:rPr>
            </w:pPr>
          </w:p>
        </w:tc>
        <w:tc>
          <w:tcPr>
            <w:tcW w:w="2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Properties</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Square Feet</w:t>
            </w:r>
          </w:p>
        </w:tc>
        <w:tc>
          <w:tcPr>
            <w:tcW w:w="1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Occupancy(1)</w:t>
            </w:r>
          </w:p>
        </w:tc>
        <w:tc>
          <w:tcPr>
            <w:tcW w:w="160" w:type="dxa"/>
            <w:vAlign w:val="bottom"/>
            <w:tcBorders>
              <w:bottom w:val="single" w:sz="8" w:color="CCEEFF"/>
            </w:tcBorders>
          </w:tcPr>
          <w:p>
            <w:pPr>
              <w:spacing w:after="0"/>
              <w:rPr>
                <w:sz w:val="20"/>
                <w:szCs w:val="20"/>
                <w:color w:val="auto"/>
              </w:rPr>
            </w:pPr>
          </w:p>
        </w:tc>
      </w:tr>
      <w:tr>
        <w:trPr>
          <w:trHeight w:val="203"/>
        </w:trPr>
        <w:tc>
          <w:tcPr>
            <w:tcW w:w="26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Manhattan</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8,463,245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Retail(2)(3)</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364,816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Development/Redevelopment(4)</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Interest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176,530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9,013,791</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0"/>
        </w:trPr>
        <w:tc>
          <w:tcPr>
            <w:tcW w:w="2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Suburban</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Office(5)</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3,071,000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3,123,000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195"/>
        </w:trPr>
        <w:tc>
          <w:tcPr>
            <w:tcW w:w="2620" w:type="dxa"/>
            <w:vAlign w:val="bottom"/>
            <w:gridSpan w:val="3"/>
          </w:tcPr>
          <w:p>
            <w:pPr>
              <w:ind w:left="360"/>
              <w:spacing w:after="0" w:line="195" w:lineRule="exact"/>
              <w:rPr>
                <w:sz w:val="20"/>
                <w:szCs w:val="20"/>
                <w:color w:val="auto"/>
              </w:rPr>
            </w:pPr>
            <w:r>
              <w:rPr>
                <w:rFonts w:ascii="Times New Roman" w:cs="Times New Roman" w:eastAsia="Times New Roman" w:hAnsi="Times New Roman"/>
                <w:sz w:val="18"/>
                <w:szCs w:val="18"/>
                <w:color w:val="auto"/>
              </w:rPr>
              <w:t>Total commercial</w:t>
            </w: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6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properties</w:t>
            </w:r>
          </w:p>
        </w:tc>
        <w:tc>
          <w:tcPr>
            <w:tcW w:w="232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12,136,791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1"/>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Manhattan</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12,359,646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6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9" w:lineRule="exact"/>
        <w:rPr>
          <w:sz w:val="20"/>
          <w:szCs w:val="20"/>
          <w:color w:val="auto"/>
        </w:rPr>
      </w:pPr>
    </w:p>
    <w:p>
      <w:pPr>
        <w:ind w:left="1880" w:hanging="544"/>
        <w:spacing w:after="0" w:line="262" w:lineRule="auto"/>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199" w:lineRule="exact"/>
        <w:rPr>
          <w:rFonts w:ascii="Times New Roman" w:cs="Times New Roman" w:eastAsia="Times New Roman" w:hAnsi="Times New Roman"/>
          <w:sz w:val="18"/>
          <w:szCs w:val="18"/>
          <w:color w:val="auto"/>
        </w:rPr>
      </w:pPr>
    </w:p>
    <w:p>
      <w:pPr>
        <w:ind w:left="1880" w:right="140" w:hanging="544"/>
        <w:spacing w:after="0" w:line="256" w:lineRule="auto"/>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ROP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206" w:lineRule="exact"/>
        <w:rPr>
          <w:rFonts w:ascii="Times New Roman" w:cs="Times New Roman" w:eastAsia="Times New Roman" w:hAnsi="Times New Roman"/>
          <w:sz w:val="18"/>
          <w:szCs w:val="18"/>
          <w:color w:val="auto"/>
        </w:rPr>
      </w:pPr>
    </w:p>
    <w:p>
      <w:pPr>
        <w:ind w:left="1880" w:hanging="544"/>
        <w:spacing w:after="0"/>
        <w:tabs>
          <w:tab w:leader="none" w:pos="1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two unconsolidated joint venture retail properties at 131-137 Spring Street comprised of approximately 68,342 square feet.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791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79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80" w:hanging="544"/>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unconsolidated joint venture retail property at 102 Greene Street comprised of approximately 9,200 square feet.</w:t>
      </w:r>
    </w:p>
    <w:p>
      <w:pPr>
        <w:spacing w:after="0" w:line="238" w:lineRule="exact"/>
        <w:rPr>
          <w:rFonts w:ascii="Times New Roman" w:cs="Times New Roman" w:eastAsia="Times New Roman" w:hAnsi="Times New Roman"/>
          <w:sz w:val="18"/>
          <w:szCs w:val="18"/>
          <w:color w:val="auto"/>
        </w:rPr>
      </w:pPr>
    </w:p>
    <w:p>
      <w:pPr>
        <w:ind w:left="1880" w:right="440" w:hanging="544"/>
        <w:spacing w:after="0" w:line="275" w:lineRule="auto"/>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properties at 680-750 Washington Boulevard, in Stamford, Connecticut, also known as Stamford Towers and 125 Chubb Avenue in Lyndhurst, New Jersey, which are classified as held for sale at June 30, 2017.</w:t>
      </w:r>
    </w:p>
    <w:p>
      <w:pPr>
        <w:spacing w:after="0" w:line="174" w:lineRule="exact"/>
        <w:rPr>
          <w:sz w:val="20"/>
          <w:szCs w:val="20"/>
          <w:color w:val="auto"/>
        </w:rPr>
      </w:pPr>
    </w:p>
    <w:p>
      <w:pPr>
        <w:ind w:left="240" w:right="40" w:firstLine="429"/>
        <w:spacing w:after="0" w:line="262" w:lineRule="auto"/>
        <w:rPr>
          <w:sz w:val="20"/>
          <w:szCs w:val="20"/>
          <w:color w:val="auto"/>
        </w:rPr>
      </w:pPr>
      <w:r>
        <w:rPr>
          <w:rFonts w:ascii="Times New Roman" w:cs="Times New Roman" w:eastAsia="Times New Roman" w:hAnsi="Times New Roman"/>
          <w:sz w:val="18"/>
          <w:szCs w:val="18"/>
          <w:color w:val="auto"/>
        </w:rPr>
        <w:t>As of June 30, 2017, ROP held debt and preferred equity investments with a book value of $2.1 billion, including $0.1 billion of debt and preferred equity investments and other financing receivables that are included in other balance sheet line items other than the Debt and Preferred Equity Investments line item.</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Headquarters</w:t>
      </w:r>
    </w:p>
    <w:p>
      <w:pPr>
        <w:spacing w:after="0" w:line="227" w:lineRule="exact"/>
        <w:rPr>
          <w:sz w:val="20"/>
          <w:szCs w:val="20"/>
          <w:color w:val="auto"/>
        </w:rPr>
      </w:pPr>
    </w:p>
    <w:p>
      <w:pPr>
        <w:ind w:left="240" w:firstLine="439"/>
        <w:spacing w:after="0" w:line="289" w:lineRule="auto"/>
        <w:rPr>
          <w:sz w:val="20"/>
          <w:szCs w:val="20"/>
          <w:color w:val="auto"/>
        </w:rPr>
      </w:pPr>
      <w:r>
        <w:rPr>
          <w:rFonts w:ascii="Times New Roman" w:cs="Times New Roman" w:eastAsia="Times New Roman" w:hAnsi="Times New Roman"/>
          <w:sz w:val="16"/>
          <w:szCs w:val="16"/>
          <w:color w:val="auto"/>
        </w:rPr>
        <w:t>SL Green's, SL Green OP's and ROP's principal executive offices are located in midtown Manhattan at 420 Lexington Avenue, New York, New York 10170. We can be contacted at (212) 594-2700. SL Green maintains a website at www.slgreen.com. The information contained on or connected to</w:t>
      </w:r>
    </w:p>
    <w:p>
      <w:pPr>
        <w:spacing w:after="0" w:line="1" w:lineRule="exact"/>
        <w:rPr>
          <w:sz w:val="20"/>
          <w:szCs w:val="20"/>
          <w:color w:val="auto"/>
        </w:rPr>
      </w:pPr>
    </w:p>
    <w:p>
      <w:pPr>
        <w:ind w:left="240" w:right="440"/>
        <w:spacing w:after="0" w:line="261" w:lineRule="auto"/>
        <w:rPr>
          <w:sz w:val="20"/>
          <w:szCs w:val="20"/>
          <w:color w:val="auto"/>
        </w:rPr>
      </w:pPr>
      <w:r>
        <w:rPr>
          <w:rFonts w:ascii="Times New Roman" w:cs="Times New Roman" w:eastAsia="Times New Roman" w:hAnsi="Times New Roman"/>
          <w:sz w:val="18"/>
          <w:szCs w:val="18"/>
          <w:color w:val="auto"/>
        </w:rPr>
        <w:t>SL Green's website is not incorporated by reference into, and you must not consider the information to be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5055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055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ind w:left="240" w:right="6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this offering. For a more complete description of the terms of notes, see "Description of the Notes" in this prospectus supplement and "Description of Debt Securities" in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Co-Obligors</w:t>
            </w: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 Green Realty Corp., SL Green Operating Partnership, L.P. and Reckson Operating Partnership, L.P.</w:t>
            </w:r>
          </w:p>
        </w:tc>
      </w:tr>
      <w:tr>
        <w:trPr>
          <w:trHeight w:val="447"/>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Offered</w:t>
            </w: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$100 million aggregate principal amount of 4.50% Senior Notes due 2022. The notes offered hereby will have</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terms identical to those of the $200,000,000 principal amount of 4.50% Senior Notes due December 1, 2022</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offered and sold by our prospectus supplement dated November 9, 2012 and the accompanying prospectus (the</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"initial notes"). The notes offered hereby will have the same CUSIP number as the initial notes and will trade</w:t>
            </w:r>
          </w:p>
        </w:tc>
      </w:tr>
      <w:tr>
        <w:trPr>
          <w:trHeight w:val="228"/>
        </w:trPr>
        <w:tc>
          <w:tcPr>
            <w:tcW w:w="2760" w:type="dxa"/>
            <w:vAlign w:val="bottom"/>
          </w:tcPr>
          <w:p>
            <w:pPr>
              <w:spacing w:after="0"/>
              <w:rPr>
                <w:sz w:val="19"/>
                <w:szCs w:val="19"/>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interchangeably with such notes immediately upon settlement.</w:t>
            </w:r>
          </w:p>
        </w:tc>
      </w:tr>
      <w:tr>
        <w:trPr>
          <w:trHeight w:val="459"/>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 Date</w:t>
            </w: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notes will mature on December 1, 2022.</w:t>
            </w:r>
          </w:p>
        </w:tc>
      </w:tr>
      <w:tr>
        <w:trPr>
          <w:trHeight w:val="447"/>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Payment Dates</w:t>
            </w: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notes will bear interest at the rate of 4.50% per year. We will pay interest on the notes semiannually in</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arrears in cash on June 1 and December 1 of each year, beginning on December 1, 2017. Interest will accrue on</w:t>
            </w:r>
          </w:p>
        </w:tc>
      </w:tr>
      <w:tr>
        <w:trPr>
          <w:trHeight w:val="228"/>
        </w:trPr>
        <w:tc>
          <w:tcPr>
            <w:tcW w:w="2760" w:type="dxa"/>
            <w:vAlign w:val="bottom"/>
          </w:tcPr>
          <w:p>
            <w:pPr>
              <w:spacing w:after="0"/>
              <w:rPr>
                <w:sz w:val="19"/>
                <w:szCs w:val="19"/>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notes offered hereby from, and including, June 1, 2017.</w:t>
            </w:r>
          </w:p>
        </w:tc>
      </w:tr>
      <w:tr>
        <w:trPr>
          <w:trHeight w:val="445"/>
        </w:trPr>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Priority</w:t>
            </w: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notes are the joint and several senior unsecured obligations of SL Green, SL Green OP and ROP, ranking</w:t>
            </w:r>
          </w:p>
        </w:tc>
      </w:tr>
      <w:tr>
        <w:trPr>
          <w:trHeight w:val="218"/>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all of SL Green's, SL Green OP's and ROP's respective existing and future senior indebtedness,</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including the initial notes, and senior to all of SL Green's, SL Green OP's and ROP's respective existing and</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future subordinated indebtedness. As of June 30, 2017, SL Green and SL Green OP had approximately</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$2.6 billion aggregate principal amount of unsecured senior indebtedness and ROP had approximately</w:t>
            </w:r>
          </w:p>
        </w:tc>
      </w:tr>
      <w:tr>
        <w:trPr>
          <w:trHeight w:val="228"/>
        </w:trPr>
        <w:tc>
          <w:tcPr>
            <w:tcW w:w="2760" w:type="dxa"/>
            <w:vAlign w:val="bottom"/>
          </w:tcPr>
          <w:p>
            <w:pPr>
              <w:spacing w:after="0"/>
              <w:rPr>
                <w:sz w:val="19"/>
                <w:szCs w:val="19"/>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$2.2 billion aggregate principal amount of unsecured senior indebtedness outstanding.</w:t>
            </w:r>
          </w:p>
        </w:tc>
      </w:tr>
      <w:tr>
        <w:trPr>
          <w:trHeight w:val="447"/>
        </w:trPr>
        <w:tc>
          <w:tcPr>
            <w:tcW w:w="2760" w:type="dxa"/>
            <w:vAlign w:val="bottom"/>
          </w:tcPr>
          <w:p>
            <w:pPr>
              <w:spacing w:after="0"/>
              <w:rPr>
                <w:sz w:val="24"/>
                <w:szCs w:val="24"/>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notes are effectively junior to all of SL Green's, SL Green OP's and ROP's respective existing and future</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secured indebtedness to the extent of the value of the assets securing such indebtedness. As of June 30, 2017,</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 Green and its consolidated subsidiaries, including SL Green OP and ROP, had outstanding approximately</w:t>
            </w:r>
          </w:p>
        </w:tc>
      </w:tr>
      <w:tr>
        <w:trPr>
          <w:trHeight w:val="216"/>
        </w:trPr>
        <w:tc>
          <w:tcPr>
            <w:tcW w:w="276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$3.9 billion of secured indebtedness (including SL Green OP's share of consolidated joint venture secured</w:t>
            </w:r>
          </w:p>
        </w:tc>
      </w:tr>
      <w:tr>
        <w:trPr>
          <w:trHeight w:val="228"/>
        </w:trPr>
        <w:tc>
          <w:tcPr>
            <w:tcW w:w="2760" w:type="dxa"/>
            <w:vAlign w:val="bottom"/>
          </w:tcPr>
          <w:p>
            <w:pPr>
              <w:spacing w:after="0"/>
              <w:rPr>
                <w:sz w:val="19"/>
                <w:szCs w:val="19"/>
                <w:color w:val="auto"/>
              </w:rPr>
            </w:pPr>
          </w:p>
        </w:tc>
        <w:tc>
          <w:tcPr>
            <w:tcW w:w="8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indebtedness of approximately $0.4 billion).</w:t>
            </w:r>
          </w:p>
        </w:tc>
      </w:tr>
      <w:tr>
        <w:trPr>
          <w:trHeight w:val="444"/>
        </w:trPr>
        <w:tc>
          <w:tcPr>
            <w:tcW w:w="27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427"/>
        </w:trPr>
        <w:tc>
          <w:tcPr>
            <w:tcW w:w="2760" w:type="dxa"/>
            <w:vAlign w:val="bottom"/>
          </w:tcPr>
          <w:p>
            <w:pPr>
              <w:spacing w:after="0"/>
              <w:rPr>
                <w:sz w:val="24"/>
                <w:szCs w:val="24"/>
                <w:color w:val="auto"/>
              </w:rPr>
            </w:pPr>
          </w:p>
        </w:tc>
        <w:tc>
          <w:tcPr>
            <w:tcW w:w="86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S-4</w:t>
            </w:r>
          </w:p>
        </w:tc>
      </w:tr>
      <w:tr>
        <w:trPr>
          <w:trHeight w:val="228"/>
        </w:trPr>
        <w:tc>
          <w:tcPr>
            <w:tcW w:w="2760" w:type="dxa"/>
            <w:vAlign w:val="bottom"/>
            <w:tcBorders>
              <w:bottom w:val="single" w:sz="8" w:color="808080"/>
            </w:tcBorders>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1340" w:type="dxa"/>
            <w:vAlign w:val="bottom"/>
            <w:tcBorders>
              <w:top w:val="single" w:sz="8" w:color="auto"/>
              <w:left w:val="single" w:sz="8" w:color="auto"/>
            </w:tcBorders>
          </w:tcPr>
          <w:p>
            <w:pPr>
              <w:spacing w:after="0"/>
              <w:rPr>
                <w:sz w:val="24"/>
                <w:szCs w:val="24"/>
                <w:color w:val="auto"/>
              </w:rPr>
            </w:pPr>
          </w:p>
        </w:tc>
        <w:tc>
          <w:tcPr>
            <w:tcW w:w="10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notes are structurally subordinated to all existing and future indebtedness of SL Green's subsidiaries (other than SL Green OP and</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ROP) and the subsidiaries of SL Green OP (other than ROP) and ROP. As of June 30, 2017, the total outstanding indebtedness of</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 Green OP and its consolidated subsidiaries was approximately $6.4 billion and the total outstanding indebtedness of ROP and its</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consolidated subsidiaries was approximately $3.1 billion. See "Description of Other Indebtedness."</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Optional</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notes are redeemable at any time at the option of the co-obligors in whole or in part, at a redemption price equal to the sum of (i) the</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principal amount of the notes (or portion thereof) being redeemed plus accrued and unpaid interest thereon to the redemption date and</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 the Make-Whole Amount (as defined herein), if any, with respect to such notes (or portion thereof). If the notes are redeemed on or</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after September 1, 2022, the redemption price for the notes will equal 100% of the principal amount of the notes, plus accrued and unpaid</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 thereon to the redemption date. See "Description of the Notes — Optional Redemption."</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Certain</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Indenture (as defined herein) governing the notes contains covenants that, among other things, limit ROP's and its subsidiaries' ability</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Covenants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incur additional debt and encumber assets. The Indenture contains no limitation on the incurrence of indebtedness of SL Green or SL</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Green Operating Partnership or their subsidiaries (other than ROP and its subsidiaries). These covenants are subject to important</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exceptions and qualifications. See "Description of the Notes — Certain Covenants."</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Form and</w:t>
            </w:r>
          </w:p>
        </w:tc>
        <w:tc>
          <w:tcPr>
            <w:tcW w:w="10080" w:type="dxa"/>
            <w:vAlign w:val="bottom"/>
            <w:tcBorders>
              <w:right w:val="single" w:sz="8" w:color="auto"/>
            </w:tcBorders>
          </w:tcPr>
          <w:p>
            <w:pPr>
              <w:spacing w:after="0"/>
              <w:rPr>
                <w:sz w:val="24"/>
                <w:szCs w:val="24"/>
                <w:color w:val="auto"/>
              </w:rPr>
            </w:pPr>
          </w:p>
        </w:tc>
      </w:tr>
      <w:tr>
        <w:trPr>
          <w:trHeight w:val="228"/>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Denomination</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notes will be issued in denominations of $2,000 and any integral multiple of $1,000 in excess thereof.</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Absence of</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There is no established trading market for the notes. There can be no assurance regarding any future development of a trading market for</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Established</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notes, or the ability of holders of the notes to sell their notes at all, or the price at which such holders may be able to sell their notes. If</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Market for</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such a market were to develop, the notes may trade at prices that are higher or lower than their initial offering price, depending on many</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Notes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factors, including prevailing interest rates, our operating results and financial condition and the market for similar securities. We do not</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intend to apply for the notes to be listed on any securities exchange or to arrange for the notes to be quoted on any quotation system.</w:t>
            </w:r>
          </w:p>
        </w:tc>
      </w:tr>
      <w:tr>
        <w:trPr>
          <w:trHeight w:val="444"/>
        </w:trPr>
        <w:tc>
          <w:tcPr>
            <w:tcW w:w="1340" w:type="dxa"/>
            <w:vAlign w:val="bottom"/>
            <w:tcBorders>
              <w:left w:val="single" w:sz="8" w:color="auto"/>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r>
      <w:tr>
        <w:trPr>
          <w:trHeight w:val="427"/>
        </w:trPr>
        <w:tc>
          <w:tcPr>
            <w:tcW w:w="134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S-5</w:t>
            </w:r>
          </w:p>
        </w:tc>
      </w:tr>
      <w:tr>
        <w:trPr>
          <w:trHeight w:val="228"/>
        </w:trPr>
        <w:tc>
          <w:tcPr>
            <w:tcW w:w="134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134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Use of</w:t>
            </w:r>
          </w:p>
        </w:tc>
        <w:tc>
          <w:tcPr>
            <w:tcW w:w="10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$104.0 million after deducting the underwriting discount and</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Proceeds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our estimated expenses related to the offering but excluding approximately $1.86 million (assuming the settlement date for this offering</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occurs on October 30, 2017) payable to us in respect of interest accrued on the notes offered hereby for the period from and including</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1, 2017 to, but excluding, the delivery date for this offering. We intend to use the net proceeds from the sale of the notes offered</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hereby for general corporate purposes, which may include, among other things, the repayment of amounts outstanding under our Credit</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Facility or other indebtedness.</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Material</w:t>
            </w:r>
          </w:p>
        </w:tc>
        <w:tc>
          <w:tcPr>
            <w:tcW w:w="10080" w:type="dxa"/>
            <w:vAlign w:val="bottom"/>
            <w:tcBorders>
              <w:right w:val="single" w:sz="8" w:color="auto"/>
            </w:tcBorders>
          </w:tcPr>
          <w:p>
            <w:pPr>
              <w:spacing w:after="0"/>
              <w:rPr>
                <w:sz w:val="24"/>
                <w:szCs w:val="24"/>
                <w:color w:val="auto"/>
              </w:rPr>
            </w:pP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income tax consequences of owning the notes in light of your own</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particular situation and with respect to any tax consequences arising under the laws of any state, local, foreign or other taxing jurisdiction.</w:t>
            </w:r>
          </w:p>
        </w:tc>
      </w:tr>
      <w:tr>
        <w:trPr>
          <w:trHeight w:val="216"/>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Tax</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See Supplemental Material United States Federal Income Tax Consequences beginning on page S-34 of this prospectus supplement and</w:t>
            </w:r>
          </w:p>
        </w:tc>
      </w:tr>
      <w:tr>
        <w:trPr>
          <w:trHeight w:val="228"/>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Consequences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"Material United States Federal Income Tax Consequences" in the accompanying prospectus.</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 in the notes involves risks. You should carefully consider the information in the sections entitled "Risk Factors" in this</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prospectus supplement, the accompanying prospectus, in the Annual Report on Form 10-K for the fiscal year ended December 31, 2016 of</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 Green and SL Green OP, the Annual Report on Form 10-K for the fiscal year ended December 31, 2016 of ROP, and all the other</w:t>
            </w:r>
          </w:p>
        </w:tc>
      </w:tr>
      <w:tr>
        <w:trPr>
          <w:trHeight w:val="216"/>
        </w:trPr>
        <w:tc>
          <w:tcPr>
            <w:tcW w:w="1340" w:type="dxa"/>
            <w:vAlign w:val="bottom"/>
            <w:tcBorders>
              <w:left w:val="single" w:sz="8" w:color="auto"/>
            </w:tcBorders>
          </w:tcPr>
          <w:p>
            <w:pPr>
              <w:spacing w:after="0"/>
              <w:rPr>
                <w:sz w:val="18"/>
                <w:szCs w:val="18"/>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information included or incorporated by reference in this prospectus supplement and the accompanying prospectus before buying any</w:t>
            </w:r>
          </w:p>
        </w:tc>
      </w:tr>
      <w:tr>
        <w:trPr>
          <w:trHeight w:val="228"/>
        </w:trPr>
        <w:tc>
          <w:tcPr>
            <w:tcW w:w="1340" w:type="dxa"/>
            <w:vAlign w:val="bottom"/>
            <w:tcBorders>
              <w:left w:val="single" w:sz="8" w:color="auto"/>
            </w:tcBorders>
          </w:tcPr>
          <w:p>
            <w:pPr>
              <w:spacing w:after="0"/>
              <w:rPr>
                <w:sz w:val="19"/>
                <w:szCs w:val="19"/>
                <w:color w:val="auto"/>
              </w:rPr>
            </w:pP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notes.</w:t>
            </w:r>
          </w:p>
        </w:tc>
      </w:tr>
      <w:tr>
        <w:trPr>
          <w:trHeight w:val="459"/>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Trustee</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47"/>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Governing</w:t>
            </w:r>
          </w:p>
        </w:tc>
        <w:tc>
          <w:tcPr>
            <w:tcW w:w="10080" w:type="dxa"/>
            <w:vAlign w:val="bottom"/>
            <w:tcBorders>
              <w:right w:val="single" w:sz="8" w:color="auto"/>
            </w:tcBorders>
          </w:tcPr>
          <w:p>
            <w:pPr>
              <w:spacing w:after="0"/>
              <w:rPr>
                <w:sz w:val="24"/>
                <w:szCs w:val="24"/>
                <w:color w:val="auto"/>
              </w:rPr>
            </w:pPr>
          </w:p>
        </w:tc>
      </w:tr>
      <w:tr>
        <w:trPr>
          <w:trHeight w:val="228"/>
        </w:trPr>
        <w:tc>
          <w:tcPr>
            <w:tcW w:w="13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Law</w:t>
            </w:r>
          </w:p>
        </w:tc>
        <w:tc>
          <w:tcPr>
            <w:tcW w:w="10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notes will be governed by, and the Indenture is governed by, the laws of the State of New York.</w:t>
            </w:r>
          </w:p>
        </w:tc>
      </w:tr>
      <w:tr>
        <w:trPr>
          <w:trHeight w:val="228"/>
        </w:trPr>
        <w:tc>
          <w:tcPr>
            <w:tcW w:w="1340" w:type="dxa"/>
            <w:vAlign w:val="bottom"/>
            <w:tcBorders>
              <w:left w:val="single" w:sz="8" w:color="auto"/>
              <w:bottom w:val="single" w:sz="8" w:color="auto"/>
            </w:tcBorders>
          </w:tcPr>
          <w:p>
            <w:pPr>
              <w:spacing w:after="0"/>
              <w:rPr>
                <w:sz w:val="19"/>
                <w:szCs w:val="19"/>
                <w:color w:val="auto"/>
              </w:rPr>
            </w:pPr>
          </w:p>
        </w:tc>
        <w:tc>
          <w:tcPr>
            <w:tcW w:w="10080" w:type="dxa"/>
            <w:vAlign w:val="bottom"/>
            <w:tcBorders>
              <w:bottom w:val="single" w:sz="8" w:color="auto"/>
              <w:right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S-6</w:t>
            </w:r>
          </w:p>
        </w:tc>
      </w:tr>
      <w:tr>
        <w:trPr>
          <w:trHeight w:val="228"/>
        </w:trPr>
        <w:tc>
          <w:tcPr>
            <w:tcW w:w="134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16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a high degree of risk. Before deciding to purchase any notes, you should carefully consider the risks and uncertainties set forth below and the risks and uncertainties incorporated by reference in this prospectus supplement and the accompanying prospectus, including the information included under "Risk Factors" in SL Green's and SL Green OP's Annual Report on Form 10-K for the year ended December 31, 2016, in ROP's Annual Report on Form 10-K for the year ended December 31, 2016, and in other documents that we subsequently file with the SEC. These risks and uncertainties are not the only ones facing us. There may be other risks that a prospective investor should consider that are relevant to that investor's own particular circumstances or generally.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the Notes</w:t>
      </w:r>
    </w:p>
    <w:p>
      <w:pPr>
        <w:spacing w:after="0" w:line="22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operations and effectively reduce the amount of funds available for other business purposes, including our ability to make payments of principal and interest on the notes.</w:t>
      </w:r>
    </w:p>
    <w:p>
      <w:pPr>
        <w:spacing w:after="0" w:line="169"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We have a substantial amount of outstanding indebtedness, a large portion of which is due and payable prior to the maturity of the notes offered hereby. As of June 30, 2017, SL Green OP's total consolidated indebtedness was approximately $6.4 billion (inclusive of ROP's approximately $3.1 billion of indebtedness). On October 5, 2017, SL Green OP issued $500 million aggregate principal amount of 3.250% Senior Notes due 2022, fully and unconditionally guaranteed by SL Green and ROP. SL Green OP's and ROP's respective levels of indebtedness could reduce funds available for additional acquisitions, capital expenditures or other business purposes, impact their respective ratings, restrict their respective financial and operating flexibility or create competitive disadvantages compared to other companies with lower debt levels.</w:t>
      </w:r>
    </w:p>
    <w:p>
      <w:pPr>
        <w:spacing w:after="0" w:line="193" w:lineRule="exact"/>
        <w:rPr>
          <w:sz w:val="20"/>
          <w:szCs w:val="20"/>
          <w:color w:val="auto"/>
        </w:rPr>
      </w:pPr>
    </w:p>
    <w:p>
      <w:pPr>
        <w:ind w:right="160" w:firstLine="439"/>
        <w:spacing w:after="0" w:line="258"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respective debt and meet our other cash requirements, we may be required, among other things:</w:t>
      </w:r>
    </w:p>
    <w:p>
      <w:pPr>
        <w:spacing w:after="0" w:line="204"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respective indebtedness, including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 businesses;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or operating expenditures.</w:t>
      </w:r>
    </w:p>
    <w:p>
      <w:pPr>
        <w:spacing w:after="0" w:line="225" w:lineRule="exact"/>
        <w:rPr>
          <w:sz w:val="20"/>
          <w:szCs w:val="20"/>
          <w:color w:val="auto"/>
        </w:rPr>
      </w:pPr>
    </w:p>
    <w:p>
      <w:pPr>
        <w:ind w:right="380" w:firstLine="439"/>
        <w:spacing w:after="0" w:line="275"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17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Since the notes are unsecured, your right to receive payments on the notes is effectively subordinated to all of our existing and future secured debt, and since the notes are not guaranteed by all of our subsidiaries, structurally subordinated to all existing and future liabilities of our subsidiaries that are not co-obligors of the notes.</w:t>
      </w:r>
    </w:p>
    <w:p>
      <w:pPr>
        <w:spacing w:after="0" w:line="183"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The notes offered hereby are unsecured, senior obligations that rank equal in right of payment with all of SL Green's, SL Green OP's and ROP's respective existing and future senior debt, including the initial notes. However, the notes are effectively junior to all of SL Green's, SL Green OP's and ROP's respective secured debt to the extent of the value of the assets securing that debt. The Indenture governing the notes does not place any limitation on the amount of secured or unsecured senior indebtedness that SL Green or SL Green OP may incur. As of June 30, 2017, SL Green and its consolidated subsidiaries, including SL Green OP and ROP, had outstanding approximately $3.9 billion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secured indebtedness (including SL Green OP's share of consolidated joint venture secured indebtedness of approximately 0.4 billion). On October 5, 2017, SL Green OP issued $500 million aggregate principal amount of 3.250% Senior Notes due 2022, fully and unconditionally guaranteed by SL Green and ROP. In any liquidation, dissolution, bankruptcy or other similar proceeding, holders of SL Green's, SL Green OP's or ROP's secured debt may assert rights against any assets securing such debt in order to receive full payment of their debt before those assets may be used to pay the holders of the notes. In such an event, SL Green, SL Green OP or ROP may not have sufficient assets remaining for the repayment in full of any or all of the notes. In addition, the notes are structurally subordinated to all current and future obligations, including subordinated indebtedness and trade payables of SL Green's subsidiaries, other than SL Green OP and ROP. The notes are also structurally subordinated to guarantees of SL Green OP's debt by SL Green OP's subsidiaries other than ROP.</w:t>
      </w:r>
    </w:p>
    <w:p>
      <w:pPr>
        <w:spacing w:after="0" w:line="191"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notes, which could limit their market price or the ability to sell them for an amount equal to or higher than their initial offering price.</w:t>
      </w:r>
    </w:p>
    <w:p>
      <w:pPr>
        <w:spacing w:after="0" w:line="169"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color w:val="auto"/>
        </w:rPr>
        <w:t>There is no established trading market for the notes. As a result, we cannot provide any assurances that a market will develop for the notes or that you will be able to sell your notes. We do not intend to apply for the notes to be listed on any securities exchange or to arrange for the notes to be quoted on any quotation system. If any of the notes offered hereby are traded after their initial issuance, they may trade at a discount from their initial offering price. Future trading prices of the notes will depend on many factors, including prevailing interest rates, the market for similar securities, general economic conditions and our financial condition, performance and prospects.</w:t>
      </w:r>
    </w:p>
    <w:p>
      <w:pPr>
        <w:spacing w:after="0" w:line="189"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governing the notes and the terms of the notes will not provide protection against significant events that could adversely impact your investment in the notes.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Indenture governing the notes does not:</w:t>
      </w:r>
    </w:p>
    <w:p>
      <w:pPr>
        <w:spacing w:after="0" w:line="239" w:lineRule="exact"/>
        <w:rPr>
          <w:sz w:val="20"/>
          <w:szCs w:val="20"/>
          <w:color w:val="auto"/>
        </w:rPr>
      </w:pPr>
    </w:p>
    <w:p>
      <w:pPr>
        <w:jc w:val="both"/>
        <w:ind w:left="1080" w:right="480" w:hanging="532"/>
        <w:spacing w:after="0" w:line="339" w:lineRule="auto"/>
        <w:tabs>
          <w:tab w:leader="none" w:pos="10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 or</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SL Green or SL Green OP to incur additional indebtedness; or</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us in certain circumstances from entering into a reorganization, restructuring, merger or similar transaction that may adversely affect the holder of the notes.</w:t>
      </w:r>
    </w:p>
    <w:p>
      <w:pPr>
        <w:spacing w:after="0" w:line="174" w:lineRule="exact"/>
        <w:rPr>
          <w:sz w:val="20"/>
          <w:szCs w:val="20"/>
          <w:color w:val="auto"/>
        </w:rPr>
      </w:pPr>
    </w:p>
    <w:p>
      <w:pPr>
        <w:ind w:right="540" w:firstLine="436"/>
        <w:spacing w:after="0" w:line="339" w:lineRule="auto"/>
        <w:rPr>
          <w:sz w:val="20"/>
          <w:szCs w:val="20"/>
          <w:color w:val="auto"/>
        </w:rPr>
      </w:pPr>
      <w:r>
        <w:rPr>
          <w:rFonts w:ascii="Times New Roman" w:cs="Times New Roman" w:eastAsia="Times New Roman" w:hAnsi="Times New Roman"/>
          <w:sz w:val="16"/>
          <w:szCs w:val="16"/>
          <w:color w:val="auto"/>
        </w:rPr>
        <w:t>When evaluating the terms of the notes, you should be aware that the terms of the Indenture and the notes will not restrict our ability to engage in, or otherwise be a party to, a variety of corporate transactions, circumstances and events that could have an adverse impact on your investment in the notes.</w:t>
      </w:r>
    </w:p>
    <w:p>
      <w:pPr>
        <w:spacing w:after="0" w:line="128"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Furthermore, any of the original co-obligors under the notes may be released from their obligations as described under "Description of the Notes — Merger, Consolidation or Sale."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ratings of our indebtedness may not reflect all risks of your investment in the notes.</w:t>
      </w:r>
    </w:p>
    <w:p>
      <w:pPr>
        <w:spacing w:after="0" w:line="229" w:lineRule="exact"/>
        <w:rPr>
          <w:sz w:val="20"/>
          <w:szCs w:val="20"/>
          <w:color w:val="auto"/>
        </w:rPr>
      </w:pPr>
    </w:p>
    <w:p>
      <w:pPr>
        <w:ind w:right="260" w:firstLine="436"/>
        <w:spacing w:after="0" w:line="258" w:lineRule="auto"/>
        <w:rPr>
          <w:sz w:val="20"/>
          <w:szCs w:val="20"/>
          <w:color w:val="auto"/>
        </w:rPr>
      </w:pPr>
      <w:r>
        <w:rPr>
          <w:rFonts w:ascii="Times New Roman" w:cs="Times New Roman" w:eastAsia="Times New Roman" w:hAnsi="Times New Roman"/>
          <w:sz w:val="18"/>
          <w:szCs w:val="18"/>
          <w:color w:val="auto"/>
        </w:rPr>
        <w:t>The credit ratings of our indebtedness are an assessment by rating agencies of our ability to pay our debts when due. Consequently, real or anticipated changes in any of the credit ratings of our indebtedness will generally affect the market value of the notes.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$104.0 million after deducting the underwriting discount and our estimated expenses related to the offering but excluding approximately $1.86 million (assuming the settlement date for this offering occurs on October 30, 2017) payable to us in respect of interest accrued on the notes offered hereby for the period from and including June 1, 2017 to, but excluding, the delivery date for this offering. We intend to use the net proceeds from the sale of the notes offered hereby for general corporate purposes, which may include, among other things, the repayment of amounts outstanding under our Credit Facility or other indebtedness.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ratios of earnings to fixed charges for SL Green, SL Green OP and ROP, respectively:</w:t>
      </w:r>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540" w:type="dxa"/>
            <w:vAlign w:val="bottom"/>
          </w:tcPr>
          <w:p>
            <w:pPr>
              <w:spacing w:after="0"/>
              <w:rPr>
                <w:sz w:val="18"/>
                <w:szCs w:val="18"/>
                <w:color w:val="auto"/>
              </w:rPr>
            </w:pPr>
          </w:p>
        </w:tc>
        <w:tc>
          <w:tcPr>
            <w:tcW w:w="21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Ended June 30,</w:t>
            </w:r>
          </w:p>
        </w:tc>
        <w:tc>
          <w:tcPr>
            <w:tcW w:w="5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6"/>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0"/>
                <w:szCs w:val="20"/>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0"/>
                <w:szCs w:val="20"/>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Pr>
          <w:p>
            <w:pPr>
              <w:spacing w:after="0"/>
              <w:rPr>
                <w:sz w:val="20"/>
                <w:szCs w:val="20"/>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1.94x</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2.36x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1.89x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2.26x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1.36x</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SL Green OP</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1.94x</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2.36x</w:t>
            </w:r>
          </w:p>
        </w:tc>
        <w:tc>
          <w:tcPr>
            <w:tcW w:w="1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1.89x</w:t>
            </w:r>
          </w:p>
        </w:tc>
        <w:tc>
          <w:tcPr>
            <w:tcW w:w="1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2.26x</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1.36x</w:t>
            </w:r>
          </w:p>
        </w:tc>
        <w:tc>
          <w:tcPr>
            <w:tcW w:w="18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ROP</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3.78x</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3.47x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3.04x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2.82x</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2.36x</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6"/>
          <w:szCs w:val="16"/>
          <w:color w:val="auto"/>
        </w:rPr>
        <w:t>The ratio of earnings to combined fixed charges and preferred stock dividends were computed by dividing earnings by fixed charges. For the purpose of calculating the ratios, earnings have been calculated by adding fixed charges to income from continuing operations before adjustment for noncontrolling interests plus distributions from unconsolidated joint ventures, excluding gains or losses from sale of property, purchase price fair value adjustments, gains and losses one equity investment and the cumulative effect of changes in accounting principles. With respect to SL Green, fixed charges and preferred stock dividends consist of interest expense including the amortization of debt issuance costs, rental expense deemed to represent interest expense and preferred dividends paid on its 7.625% Series C, its 7.875% Series D (prior to their respective redemptions or repurchases) and its 6.50% Series I cumulative redeemable Preferred Stock.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OF SL GREEN</w:t>
      </w:r>
    </w:p>
    <w:p>
      <w:pPr>
        <w:spacing w:after="0" w:line="227"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The following table sets forth SL Green's capitalization as of June 30, 2017 on a historical basis and on an as adjusted basis to reflect the issuance and sale of $100 million aggregate principal amount of the notes offered hereby and the use of proceeds described herein. The information set forth in the following table should be read in conjunction with the consolidated financial statements and notes thereto in SL Green's Annual Report on Form 10-K for the year ended December 31, 2016, which is incorporated herein by reference.</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 June 30,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Historical</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As Adjusted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6"/>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(unaudited,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 and other loans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3,813,976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Revolving credit facility(1)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 and senior unsecured notes(2)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2,371,105(3)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Junior subordinate deferrable interest debentures held by trusts that issued trust preferred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6,376,360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6,480,312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SL Green OP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 Green stockholders' equity (number of shares 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6.500% Series I Cumulative Redeemable Preferred Stock, $0.01 par value; 9,200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on a historical and as adjusted basis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Common Stock, $0.01 par value; 160,000 shares authorized and 99,422 (including 1,055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held in treasury) issued and outstanding at June 30, 2017, on a historical and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basis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5,391,038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SL Green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6,935,712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6,935,712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 in other partnerships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14,211,660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14,315,612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5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420" w:hanging="531"/>
        <w:spacing w:after="0" w:line="275"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approximately $1.3 billion was available to draw under SL Green's, SL Green OP's and ROP's revolving credit facility (the "Credit Facility"). See "Description of Other Indebtedness."</w:t>
      </w:r>
    </w:p>
    <w:p>
      <w:pPr>
        <w:spacing w:after="0" w:line="200" w:lineRule="exact"/>
        <w:rPr>
          <w:rFonts w:ascii="Times New Roman" w:cs="Times New Roman" w:eastAsia="Times New Roman" w:hAnsi="Times New Roman"/>
          <w:sz w:val="18"/>
          <w:szCs w:val="18"/>
          <w:color w:val="auto"/>
        </w:rPr>
      </w:pPr>
    </w:p>
    <w:p>
      <w:pPr>
        <w:ind w:left="1680" w:hanging="531"/>
        <w:spacing w:after="0" w:line="256"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5, 2017, SL Green OP issued $500 million aggregate principal amount of 3.250% Senior Notes due 2022, fully and unconditionally guaranteed by SL Green and ROP, the proceeds of which we used to repay SL Green OP's outstanding 3.00% Exchangeable Senior Notes due 2017 and intend to use the balance for general corporate purposes, which may include, among other things, the repayment of other existing indebtedness. The issuance of such notes and the use of proceeds therefrom are not reflected in the above table.</w:t>
      </w:r>
    </w:p>
    <w:p>
      <w:pPr>
        <w:spacing w:after="0" w:line="20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million aggregate principal amount of 4.50% Senior Notes due 2022 offered hereby.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 OF SL GREEN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sets forth SL Green's selected financial data and should be read in conjunction with SL Green's Financial Statements and notes thereto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Item 1, "Financial Statements" and Item 2, "Management's Discussion and Analysis of Financial Condition and Results of Operations" in SL Green's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notes thereto included in SL Green's Quarterly Report on Form 10-Q for the quarter ended June 30, 2017 and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10-K for the fiscal year ended December 31, 2016. For information about the nine months ended September 30, 2017, see the Current Report on Form 8-K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by SL Green with the Commission on October 26, 2017, incorporated by reference 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2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2"/>
              <w:spacing w:after="0" w:line="197"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2"/>
              <w:spacing w:after="0" w:line="197"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(in thousands,</w:t>
            </w:r>
          </w:p>
        </w:tc>
        <w:tc>
          <w:tcPr>
            <w:tcW w:w="160" w:type="dxa"/>
            <w:vAlign w:val="bottom"/>
            <w:gridSpan w:val="2"/>
            <w:vMerge w:val="continue"/>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except per</w:t>
            </w:r>
          </w:p>
        </w:tc>
        <w:tc>
          <w:tcPr>
            <w:tcW w:w="110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7"/>
              </w:rPr>
              <w:t>share data)</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775,531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1,863,981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1,662,829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1,519,978</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282,283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Ground rent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371,610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92,488</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1,345,015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3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in net income from unconsolidated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joint ventures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in net gain on sale of interest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unconsolidated joint venture/real estate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123,253</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fair value adjustment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sale of real estate,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Gain (loss) on sale of investment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Depreciable real estate reserves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(32,365)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363,729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182,134</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545,863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in the Operating Partnership</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interests in other partnerships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unit distributions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SL Green</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518,056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dividends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(14,952)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3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w w:val="99"/>
              </w:rPr>
              <w:t>Net income attributable to SL Green common</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156,678</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234,946</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269,132</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503,104</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S-12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500" w:type="dxa"/>
            <w:vAlign w:val="bottom"/>
            <w:gridSpan w:val="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1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72"/>
              <w:spacing w:after="0" w:line="198"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272"/>
              <w:spacing w:after="0" w:line="198" w:lineRule="exact"/>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00" w:type="dxa"/>
            <w:vAlign w:val="bottom"/>
          </w:tcPr>
          <w:p>
            <w:pPr>
              <w:spacing w:after="0"/>
              <w:rPr>
                <w:sz w:val="18"/>
                <w:szCs w:val="18"/>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79"/>
              </w:rPr>
              <w:t>(in thousands,</w:t>
            </w:r>
          </w:p>
        </w:tc>
        <w:tc>
          <w:tcPr>
            <w:tcW w:w="160" w:type="dxa"/>
            <w:vAlign w:val="bottom"/>
            <w:vMerge w:val="continue"/>
          </w:tcPr>
          <w:p>
            <w:pPr>
              <w:spacing w:after="0"/>
              <w:rPr>
                <w:sz w:val="18"/>
                <w:szCs w:val="18"/>
                <w:color w:val="auto"/>
              </w:rPr>
            </w:pPr>
          </w:p>
        </w:tc>
        <w:tc>
          <w:tcPr>
            <w:tcW w:w="9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except per</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87"/>
              </w:rPr>
              <w:t>share data)</w:t>
            </w:r>
          </w:p>
        </w:tc>
        <w:tc>
          <w:tcPr>
            <w:tcW w:w="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1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3360" w:type="dxa"/>
            <w:vAlign w:val="bottom"/>
            <w:gridSpan w:val="6"/>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gridSpan w:val="2"/>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33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99,345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gridSpan w:val="5"/>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Diluted weighted average common shares and</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share equivalents outstanding</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105,140</w:t>
            </w: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104,533</w:t>
            </w:r>
          </w:p>
        </w:tc>
        <w:tc>
          <w:tcPr>
            <w:tcW w:w="160" w:type="dxa"/>
            <w:vAlign w:val="bottom"/>
            <w:shd w:val="clear" w:color="auto" w:fill="CCEEFF"/>
          </w:tcPr>
          <w:p>
            <w:pPr>
              <w:spacing w:after="0"/>
              <w:rPr>
                <w:sz w:val="20"/>
                <w:szCs w:val="20"/>
                <w:color w:val="auto"/>
              </w:rPr>
            </w:pPr>
          </w:p>
        </w:tc>
        <w:tc>
          <w:tcPr>
            <w:tcW w:w="100" w:type="dxa"/>
            <w:vAlign w:val="bottom"/>
            <w:tcBorders>
              <w:left w:val="single" w:sz="8" w:color="CCEEFF"/>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104,881</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99,696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Commercial real estate, before accumulated</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33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11,902,019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14,954,135</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$ 12,743,332</w:t>
            </w:r>
          </w:p>
        </w:tc>
        <w:tc>
          <w:tcPr>
            <w:tcW w:w="10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$ 16,681,602</w:t>
            </w:r>
          </w:p>
        </w:tc>
        <w:tc>
          <w:tcPr>
            <w:tcW w:w="14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$ 14,069,141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15,309,707</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17,544,223</w:t>
            </w: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15,857,787</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19,727,646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17,096,587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auto"/>
              </w:rPr>
              <w:t>Mortgages and other loans payable, revolving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credit facility, term loan and senior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unsecured notes and trust preferred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6,376,254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7,962,220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6,481,666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10,275,453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8,178,787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5"/>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Noncontrolling interests in the operating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partnership</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487,660</w:t>
            </w: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486,452</w:t>
            </w:r>
          </w:p>
        </w:tc>
        <w:tc>
          <w:tcPr>
            <w:tcW w:w="1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473,882</w:t>
            </w:r>
          </w:p>
        </w:tc>
        <w:tc>
          <w:tcPr>
            <w:tcW w:w="1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424,206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469,524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7,750,911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7,719,317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7,459,216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12"/>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2"/>
              <w:spacing w:after="0" w:line="198"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Funds from operations available to all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stockholders(1)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352,746</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547,462</w:t>
            </w:r>
          </w:p>
        </w:tc>
        <w:tc>
          <w:tcPr>
            <w:tcW w:w="100" w:type="dxa"/>
            <w:vAlign w:val="bottom"/>
            <w:tcBorders>
              <w:left w:val="single" w:sz="8" w:color="CCEEFF"/>
            </w:tcBorders>
            <w:shd w:val="clear" w:color="auto" w:fill="CCEEFF"/>
          </w:tcPr>
          <w:p>
            <w:pPr>
              <w:spacing w:after="0"/>
              <w:rPr>
                <w:sz w:val="20"/>
                <w:szCs w:val="20"/>
                <w:color w:val="auto"/>
              </w:rPr>
            </w:pPr>
          </w:p>
        </w:tc>
        <w:tc>
          <w:tcPr>
            <w:tcW w:w="10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869,855</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661,825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583,036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373,378</w:t>
            </w: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634,714</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526,484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2,126,747</w:t>
            </w: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2,122,570</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(2,265,911)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(796,835)</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(58,427)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(2,479,298)</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(2,733,240)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1,713,417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381,171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52"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FFO is a widely recognized non-GAAP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defines FFO as net income (loss) (computed in accordance with Generally Accepted Accounting Principles, or GAAP), excluding gains (or losses) from sales of properties, debt restructurings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its senior management. FFO is intended to exclude GAAP historical cost depreciation and amortization of real estate and related assets, which assumes that the value of real estate assets diminishes ratably over time. Historically, however, real estate values have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40"/>
        <w:spacing w:after="0" w:line="254" w:lineRule="auto"/>
        <w:rPr>
          <w:sz w:val="20"/>
          <w:szCs w:val="20"/>
          <w:color w:val="auto"/>
        </w:rPr>
      </w:pPr>
      <w:r>
        <w:rPr>
          <w:rFonts w:ascii="Times New Roman" w:cs="Times New Roman" w:eastAsia="Times New Roman" w:hAnsi="Times New Roman"/>
          <w:sz w:val="18"/>
          <w:szCs w:val="18"/>
          <w:color w:val="auto"/>
        </w:rPr>
        <w:t>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95" w:lineRule="exact"/>
        <w:rPr>
          <w:sz w:val="20"/>
          <w:szCs w:val="20"/>
          <w:color w:val="auto"/>
        </w:rPr>
      </w:pPr>
    </w:p>
    <w:p>
      <w:pPr>
        <w:ind w:left="1680" w:right="220"/>
        <w:spacing w:after="0" w:line="275" w:lineRule="auto"/>
        <w:rPr>
          <w:sz w:val="20"/>
          <w:szCs w:val="20"/>
          <w:color w:val="auto"/>
        </w:rPr>
      </w:pPr>
      <w:r>
        <w:rPr>
          <w:rFonts w:ascii="Times New Roman" w:cs="Times New Roman" w:eastAsia="Times New Roman" w:hAnsi="Times New Roman"/>
          <w:sz w:val="18"/>
          <w:szCs w:val="18"/>
          <w:color w:val="auto"/>
        </w:rPr>
        <w:t>A reconciliation of FFO to net income computed in accordance with GAAP (i) in respect of the interim period ended June 30, 2017 and 2016 and (ii) in respect of the years ended December 31, 2016, 2015 and 2014 is provided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20" w:type="dxa"/>
            <w:vAlign w:val="bottom"/>
          </w:tcPr>
          <w:p>
            <w:pPr>
              <w:spacing w:after="0"/>
              <w:rPr>
                <w:sz w:val="20"/>
                <w:szCs w:val="20"/>
                <w:color w:val="auto"/>
              </w:rPr>
            </w:pPr>
          </w:p>
        </w:tc>
        <w:tc>
          <w:tcPr>
            <w:tcW w:w="470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2"/>
        </w:trPr>
        <w:tc>
          <w:tcPr>
            <w:tcW w:w="1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5"/>
        </w:trPr>
        <w:tc>
          <w:tcPr>
            <w:tcW w:w="1720" w:type="dxa"/>
            <w:vAlign w:val="bottom"/>
          </w:tcPr>
          <w:p>
            <w:pPr>
              <w:spacing w:after="0"/>
              <w:rPr>
                <w:sz w:val="16"/>
                <w:szCs w:val="16"/>
                <w:color w:val="auto"/>
              </w:rPr>
            </w:pPr>
          </w:p>
        </w:tc>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attributable to SL Green</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234,946</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269,132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503,104</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227,188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604,350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821,041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560,887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371,610</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28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1720" w:type="dxa"/>
            <w:vAlign w:val="bottom"/>
          </w:tcPr>
          <w:p>
            <w:pPr>
              <w:spacing w:after="0"/>
              <w:rPr>
                <w:sz w:val="19"/>
                <w:szCs w:val="19"/>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adjustments</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5,581</w:t>
            </w:r>
          </w:p>
        </w:tc>
        <w:tc>
          <w:tcPr>
            <w:tcW w:w="1720" w:type="dxa"/>
            <w:vAlign w:val="bottom"/>
          </w:tcPr>
          <w:p>
            <w:pPr>
              <w:spacing w:after="0"/>
              <w:rPr>
                <w:sz w:val="19"/>
                <w:szCs w:val="19"/>
                <w:color w:val="auto"/>
              </w:rPr>
            </w:pPr>
          </w:p>
        </w:tc>
      </w:tr>
      <w:tr>
        <w:trPr>
          <w:trHeight w:val="203"/>
        </w:trPr>
        <w:tc>
          <w:tcPr>
            <w:tcW w:w="1720" w:type="dxa"/>
            <w:vAlign w:val="bottom"/>
          </w:tcPr>
          <w:p>
            <w:pPr>
              <w:spacing w:after="0"/>
              <w:rPr>
                <w:sz w:val="17"/>
                <w:szCs w:val="17"/>
                <w:color w:val="auto"/>
              </w:rPr>
            </w:pPr>
          </w:p>
        </w:tc>
        <w:tc>
          <w:tcPr>
            <w:tcW w:w="28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Joint venture depreciation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49,419</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18,842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69,853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34,226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33,487</w:t>
            </w:r>
          </w:p>
        </w:tc>
        <w:tc>
          <w:tcPr>
            <w:tcW w:w="172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28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8"/>
        </w:trPr>
        <w:tc>
          <w:tcPr>
            <w:tcW w:w="1720" w:type="dxa"/>
            <w:vAlign w:val="bottom"/>
          </w:tcPr>
          <w:p>
            <w:pPr>
              <w:spacing w:after="0"/>
              <w:rPr>
                <w:sz w:val="19"/>
                <w:szCs w:val="19"/>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25,057</w:t>
            </w:r>
          </w:p>
        </w:tc>
        <w:tc>
          <w:tcPr>
            <w:tcW w:w="1720" w:type="dxa"/>
            <w:vAlign w:val="bottom"/>
          </w:tcPr>
          <w:p>
            <w:pPr>
              <w:spacing w:after="0"/>
              <w:rPr>
                <w:sz w:val="19"/>
                <w:szCs w:val="19"/>
                <w:color w:val="auto"/>
              </w:rPr>
            </w:pPr>
          </w:p>
        </w:tc>
      </w:tr>
      <w:tr>
        <w:trPr>
          <w:trHeight w:val="218"/>
        </w:trPr>
        <w:tc>
          <w:tcPr>
            <w:tcW w:w="17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28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(Loss) gain on sale of real estate,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1720" w:type="dxa"/>
            <w:vAlign w:val="bottom"/>
          </w:tcPr>
          <w:p>
            <w:pPr>
              <w:spacing w:after="0"/>
              <w:rPr>
                <w:sz w:val="19"/>
                <w:szCs w:val="19"/>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210,353</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163,059</w:t>
            </w:r>
          </w:p>
        </w:tc>
        <w:tc>
          <w:tcPr>
            <w:tcW w:w="1720" w:type="dxa"/>
            <w:vAlign w:val="bottom"/>
          </w:tcPr>
          <w:p>
            <w:pPr>
              <w:spacing w:after="0"/>
              <w:rPr>
                <w:sz w:val="19"/>
                <w:szCs w:val="19"/>
                <w:color w:val="auto"/>
              </w:rPr>
            </w:pPr>
          </w:p>
        </w:tc>
      </w:tr>
      <w:tr>
        <w:trPr>
          <w:trHeight w:val="203"/>
        </w:trPr>
        <w:tc>
          <w:tcPr>
            <w:tcW w:w="1720" w:type="dxa"/>
            <w:vAlign w:val="bottom"/>
          </w:tcPr>
          <w:p>
            <w:pPr>
              <w:spacing w:after="0"/>
              <w:rPr>
                <w:sz w:val="17"/>
                <w:szCs w:val="17"/>
                <w:color w:val="auto"/>
              </w:rPr>
            </w:pPr>
          </w:p>
        </w:tc>
        <w:tc>
          <w:tcPr>
            <w:tcW w:w="28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Equity in net gain on sale of</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 unconsolidated joint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venture/real estate</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43,363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123,253</w:t>
            </w:r>
          </w:p>
        </w:tc>
        <w:tc>
          <w:tcPr>
            <w:tcW w:w="172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28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Purchase price fair value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1720" w:type="dxa"/>
            <w:vAlign w:val="bottom"/>
          </w:tcPr>
          <w:p>
            <w:pPr>
              <w:spacing w:after="0"/>
              <w:rPr>
                <w:sz w:val="19"/>
                <w:szCs w:val="19"/>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67,446</w:t>
            </w:r>
          </w:p>
        </w:tc>
        <w:tc>
          <w:tcPr>
            <w:tcW w:w="1720" w:type="dxa"/>
            <w:vAlign w:val="bottom"/>
          </w:tcPr>
          <w:p>
            <w:pPr>
              <w:spacing w:after="0"/>
              <w:rPr>
                <w:sz w:val="19"/>
                <w:szCs w:val="19"/>
                <w:color w:val="auto"/>
              </w:rPr>
            </w:pPr>
          </w:p>
        </w:tc>
      </w:tr>
      <w:tr>
        <w:trPr>
          <w:trHeight w:val="203"/>
        </w:trPr>
        <w:tc>
          <w:tcPr>
            <w:tcW w:w="1720" w:type="dxa"/>
            <w:vAlign w:val="bottom"/>
          </w:tcPr>
          <w:p>
            <w:pPr>
              <w:spacing w:after="0"/>
              <w:rPr>
                <w:sz w:val="17"/>
                <w:szCs w:val="17"/>
                <w:color w:val="auto"/>
              </w:rPr>
            </w:pPr>
          </w:p>
        </w:tc>
        <w:tc>
          <w:tcPr>
            <w:tcW w:w="28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Depreciation on non-rental real</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estate assets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2,045</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Depreciable real estate reserves</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(85,336)</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r>
      <w:tr>
        <w:trPr>
          <w:trHeight w:val="195"/>
        </w:trPr>
        <w:tc>
          <w:tcPr>
            <w:tcW w:w="1720" w:type="dxa"/>
            <w:vAlign w:val="bottom"/>
          </w:tcPr>
          <w:p>
            <w:pPr>
              <w:spacing w:after="0"/>
              <w:rPr>
                <w:sz w:val="16"/>
                <w:szCs w:val="16"/>
                <w:color w:val="auto"/>
              </w:rPr>
            </w:pPr>
          </w:p>
        </w:tc>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attributable to</w:t>
            </w: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SL Green common stockholders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noncontrolling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547,462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869,855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661,825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583,036</w:t>
            </w:r>
          </w:p>
        </w:tc>
        <w:tc>
          <w:tcPr>
            <w:tcW w:w="172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Cash flows provided by operating</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8"/>
        </w:trPr>
        <w:tc>
          <w:tcPr>
            <w:tcW w:w="1720" w:type="dxa"/>
            <w:vAlign w:val="bottom"/>
          </w:tcPr>
          <w:p>
            <w:pPr>
              <w:spacing w:after="0"/>
              <w:rPr>
                <w:sz w:val="19"/>
                <w:szCs w:val="19"/>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313,722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373,378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634,714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526,484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490,381</w:t>
            </w:r>
          </w:p>
        </w:tc>
        <w:tc>
          <w:tcPr>
            <w:tcW w:w="1720" w:type="dxa"/>
            <w:vAlign w:val="bottom"/>
          </w:tcPr>
          <w:p>
            <w:pPr>
              <w:spacing w:after="0"/>
              <w:rPr>
                <w:sz w:val="19"/>
                <w:szCs w:val="19"/>
                <w:color w:val="auto"/>
              </w:rPr>
            </w:pPr>
          </w:p>
        </w:tc>
      </w:tr>
      <w:tr>
        <w:trPr>
          <w:trHeight w:val="204"/>
        </w:trPr>
        <w:tc>
          <w:tcPr>
            <w:tcW w:w="17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flows (used in) provided by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2,126,747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2,122,570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(2,265,911)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(796,835)</w:t>
            </w:r>
          </w:p>
        </w:tc>
        <w:tc>
          <w:tcPr>
            <w:tcW w:w="172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flows used in by financing</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8"/>
        </w:trPr>
        <w:tc>
          <w:tcPr>
            <w:tcW w:w="1720" w:type="dxa"/>
            <w:vAlign w:val="bottom"/>
          </w:tcPr>
          <w:p>
            <w:pPr>
              <w:spacing w:after="0"/>
              <w:rPr>
                <w:sz w:val="19"/>
                <w:szCs w:val="19"/>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(2,479,298)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(2,733,240)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1,713,417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381,171</w:t>
            </w:r>
          </w:p>
        </w:tc>
        <w:tc>
          <w:tcPr>
            <w:tcW w:w="172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w w:val="99"/>
              </w:rPr>
              <w:t>S-14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Facility</w:t>
      </w:r>
    </w:p>
    <w:p>
      <w:pPr>
        <w:spacing w:after="0" w:line="22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SL Green, SL Green OP and ROP entered into a credit facility in November 2012, which was subsequently amended in March 2014, November 2014, January 2015 and July 2015 (as amended, the "Credit Facility"). Following the most recent amendments made to the Credit Facility in July 2015, the Credit Facility consists of a $1.6 billion revolving credit facility, or the revolving credit facility, and a $1.2 billion term loan facility, or the term loan facility. We also have an option, subject to customary conditions, to increase the capacity under the revolving credit facility to $3.0 billion at any time prior to the maturity date for the revolving credit facility without the consent of existing lenders, by obtaining additional commitments from our existing lenders and other financial institutions. The revolving credit facility matures on March 29, 2019 with an as-of-right extension through March 29, 2020. The term loan matures on June 30, 2019.</w:t>
      </w:r>
    </w:p>
    <w:p>
      <w:pPr>
        <w:spacing w:after="0" w:line="195" w:lineRule="exact"/>
        <w:rPr>
          <w:sz w:val="20"/>
          <w:szCs w:val="20"/>
          <w:color w:val="auto"/>
        </w:rPr>
      </w:pPr>
    </w:p>
    <w:p>
      <w:pPr>
        <w:ind w:right="200" w:firstLine="429"/>
        <w:spacing w:after="0" w:line="293" w:lineRule="auto"/>
        <w:rPr>
          <w:sz w:val="20"/>
          <w:szCs w:val="20"/>
          <w:color w:val="auto"/>
        </w:rPr>
      </w:pPr>
      <w:r>
        <w:rPr>
          <w:rFonts w:ascii="Times New Roman" w:cs="Times New Roman" w:eastAsia="Times New Roman" w:hAnsi="Times New Roman"/>
          <w:sz w:val="16"/>
          <w:szCs w:val="16"/>
          <w:color w:val="auto"/>
        </w:rPr>
        <w:t>As of June 30, 2017, the Credit Facility bore interest at a spread over LIBOR ranging from (i) 87.5 basis points to 155 basis points for loans under the revolving credit facility and (ii) 95 basis points to 190 basis points for loans under the term loan facility, in each case based on the credit rating assigned to the senior unsecured long term indebtedness of ROP. At June 30, 2017, the applicable spread was 125 basis points for revolving credit facility and 140 basis points for the term loan facility. At June 30, 2017, the effective interest rate was 2.27% for the revolving credit facility and 2.41% for the term loan facility. We are required to pay quarterly in arrears a 12.5 to 30 basis point facility fee on the total commitments under the revolving credit facility based on the credit rating assigned to the senior unsecured long term indebtedness of ROP. As of June 30, 2017, the facility fee was 25 basis points.</w:t>
      </w:r>
    </w:p>
    <w:p>
      <w:pPr>
        <w:spacing w:after="0" w:line="165" w:lineRule="exact"/>
        <w:rPr>
          <w:sz w:val="20"/>
          <w:szCs w:val="20"/>
          <w:color w:val="auto"/>
        </w:rPr>
      </w:pPr>
    </w:p>
    <w:p>
      <w:pPr>
        <w:ind w:right="40" w:firstLine="429"/>
        <w:spacing w:after="0" w:line="275" w:lineRule="auto"/>
        <w:rPr>
          <w:sz w:val="20"/>
          <w:szCs w:val="20"/>
          <w:color w:val="auto"/>
        </w:rPr>
      </w:pPr>
      <w:r>
        <w:rPr>
          <w:rFonts w:ascii="Times New Roman" w:cs="Times New Roman" w:eastAsia="Times New Roman" w:hAnsi="Times New Roman"/>
          <w:sz w:val="18"/>
          <w:szCs w:val="18"/>
          <w:color w:val="auto"/>
        </w:rPr>
        <w:t>As of June 30, 2017, under the Credit Facility we had $80.8 million of outstanding letters of credit, $200.0 million drawn under the revolving credit facility and $1.2 billion outstanding under the term loan facility, with total undrawn capacity of $1.3 billion under the Credit Facility.</w:t>
      </w:r>
    </w:p>
    <w:p>
      <w:pPr>
        <w:spacing w:after="0" w:line="174"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8"/>
          <w:szCs w:val="18"/>
          <w:color w:val="auto"/>
        </w:rPr>
        <w:t>SL Green, SL Green OP and ROP are all borrowers jointly and severally obligated under the Credit Facility. No other subsidiary of ours is an obligor under the Credit Facility.</w:t>
      </w:r>
    </w:p>
    <w:p>
      <w:pPr>
        <w:spacing w:after="0" w:line="174" w:lineRule="exact"/>
        <w:rPr>
          <w:sz w:val="20"/>
          <w:szCs w:val="20"/>
          <w:color w:val="auto"/>
        </w:rPr>
      </w:pPr>
    </w:p>
    <w:p>
      <w:pPr>
        <w:ind w:firstLine="436"/>
        <w:spacing w:after="0" w:line="285" w:lineRule="auto"/>
        <w:rPr>
          <w:sz w:val="20"/>
          <w:szCs w:val="20"/>
          <w:color w:val="auto"/>
        </w:rPr>
      </w:pPr>
      <w:r>
        <w:rPr>
          <w:rFonts w:ascii="Times New Roman" w:cs="Times New Roman" w:eastAsia="Times New Roman" w:hAnsi="Times New Roman"/>
          <w:sz w:val="16"/>
          <w:szCs w:val="16"/>
          <w:color w:val="auto"/>
        </w:rPr>
        <w:t>The terms of the Credit Facility include certain restrictions and covenants which limit, among other things, the ability to pay dividends, making certain types of investments, the incurrence of additional indebtedness, the incurrence of liens and the entry into negative pledge agreements and the disposition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As of</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June 30, 2017, we were in compliance with all covenants under the Credit Facility. We are currently considering a refinancing of our Credit Facility, and as a result, the size of the facility, borrowings under the facility, maturity date, covenants and other terms may change from those described above. This offering is not conditioned upon completion of such a refinancing, and there can be no assurance that we will be successful in completing a refinancing.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Reckson Operating Partnership, L.P., SL Green Realty Corp. and SL Green Operating Partnership, L.P.</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4.50% Senior Notes due 2022</w:t>
      </w:r>
    </w:p>
    <w:p>
      <w:pPr>
        <w:spacing w:after="0" w:line="227" w:lineRule="exact"/>
        <w:rPr>
          <w:sz w:val="20"/>
          <w:szCs w:val="20"/>
          <w:color w:val="auto"/>
        </w:rPr>
      </w:pPr>
    </w:p>
    <w:p>
      <w:pPr>
        <w:ind w:firstLine="429"/>
        <w:spacing w:after="0" w:line="258" w:lineRule="auto"/>
        <w:rPr>
          <w:sz w:val="20"/>
          <w:szCs w:val="20"/>
          <w:color w:val="auto"/>
        </w:rPr>
      </w:pPr>
      <w:r>
        <w:rPr>
          <w:rFonts w:ascii="Times New Roman" w:cs="Times New Roman" w:eastAsia="Times New Roman" w:hAnsi="Times New Roman"/>
          <w:sz w:val="18"/>
          <w:szCs w:val="18"/>
          <w:color w:val="auto"/>
        </w:rPr>
        <w:t>As of June 30, 2017, we had $200.0 million aggregate principal amount of our 4.50% senior unsecured notes due 2022 outstanding under the indenture, dated as of August 5, 2011 (the "base indenture"), as amended by the first supplemental indenture, dated as of August 5, 2011 (the "first supplemental indenture"), and the second supplemental indenture, dated as of November 15, 2012 (the "second supplemental indenture"), each by and among SL Green SL Green OP and ROP, as co-obligors, and The Bank of New York Mellon, as trustee (the "Existing 4.50% Senior Notes"). The notes offered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hereby will also be issued under the base indenture and the second supplemental indenture on the same terms as the Existing 4.50% Senior Notes (the notes offered hereby together with the Existing 4.50% Senior Notes, the "4.50% Senior Notes"). See "Description of the Notes".</w:t>
      </w:r>
    </w:p>
    <w:p>
      <w:pPr>
        <w:spacing w:after="0" w:line="174" w:lineRule="exact"/>
        <w:rPr>
          <w:sz w:val="20"/>
          <w:szCs w:val="20"/>
          <w:color w:val="auto"/>
        </w:rPr>
      </w:pPr>
    </w:p>
    <w:p>
      <w:pPr>
        <w:ind w:right="20" w:firstLine="436"/>
        <w:spacing w:after="0" w:line="275" w:lineRule="auto"/>
        <w:rPr>
          <w:sz w:val="20"/>
          <w:szCs w:val="20"/>
          <w:color w:val="auto"/>
        </w:rPr>
      </w:pPr>
      <w:r>
        <w:rPr>
          <w:rFonts w:ascii="Times New Roman" w:cs="Times New Roman" w:eastAsia="Times New Roman" w:hAnsi="Times New Roman"/>
          <w:sz w:val="18"/>
          <w:szCs w:val="18"/>
          <w:color w:val="auto"/>
        </w:rPr>
        <w:t>The 4.50% Senior Notes mature on December 1, 2022. The 4.50% Senior Notes bear interest at a rate of 4.50% per annum, computed on the basis of a 360-day year composed of twelve 30-day months and payable on June 1 and December 1 of each year.</w:t>
      </w:r>
    </w:p>
    <w:p>
      <w:pPr>
        <w:spacing w:after="0" w:line="17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4.50% Senior Notes are the unsecured unsubordinated obligations of SL Green, SL Green OP and ROP and rank equally with each entity's existing and future unsubordinated indebtedness. We have the option to redeem all or a part of the 4.50% Senior Notes, at any time or from time to time, at a redemption price equal to 100% of the principal amount of the 4.50% Senior Notes redeemed, plus a "make-whole" premium, and accrued and unpaid interest, if any, to the applicable redemption date.</w:t>
      </w:r>
    </w:p>
    <w:p>
      <w:pPr>
        <w:spacing w:after="0" w:line="190" w:lineRule="exact"/>
        <w:rPr>
          <w:sz w:val="20"/>
          <w:szCs w:val="20"/>
          <w:color w:val="auto"/>
        </w:rPr>
      </w:pPr>
    </w:p>
    <w:p>
      <w:pPr>
        <w:ind w:right="240" w:firstLine="436"/>
        <w:spacing w:after="0" w:line="262" w:lineRule="auto"/>
        <w:rPr>
          <w:sz w:val="20"/>
          <w:szCs w:val="20"/>
          <w:color w:val="auto"/>
        </w:rPr>
      </w:pPr>
      <w:r>
        <w:rPr>
          <w:rFonts w:ascii="Times New Roman" w:cs="Times New Roman" w:eastAsia="Times New Roman" w:hAnsi="Times New Roman"/>
          <w:sz w:val="18"/>
          <w:szCs w:val="18"/>
          <w:color w:val="auto"/>
        </w:rPr>
        <w:t>The indenture governing the 4.50% Senior Notes contains covenants that, among other things, restrict the ability of ROP and its subsidiaries' to incur additional indebtedness and encumber assets. These covenants are subject to a number of important limitations and exceptions. SL Green and SLGreen OP are not subject to such restrictions. As of June 30, 2017,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5.00% Senior Notes due 2018</w:t>
      </w:r>
    </w:p>
    <w:p>
      <w:pPr>
        <w:spacing w:after="0" w:line="227" w:lineRule="exact"/>
        <w:rPr>
          <w:sz w:val="20"/>
          <w:szCs w:val="20"/>
          <w:color w:val="auto"/>
        </w:rPr>
      </w:pPr>
    </w:p>
    <w:p>
      <w:pPr>
        <w:ind w:firstLine="429"/>
        <w:spacing w:after="0" w:line="275" w:lineRule="auto"/>
        <w:rPr>
          <w:sz w:val="20"/>
          <w:szCs w:val="20"/>
          <w:color w:val="auto"/>
        </w:rPr>
      </w:pPr>
      <w:r>
        <w:rPr>
          <w:rFonts w:ascii="Times New Roman" w:cs="Times New Roman" w:eastAsia="Times New Roman" w:hAnsi="Times New Roman"/>
          <w:sz w:val="18"/>
          <w:szCs w:val="18"/>
          <w:color w:val="auto"/>
        </w:rPr>
        <w:t>As of June 30, 2017, we had $249.9 million aggregate principal amount of our 5.00% senior unsecured notes due 2018 outstanding under the base indenture as amended by the first supplemental indenture (the "5.00% Senior Notes").</w:t>
      </w:r>
    </w:p>
    <w:p>
      <w:pPr>
        <w:spacing w:after="0" w:line="174" w:lineRule="exact"/>
        <w:rPr>
          <w:sz w:val="20"/>
          <w:szCs w:val="20"/>
          <w:color w:val="auto"/>
        </w:rPr>
      </w:pPr>
    </w:p>
    <w:p>
      <w:pPr>
        <w:ind w:right="140" w:firstLine="436"/>
        <w:spacing w:after="0" w:line="275" w:lineRule="auto"/>
        <w:rPr>
          <w:sz w:val="20"/>
          <w:szCs w:val="20"/>
          <w:color w:val="auto"/>
        </w:rPr>
      </w:pPr>
      <w:r>
        <w:rPr>
          <w:rFonts w:ascii="Times New Roman" w:cs="Times New Roman" w:eastAsia="Times New Roman" w:hAnsi="Times New Roman"/>
          <w:sz w:val="18"/>
          <w:szCs w:val="18"/>
          <w:color w:val="auto"/>
        </w:rPr>
        <w:t>The 5.00% Senior Notes mature on August 15, 2018. The 5.00% Senior Notes bear interest at a rate of 5.00% per annum, computed on the basis of a 360-day year composed of twelve 30-day months and payable on February 15 and August 15 of each year.</w:t>
      </w:r>
    </w:p>
    <w:p>
      <w:pPr>
        <w:spacing w:after="0" w:line="174"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5.00% Senior Notes are the unsecured unsubordinated obligations of ROP, SL Green and SL Green OP and rank equally with each entity's existing and future unsubordinated indebtedness, including the notes offered hereby. We have the option to redeem all or a part of the 5.00% Senior Notes, at any time or from time to time, at a redemption price equal to 100% of the principal amount of the 5.00% Senior Notes redeemed, plus a "make-whole" premium, and accrued and unpaid interest, if any, to the applicable redemption date.</w:t>
      </w:r>
    </w:p>
    <w:p>
      <w:pPr>
        <w:spacing w:after="0" w:line="190"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The indenture governing the 5.00%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June 30, 2017,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7.75% Senior Notes due 2020</w:t>
      </w:r>
    </w:p>
    <w:p>
      <w:pPr>
        <w:spacing w:after="0" w:line="227" w:lineRule="exact"/>
        <w:rPr>
          <w:sz w:val="20"/>
          <w:szCs w:val="20"/>
          <w:color w:val="auto"/>
        </w:rPr>
      </w:pPr>
    </w:p>
    <w:p>
      <w:pPr>
        <w:ind w:right="180" w:firstLine="429"/>
        <w:spacing w:after="0" w:line="262" w:lineRule="auto"/>
        <w:rPr>
          <w:sz w:val="20"/>
          <w:szCs w:val="20"/>
          <w:color w:val="auto"/>
        </w:rPr>
      </w:pPr>
      <w:r>
        <w:rPr>
          <w:rFonts w:ascii="Times New Roman" w:cs="Times New Roman" w:eastAsia="Times New Roman" w:hAnsi="Times New Roman"/>
          <w:sz w:val="18"/>
          <w:szCs w:val="18"/>
          <w:color w:val="auto"/>
        </w:rPr>
        <w:t>As of June 30, 2017, we had $250.0 million aggregate principal amount of our 7.75% senior unsecured notes due 2020 outstanding under the indenture, dated as of March 16, 2010, by and among SL Green, SL Green OP and ROP, as co-obligors, and The Bank of New York Mellon, as trustee (the "7.75% Senior Notes").</w:t>
      </w:r>
    </w:p>
    <w:p>
      <w:pPr>
        <w:spacing w:after="0" w:line="186" w:lineRule="exact"/>
        <w:rPr>
          <w:sz w:val="20"/>
          <w:szCs w:val="20"/>
          <w:color w:val="auto"/>
        </w:rPr>
      </w:pPr>
    </w:p>
    <w:p>
      <w:pPr>
        <w:ind w:right="180" w:firstLine="436"/>
        <w:spacing w:after="0" w:line="275" w:lineRule="auto"/>
        <w:rPr>
          <w:sz w:val="20"/>
          <w:szCs w:val="20"/>
          <w:color w:val="auto"/>
        </w:rPr>
      </w:pPr>
      <w:r>
        <w:rPr>
          <w:rFonts w:ascii="Times New Roman" w:cs="Times New Roman" w:eastAsia="Times New Roman" w:hAnsi="Times New Roman"/>
          <w:sz w:val="18"/>
          <w:szCs w:val="18"/>
          <w:color w:val="auto"/>
        </w:rPr>
        <w:t>The 7.75% Senior Notes mature on March 15, 2020. The 7.75% Senior Notes bear interest at a rate of 7.75% per annum, computed on the basis of a 360-day year composed of twelve 30-day months and payable on March 15 and September 15 of each year.</w:t>
      </w:r>
    </w:p>
    <w:p>
      <w:pPr>
        <w:spacing w:after="0" w:line="174" w:lineRule="exact"/>
        <w:rPr>
          <w:sz w:val="20"/>
          <w:szCs w:val="20"/>
          <w:color w:val="auto"/>
        </w:rPr>
      </w:pPr>
    </w:p>
    <w:p>
      <w:pPr>
        <w:ind w:right="20" w:firstLine="436"/>
        <w:spacing w:after="0" w:line="275" w:lineRule="auto"/>
        <w:rPr>
          <w:sz w:val="20"/>
          <w:szCs w:val="20"/>
          <w:color w:val="auto"/>
        </w:rPr>
      </w:pPr>
      <w:r>
        <w:rPr>
          <w:rFonts w:ascii="Times New Roman" w:cs="Times New Roman" w:eastAsia="Times New Roman" w:hAnsi="Times New Roman"/>
          <w:sz w:val="18"/>
          <w:szCs w:val="18"/>
          <w:color w:val="auto"/>
        </w:rPr>
        <w:t>The 7.75% Senior Notes are the unsecured unsubordinated obligations of ROP, SL Green and SL Green OP and rank equally with each entity's existing and future unsubordinated indebtedness, including the notes offered hereby. We have the option to redeem all or a part of the 7.75% Senior Notes, 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any time or from time to time, at a redemption price equal to 100% of the principal amount of the 7.75% Senior Notes redeemed, plus a "make-whole" premium, and accrued and unpaid interest, if any, to the applicable redemption date.</w:t>
      </w:r>
    </w:p>
    <w:p>
      <w:pPr>
        <w:spacing w:after="0" w:line="174"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The indenture governing the 7.75%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June 30, 2017, we were in compliance with all such covenants.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4.27% Senior Notes due 2025</w:t>
      </w:r>
    </w:p>
    <w:p>
      <w:pPr>
        <w:spacing w:after="0" w:line="227" w:lineRule="exact"/>
        <w:rPr>
          <w:sz w:val="20"/>
          <w:szCs w:val="20"/>
          <w:color w:val="auto"/>
        </w:rPr>
      </w:pPr>
    </w:p>
    <w:p>
      <w:pPr>
        <w:ind w:right="260" w:firstLine="429"/>
        <w:spacing w:after="0" w:line="310" w:lineRule="auto"/>
        <w:rPr>
          <w:sz w:val="20"/>
          <w:szCs w:val="20"/>
          <w:color w:val="auto"/>
        </w:rPr>
      </w:pPr>
      <w:r>
        <w:rPr>
          <w:rFonts w:ascii="Times New Roman" w:cs="Times New Roman" w:eastAsia="Times New Roman" w:hAnsi="Times New Roman"/>
          <w:sz w:val="16"/>
          <w:szCs w:val="16"/>
          <w:color w:val="auto"/>
        </w:rPr>
        <w:t>As of June 30, 2017, we had $100.0 million aggregate principal amount of our 4.27% senior unsecured notes due 2025 outstanding (the "4.27% Senior Notes"). The 4.27% Senior Notes were issued to certain institutional investors on a private placement basis on December 17, 2015 pursuant to a note purchase agreement by and among ROP, SL Green and SL Green OP, as co-obligors, and such institutional investors, dated as of November 10, 2015.</w:t>
      </w:r>
    </w:p>
    <w:p>
      <w:pPr>
        <w:spacing w:after="0" w:line="151" w:lineRule="exact"/>
        <w:rPr>
          <w:sz w:val="20"/>
          <w:szCs w:val="20"/>
          <w:color w:val="auto"/>
        </w:rPr>
      </w:pPr>
    </w:p>
    <w:p>
      <w:pPr>
        <w:ind w:right="300" w:firstLine="436"/>
        <w:spacing w:after="0" w:line="275" w:lineRule="auto"/>
        <w:rPr>
          <w:sz w:val="20"/>
          <w:szCs w:val="20"/>
          <w:color w:val="auto"/>
        </w:rPr>
      </w:pPr>
      <w:r>
        <w:rPr>
          <w:rFonts w:ascii="Times New Roman" w:cs="Times New Roman" w:eastAsia="Times New Roman" w:hAnsi="Times New Roman"/>
          <w:sz w:val="18"/>
          <w:szCs w:val="18"/>
          <w:color w:val="auto"/>
        </w:rPr>
        <w:t>The 4.27% Senior Notes mature on December 17, 2025. The 4.27% Senior Notes bear interest at a rate of 4.27% per annum, computed on the basis of a 360-day year composed of twelve 30-day months and payable on June 17 and December 17 of each year.</w:t>
      </w:r>
    </w:p>
    <w:p>
      <w:pPr>
        <w:spacing w:after="0" w:line="174"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4.27% Senior Notes are the unsecured unsubordinated obligations of ROP, SL Green and SL Green OP and rank equally with each entity's existing and future unsubordinated indebtedness, including the notes offered hereby. We have the option to redeem all or a part of the 4.27% Senior Notes, at any time or from time to time, at a redemption price equal to 100% of the principal amount of the 4.27% Senior Notes redeemed, plus a "make-whole" premium, and accrued and unpaid interest, if any, to the applicable redemption date.</w:t>
      </w:r>
    </w:p>
    <w:p>
      <w:pPr>
        <w:spacing w:after="0" w:line="190"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The purchase agreement relating to the 4.27%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June 30, 2017, we were in compliance with all such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 Green Operating Partnership, L.P.</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3.250% Senior Notes due 2022</w:t>
      </w:r>
    </w:p>
    <w:p>
      <w:pPr>
        <w:spacing w:after="0" w:line="227" w:lineRule="exact"/>
        <w:rPr>
          <w:sz w:val="20"/>
          <w:szCs w:val="20"/>
          <w:color w:val="auto"/>
        </w:rPr>
      </w:pPr>
    </w:p>
    <w:p>
      <w:pPr>
        <w:ind w:firstLine="439"/>
        <w:spacing w:after="0" w:line="310" w:lineRule="auto"/>
        <w:rPr>
          <w:sz w:val="20"/>
          <w:szCs w:val="20"/>
          <w:color w:val="auto"/>
        </w:rPr>
      </w:pPr>
      <w:r>
        <w:rPr>
          <w:rFonts w:ascii="Times New Roman" w:cs="Times New Roman" w:eastAsia="Times New Roman" w:hAnsi="Times New Roman"/>
          <w:sz w:val="16"/>
          <w:szCs w:val="16"/>
          <w:color w:val="auto"/>
        </w:rPr>
        <w:t>On October 5, 2017, SL Green OP issued $500,000,000 million aggregate principal amount of 3.250% Senior Notes due 2022, fully and unconditionally guaranteed by SL Green and ROP, under the indenture, dated as of October 5, 2017, by and between SL Green OP and The Bank of New York Mellon, as trustee, as amended by the first supplemental indenture thereto, dated October 5, 2017, among SL Green OP, SL Green, ROP and the trustee (the "3.250% Senior Notes").</w:t>
      </w:r>
    </w:p>
    <w:p>
      <w:pPr>
        <w:spacing w:after="0" w:line="151" w:lineRule="exact"/>
        <w:rPr>
          <w:sz w:val="20"/>
          <w:szCs w:val="20"/>
          <w:color w:val="auto"/>
        </w:rPr>
      </w:pPr>
    </w:p>
    <w:p>
      <w:pPr>
        <w:ind w:right="180" w:firstLine="436"/>
        <w:spacing w:after="0" w:line="275" w:lineRule="auto"/>
        <w:rPr>
          <w:sz w:val="20"/>
          <w:szCs w:val="20"/>
          <w:color w:val="auto"/>
        </w:rPr>
      </w:pPr>
      <w:r>
        <w:rPr>
          <w:rFonts w:ascii="Times New Roman" w:cs="Times New Roman" w:eastAsia="Times New Roman" w:hAnsi="Times New Roman"/>
          <w:sz w:val="18"/>
          <w:szCs w:val="18"/>
          <w:color w:val="auto"/>
        </w:rPr>
        <w:t>The 3.250% Senior Notes mature on October 15, 2022. The 3.250% Senior Notes bear interest at a rate of 3.250% per annum, computed on the basis of a 360-day year composed of twelve 30-day months and payable on April 15 and October 15 of each year, beginning on April 15, 2018.</w:t>
      </w:r>
    </w:p>
    <w:p>
      <w:pPr>
        <w:spacing w:after="0" w:line="174" w:lineRule="exact"/>
        <w:rPr>
          <w:sz w:val="20"/>
          <w:szCs w:val="20"/>
          <w:color w:val="auto"/>
        </w:rPr>
      </w:pPr>
    </w:p>
    <w:p>
      <w:pPr>
        <w:ind w:right="60" w:firstLine="436"/>
        <w:spacing w:after="0" w:line="256" w:lineRule="auto"/>
        <w:rPr>
          <w:sz w:val="20"/>
          <w:szCs w:val="20"/>
          <w:color w:val="auto"/>
        </w:rPr>
      </w:pPr>
      <w:r>
        <w:rPr>
          <w:rFonts w:ascii="Times New Roman" w:cs="Times New Roman" w:eastAsia="Times New Roman" w:hAnsi="Times New Roman"/>
          <w:sz w:val="18"/>
          <w:szCs w:val="18"/>
          <w:color w:val="auto"/>
        </w:rPr>
        <w:t>The 3.250% Senior Notes and the related guarantees are the unsecured unsubordinated obligations of SL Green OP and SL Green and ROP, respectively, and rank equally with such entities' existing and future unsubordinated indebtedness. SL Green OP has the option to redeem all or a part of the 3.250% Senior Notes, at any time or from time to time, at a redemption price equal to 100% of the principal amount of the 3.250% Senior Notes redeemed, plus a "make-whole" premium, and accrued and unpaid interest, if any, to the applicable redemption date. The indenture governing the 3.250% Senior Notes contains covenants that, among other things, limit SL Green OP and its subsidiaries' (including ROP's)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ability to incur additional indebtedness and encumber assets. The Indenture contains no limitation on the incurrence of indebtedness by SL Green. These covenants are subject to a number of important limitations and exceptions. We used the net proceeds from the sale of the 3.250% Senior Notes to repay our outstanding 3.00% Exchangeable Senior Notes due 2017 and intend to use the balance for general corporate purposes, which may include, among other things, the repayment of other existing indebtedness.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Junior Subordinated Deferrable Interest Debentures due 2035</w:t>
      </w:r>
    </w:p>
    <w:p>
      <w:pPr>
        <w:spacing w:after="0" w:line="227" w:lineRule="exact"/>
        <w:rPr>
          <w:sz w:val="20"/>
          <w:szCs w:val="20"/>
          <w:color w:val="auto"/>
        </w:rPr>
      </w:pPr>
    </w:p>
    <w:p>
      <w:pPr>
        <w:ind w:firstLine="429"/>
        <w:spacing w:after="0" w:line="258" w:lineRule="auto"/>
        <w:rPr>
          <w:sz w:val="20"/>
          <w:szCs w:val="20"/>
          <w:color w:val="auto"/>
        </w:rPr>
      </w:pPr>
      <w:r>
        <w:rPr>
          <w:rFonts w:ascii="Times New Roman" w:cs="Times New Roman" w:eastAsia="Times New Roman" w:hAnsi="Times New Roman"/>
          <w:sz w:val="18"/>
          <w:szCs w:val="18"/>
          <w:color w:val="auto"/>
        </w:rPr>
        <w:t>As of June 30, 2017, SL Green OP had $100.0 million aggregate principal amount of its junior subordinated deferrable interest debentures due 2035 (the "Junior Subordinated Debentures") outstanding. The Junior Subordinated Debentures mature in July 2035. The Junior Subordinated Debentures bear interest at a fixed rate of 5.61% for the period from June 2005 to July 2015 and thereafter, the interest rate will float at three month LIBOR plus 1.25%. The Junior Subordinated Debentures are redeemable, at the option of SL Green OP, in whole or in part, with no prepayment premium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Financing</w:t>
      </w:r>
    </w:p>
    <w:p>
      <w:pPr>
        <w:spacing w:after="0" w:line="227" w:lineRule="exact"/>
        <w:rPr>
          <w:sz w:val="20"/>
          <w:szCs w:val="20"/>
          <w:color w:val="auto"/>
        </w:rPr>
      </w:pPr>
    </w:p>
    <w:p>
      <w:pPr>
        <w:jc w:val="both"/>
        <w:ind w:right="200" w:firstLine="429"/>
        <w:spacing w:after="0" w:line="262" w:lineRule="auto"/>
        <w:rPr>
          <w:sz w:val="20"/>
          <w:szCs w:val="20"/>
          <w:color w:val="auto"/>
        </w:rPr>
      </w:pPr>
      <w:r>
        <w:rPr>
          <w:rFonts w:ascii="Times New Roman" w:cs="Times New Roman" w:eastAsia="Times New Roman" w:hAnsi="Times New Roman"/>
          <w:sz w:val="18"/>
          <w:szCs w:val="18"/>
          <w:color w:val="auto"/>
        </w:rPr>
        <w:t>As of December 31, 2016, our total mortgage debt (excluding our share of joint venture debt of approximately $2.7 billion) consisted of approximately $3.5 billion of fixed rate debt, including hedged variable rate debt, with an effective weighted average interest rate of approximately 4.68% and $0.6 billion of variable rate debt with an effective weighted average interest rate of approximately 2.83%.</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The notes offered hereby will be issued under the base indenture, dated as of August 5, 2011, as supplemented by the second supplemental indenture, dated as of November 15, 2012 (as so supplemented, the "Indenture"), each between us and The Bank of New York Mellon, as trustee (the "Trustee"). The notes form a part of the series of our 4.50% Senior Notes due December 1, 2022 currently outstanding (the "initial notes") and will have the same terms as the initial notes other than their issue date and the public offering price at which the notes offered hereby are sold. We first issued our 4.50% Senior Notes due December 1, 2022 on November 9, 2012. The notes offered hereby will have the same CUSIP number as the initial notes and will trade interchangeably with the initial notes immediately upon settlement. Upon consummation of this offering, the aggregate principal amount of our 4.50% Senior Notes due December 1, 2022, including the notes offered hereby, will be $300,000,000.</w:t>
      </w:r>
    </w:p>
    <w:p>
      <w:pPr>
        <w:spacing w:after="0" w:line="195" w:lineRule="exact"/>
        <w:rPr>
          <w:sz w:val="20"/>
          <w:szCs w:val="20"/>
          <w:color w:val="auto"/>
        </w:rPr>
      </w:pPr>
    </w:p>
    <w:p>
      <w:pPr>
        <w:ind w:firstLine="436"/>
        <w:spacing w:after="0" w:line="296" w:lineRule="auto"/>
        <w:rPr>
          <w:sz w:val="20"/>
          <w:szCs w:val="20"/>
          <w:color w:val="auto"/>
        </w:rPr>
      </w:pPr>
      <w:r>
        <w:rPr>
          <w:rFonts w:ascii="Times New Roman" w:cs="Times New Roman" w:eastAsia="Times New Roman" w:hAnsi="Times New Roman"/>
          <w:sz w:val="16"/>
          <w:szCs w:val="16"/>
          <w:color w:val="auto"/>
        </w:rPr>
        <w:t>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(the "Trust Indenture Act"). The base indenture has been filed as Exhibit 4.1 to the Current Report on Form 8-K filed by SL Green, SL Green OP and ROP on August 5, 2011 and the second supplemental indenture has been filed as Exhibit 4.1 to the Current Report on Form 8-K filed by SL Green, SL Green OP and ROP on November 15, 2012. You can find definitions of certain capitalized terms relating to the notes as used in the Indenture in this section.</w:t>
      </w:r>
    </w:p>
    <w:p>
      <w:pPr>
        <w:spacing w:after="0" w:line="162" w:lineRule="exact"/>
        <w:rPr>
          <w:sz w:val="20"/>
          <w:szCs w:val="20"/>
          <w:color w:val="auto"/>
        </w:rPr>
      </w:pPr>
    </w:p>
    <w:p>
      <w:pPr>
        <w:ind w:right="140" w:firstLine="436"/>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terms of our 4.50% Senior Notes due December 1, 2022, including the notes offered by this prospectus supplement, supplements the description of the general terms and provisions of the notes set forth in the accompanying prospectus. You should carefully read this prospectus supplement and the accompanying prospectus to understand fully the terms of the notes. All of the information set forth below is qualified in its entirety by the explanation set forth in the accompanying prospectus, which describes certain general terms and provisions of the debt securities that may be issued under the Indenture from time to time. In the event of any inconsistency between the terms of the notes contained in this prospectus supplement and in the section entitled "Description of Debt Securities" beginning on page 22 of the accompanying prospectus, the terms contained in this prospectus supplement will control with respect to the notes.</w:t>
      </w:r>
    </w:p>
    <w:p>
      <w:pPr>
        <w:spacing w:after="0" w:line="195" w:lineRule="exact"/>
        <w:rPr>
          <w:sz w:val="20"/>
          <w:szCs w:val="20"/>
          <w:color w:val="auto"/>
        </w:rPr>
      </w:pPr>
    </w:p>
    <w:p>
      <w:pPr>
        <w:ind w:right="100" w:firstLine="429"/>
        <w:spacing w:after="0" w:line="310" w:lineRule="auto"/>
        <w:rPr>
          <w:sz w:val="20"/>
          <w:szCs w:val="20"/>
          <w:color w:val="auto"/>
        </w:rPr>
      </w:pPr>
      <w:r>
        <w:rPr>
          <w:rFonts w:ascii="Times New Roman" w:cs="Times New Roman" w:eastAsia="Times New Roman" w:hAnsi="Times New Roman"/>
          <w:sz w:val="16"/>
          <w:szCs w:val="16"/>
          <w:color w:val="auto"/>
        </w:rPr>
        <w:t>As used in this section, references to the Operating Partnership and ROP, refer only to Reckson Operating Partnership, L.P. and references to "we," "us," and the "co-obligors" refer to SL Green, SL Green OP and ROP. Unless otherwise specified, all references to "notes" in this section includes the initial notes and the notes offered hereby. Capitalized terms not otherwise defined herein shall have the meanings given to them in the notes or the Indenture, as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notes will be direct, unsecured senior obligations and will rank equally with each other and with all of our other existing and future unsecured senior indebtedness. However, the notes will be effectively junior to our mortgages and other secured indebtedness (to the extent of the collateral securing the same) and structurally subordinated to all liabilities, whether secured or unsecured, and preferred interests of our subsidiaries. As of June 30, 2017, SL Green and its consolidated subsidiaries, including SL Green OP and ROP, had outstanding approximately $2.6 billion of unsecured senior indebtedness and approximately $3.9 billion of secured indebtedness (including SL Green OP's share of consolidated joint venture secured indebtedness of approximately $0.4 million). As of June 30, 2017, SL Green's unconsolidated joint ventures had no unsecured indebtedness outstanding and approximately $6.8 billion of secured indebtedness (including SL Green OP's share of approximately $2.9 billion).</w:t>
      </w:r>
    </w:p>
    <w:p>
      <w:pPr>
        <w:spacing w:after="0" w:line="195" w:lineRule="exact"/>
        <w:rPr>
          <w:sz w:val="20"/>
          <w:szCs w:val="20"/>
          <w:color w:val="auto"/>
        </w:rPr>
      </w:pPr>
    </w:p>
    <w:p>
      <w:pPr>
        <w:ind w:right="860" w:firstLine="429"/>
        <w:spacing w:after="0" w:line="275" w:lineRule="auto"/>
        <w:rPr>
          <w:sz w:val="20"/>
          <w:szCs w:val="20"/>
          <w:color w:val="auto"/>
        </w:rPr>
      </w:pPr>
      <w:r>
        <w:rPr>
          <w:rFonts w:ascii="Times New Roman" w:cs="Times New Roman" w:eastAsia="Times New Roman" w:hAnsi="Times New Roman"/>
          <w:sz w:val="18"/>
          <w:szCs w:val="18"/>
          <w:color w:val="auto"/>
        </w:rPr>
        <w:t>As of June 30, 2017, the Operating Partnership and its consolidated subsidiaries had outstanding approximately $2.2 billion of unsecured senior indebtedness and approximately $0.9 billion of secured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indebtedness. The Operating Partnership and its subsidiaries may incur additional indebtedness, including secured indebtedness, subject to the provisions described in this prospectus supplement under "— Certain Covenants — Limitations on Incurrence of Debt." None of SL Green, SL Green OP, their subsidiaries (other than the Operating Partnership and its subsidiaries) nor the Operating Partnership's unconsolidated joint ventures are subject to those limitations.</w:t>
      </w:r>
    </w:p>
    <w:p>
      <w:pPr>
        <w:spacing w:after="0" w:line="151" w:lineRule="exact"/>
        <w:rPr>
          <w:sz w:val="20"/>
          <w:szCs w:val="20"/>
          <w:color w:val="auto"/>
        </w:rPr>
      </w:pPr>
    </w:p>
    <w:p>
      <w:pPr>
        <w:jc w:val="both"/>
        <w:ind w:right="340" w:firstLine="436"/>
        <w:spacing w:after="0" w:line="262" w:lineRule="auto"/>
        <w:rPr>
          <w:sz w:val="20"/>
          <w:szCs w:val="20"/>
          <w:color w:val="auto"/>
        </w:rPr>
      </w:pPr>
      <w:r>
        <w:rPr>
          <w:rFonts w:ascii="Times New Roman" w:cs="Times New Roman" w:eastAsia="Times New Roman" w:hAnsi="Times New Roman"/>
          <w:sz w:val="18"/>
          <w:szCs w:val="18"/>
          <w:color w:val="auto"/>
        </w:rPr>
        <w:t>The notes offered hereby will initially be limited to the aggregate principal amount of $100 million. Upon consummation of this offering, the aggregate principal amount of our 4.50% Senior Notes due December 1, 2022 will be $300 million. The notes will mature on December 1, 2022, unless we exercise our option to redeem the notes prior to that date.</w:t>
      </w:r>
    </w:p>
    <w:p>
      <w:pPr>
        <w:spacing w:after="0" w:line="186"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We may, without the consent of holders of the notes, increase the principal amount of the notes by issuing additional notes in the future on the same terms and conditions, except for any differences in the issue price and interest accrued prior to the issue date of the additional notes and with the same CUSIP number as the notes offered hereby. The notes offered by this prospectus supplement and any additional notes would rank equally and ratably and would be treated as a single class for all purposes under the Indenture.</w:t>
      </w:r>
    </w:p>
    <w:p>
      <w:pPr>
        <w:spacing w:after="0" w:line="190"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The Indenture does not limit SL Green's or SL Green OP's (or their subsidiaries, other than the Operating Partnership and its subsidiaries) ability to incur additional indebtedness, including secured indebtedness. In addition, the Operating Partnership and its subsidiaries may incur additional indebtedness, including secured indebtedness, subject to the provisions described in this prospectus supplement applicable to the Operating Partnership and its subsidiaries under "— Certain Covenants — Limitations on Incurrence of Debt." ROP's unconsolidated joint ventures are not subject to those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Interest</w:t>
      </w:r>
    </w:p>
    <w:p>
      <w:pPr>
        <w:spacing w:after="0" w:line="227"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Interest on the notes offered hereby will accrue at the rate of 4.50% per year and is payable in U.S. dollars semi-annually in arrears on June 1 and December 1 of each year, beginning on December 1, 2017. The interest so payable will be paid to the holder in whose name the note is registered at the close of business on May 15 or November 15 (whether or not a business day in The City of New York) immediately preceding the applicable interest payment date. Interest on the notes offered hereby will accrue from the most recent date to which interest has been paid with respect to such notes, or if no interest has been paid with respect to such notes, from, and including, June 1, 2017. Interest on the notes will be computed on the basis of a 360-day year consisting of twelve 30-day months.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227" w:lineRule="exact"/>
        <w:rPr>
          <w:sz w:val="20"/>
          <w:szCs w:val="20"/>
          <w:color w:val="auto"/>
        </w:rPr>
      </w:pPr>
    </w:p>
    <w:p>
      <w:pPr>
        <w:jc w:val="both"/>
        <w:ind w:right="240" w:firstLine="436"/>
        <w:spacing w:after="0" w:line="262" w:lineRule="auto"/>
        <w:rPr>
          <w:sz w:val="20"/>
          <w:szCs w:val="20"/>
          <w:color w:val="auto"/>
        </w:rPr>
      </w:pPr>
      <w:r>
        <w:rPr>
          <w:rFonts w:ascii="Times New Roman" w:cs="Times New Roman" w:eastAsia="Times New Roman" w:hAnsi="Times New Roman"/>
          <w:sz w:val="18"/>
          <w:szCs w:val="18"/>
          <w:color w:val="auto"/>
        </w:rPr>
        <w:t>The notes will mature on December 1, 2022, and will be paid in U.S. dollars against presentation and surrender thereof at the corporate trust office of the Trustee. However, we may redeem the notes at our option prior to that date. See "— Optional Redemption." The notes will not be entitled to the benefit of, and are not subject to, any sinking fund.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right="100" w:firstLine="436"/>
        <w:spacing w:after="0" w:line="254" w:lineRule="auto"/>
        <w:rPr>
          <w:sz w:val="20"/>
          <w:szCs w:val="20"/>
          <w:color w:val="auto"/>
        </w:rPr>
      </w:pPr>
      <w:r>
        <w:rPr>
          <w:rFonts w:ascii="Times New Roman" w:cs="Times New Roman" w:eastAsia="Times New Roman" w:hAnsi="Times New Roman"/>
          <w:sz w:val="18"/>
          <w:szCs w:val="18"/>
          <w:color w:val="auto"/>
        </w:rPr>
        <w:t>We may redeem the notes prior to maturity at any time, in whole or in part from time to time, at our option at a redemption price equal to the sum of (i) the principal amount of the notes being redeemed, (ii) unpaid interest accrued thereon to the redemption date and (iii) the Make-Whole Amount, if any, with respect to such notes. If the notes are redeemed on or after September 1, 2022, the redemption price for the notes will equal 100% of the principal amount of the notes, plus unpaid accrued interest thereon to the redemption date. We will, however, pay any interest installment due on an interest payment date which occurs on or prior to a redemption date to holders as of the close of business on the record date immediately preceding such interest payment date. If notice has been given as provided in the Indenture and funds for the redemption of any notes (or any portion thereof) called for redemption shall have been made available on the redemption date referred to in such notice, such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notes (or any portion thereof) will cease to bear interest on the date fixed for such redemption specified in such notice and the only right of the holders of such notes will be to receive payment of the redemption price.</w:t>
      </w:r>
    </w:p>
    <w:p>
      <w:pPr>
        <w:spacing w:after="0" w:line="174" w:lineRule="exact"/>
        <w:rPr>
          <w:sz w:val="20"/>
          <w:szCs w:val="20"/>
          <w:color w:val="auto"/>
        </w:rPr>
      </w:pPr>
    </w:p>
    <w:p>
      <w:pPr>
        <w:jc w:val="both"/>
        <w:ind w:right="140" w:firstLine="439"/>
        <w:spacing w:after="0" w:line="258" w:lineRule="auto"/>
        <w:rPr>
          <w:sz w:val="20"/>
          <w:szCs w:val="20"/>
          <w:color w:val="auto"/>
        </w:rPr>
      </w:pPr>
      <w:r>
        <w:rPr>
          <w:rFonts w:ascii="Times New Roman" w:cs="Times New Roman" w:eastAsia="Times New Roman" w:hAnsi="Times New Roman"/>
          <w:sz w:val="18"/>
          <w:szCs w:val="18"/>
          <w:color w:val="auto"/>
        </w:rPr>
        <w:t>Notice of any optional redemption of notes (or any portion thereof) will be given to holders at their addresses, as shown in the Register, not more than 60 nor less than 30 days prior to the date fixed for redemption. The notice of redemption will specify, among other items, the redemption price, the redemption date and, in the case of a partial redemption, the principal amount of the notes held by such holder to be redeemed. If less than all of the notes are to be redeemed by us, the notes to be redeemed shall be selected on a pro-rata basis.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5"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the excess, if any, of (i) the aggregate present value as of the date of such redemption of each dollar of principal being redeemed and the amount of interest (exclusive of interest accrued to the date of redemption) that would have been payable in respect of each such dollar if such redemption had not been made, determined by discounting, on a semi-annual basis, such principal and interest at the Reinvestment Rate (determined on the third business day in The City of New York preceding the date such notice of redemption is given) from the respective dates on which such principal and interest would have been payable if such redemption had not been made, to the date of such redemption over (ii) the aggregate principal amount of the notes being redeemed.</w:t>
      </w:r>
    </w:p>
    <w:p>
      <w:pPr>
        <w:spacing w:after="0" w:line="193"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"Reinvestment Rate" means 0.45% plus the arithmetic mean of the yields under the heading "Week Ending" published in the most recent Statistical Release under the caption "Treasury Constant Maturities" for the maturity (rounded to the nearest month) corresponding to the remaining life to maturity, as of the redemption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each of such relevant periods to the nearest month. For the purpose of calculating the Reinvestment Rate, the most recent Statistical Release published prior to the date of determination of the Make-Whole Amount shall be used.</w:t>
      </w:r>
    </w:p>
    <w:p>
      <w:pPr>
        <w:spacing w:after="0" w:line="193" w:lineRule="exact"/>
        <w:rPr>
          <w:sz w:val="20"/>
          <w:szCs w:val="20"/>
          <w:color w:val="auto"/>
        </w:rPr>
      </w:pPr>
    </w:p>
    <w:p>
      <w:pPr>
        <w:ind w:firstLine="439"/>
        <w:spacing w:after="0" w:line="310" w:lineRule="auto"/>
        <w:rPr>
          <w:sz w:val="20"/>
          <w:szCs w:val="20"/>
          <w:color w:val="auto"/>
        </w:rPr>
      </w:pPr>
      <w:r>
        <w:rPr>
          <w:rFonts w:ascii="Times New Roman" w:cs="Times New Roman" w:eastAsia="Times New Roman" w:hAnsi="Times New Roman"/>
          <w:sz w:val="16"/>
          <w:szCs w:val="16"/>
          <w:color w:val="auto"/>
        </w:rPr>
        <w:t>"Statistical Release" means the statistical release designated "H.15 (519)" or any successor publication which is published weekly by the Board of Governors of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 Interest, Registration and Transfer</w:t>
      </w:r>
    </w:p>
    <w:p>
      <w:pPr>
        <w:spacing w:after="0" w:line="227"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The notes shall be issuable in denominations of $2,000 and any integral multiple of $1,000 in excess thereof. The principal of (and premium, if any) and interest on the notes will be payable at the corporate trust office of the Trustee provided that, at our option, payment of interest may be made by check mailed to the address of the person entitled thereto as it appears in the applicable Register or by wire transfer of funds to the person at an account designated by such person.</w:t>
      </w:r>
    </w:p>
    <w:p>
      <w:pPr>
        <w:spacing w:after="0" w:line="190" w:lineRule="exact"/>
        <w:rPr>
          <w:sz w:val="20"/>
          <w:szCs w:val="20"/>
          <w:color w:val="auto"/>
        </w:rPr>
      </w:pPr>
    </w:p>
    <w:p>
      <w:pPr>
        <w:ind w:right="40" w:firstLine="429"/>
        <w:spacing w:after="0" w:line="256" w:lineRule="auto"/>
        <w:rPr>
          <w:sz w:val="20"/>
          <w:szCs w:val="20"/>
          <w:color w:val="auto"/>
        </w:rPr>
      </w:pPr>
      <w:r>
        <w:rPr>
          <w:rFonts w:ascii="Times New Roman" w:cs="Times New Roman" w:eastAsia="Times New Roman" w:hAnsi="Times New Roman"/>
          <w:sz w:val="18"/>
          <w:szCs w:val="18"/>
          <w:color w:val="auto"/>
        </w:rPr>
        <w:t>Any interest not punctually paid or duly provided for on any Interest Payment Date with respect to a note ("Defaulted Interest") will forthwith cease to be payable to the holder on the applicable Record Date and may either be paid to the person in whose name the note is registered at the close of business on a special record date (the "Special Record Date") for the payment of the Defaulted Interest to be fixed by the Trustee, notice whereof shall be given to the holder of the note not less than 10 days prior to the Special Record Date, or may be paid at any time in any other lawful manner, all as more completely described in the Indenture.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439"/>
        <w:spacing w:after="0" w:line="255" w:lineRule="auto"/>
        <w:rPr>
          <w:sz w:val="20"/>
          <w:szCs w:val="20"/>
          <w:color w:val="auto"/>
        </w:rPr>
      </w:pPr>
      <w:r>
        <w:rPr>
          <w:rFonts w:ascii="Times New Roman" w:cs="Times New Roman" w:eastAsia="Times New Roman" w:hAnsi="Times New Roman"/>
          <w:sz w:val="18"/>
          <w:szCs w:val="18"/>
          <w:color w:val="auto"/>
        </w:rPr>
        <w:t>Subject to certain limitations imposed upon notes issued in book-entry form, the notes will be exchangeable for other notes of the same series for a like aggregate principal amount of different authorized denominations upon surrender of the notes at the corporate trust office of the Trustee referred to above. In addition, subject to certain limitations imposed upon notes issued in book-entry form, the notes may be surrendered for registration of transfer thereof at the corporate trust office of the Trustee referred to above. Every note surrendered for registration of transfer or exchange shall be duly endorsed or accompanied by a written instrument of transfer. No service charge will be made for any registration of transfer or exchange of any notes, but the Trustee or the co-obligors may require payment of a sum sufficient to cover any tax or other governmental charge payable in connection therewith.</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co-obligors nor the Trustee shall be required to:</w:t>
      </w:r>
    </w:p>
    <w:p>
      <w:pPr>
        <w:spacing w:after="0" w:line="239" w:lineRule="exact"/>
        <w:rPr>
          <w:sz w:val="20"/>
          <w:szCs w:val="20"/>
          <w:color w:val="auto"/>
        </w:rPr>
      </w:pPr>
    </w:p>
    <w:p>
      <w:pPr>
        <w:ind w:left="1080" w:right="5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transfer or exchange any note if the note may be among those selected for redemption during a period beginning at the opening of business 15 days before selection of the notes to be redeemed; or</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transfer or exchange any note so selected for redemption in whole or in part, except, in the case of any note to be redeemed in part, the portion thereof not to be redeemed.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3" w:lineRule="exact"/>
        <w:rPr>
          <w:sz w:val="20"/>
          <w:szCs w:val="20"/>
          <w:color w:val="auto"/>
        </w:rPr>
      </w:pPr>
    </w:p>
    <w:p>
      <w:pPr>
        <w:ind w:right="40" w:firstLine="439"/>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Limitations on Incurrence of Debt. </w:t>
      </w:r>
      <w:r>
        <w:rPr>
          <w:rFonts w:ascii="Times New Roman" w:cs="Times New Roman" w:eastAsia="Times New Roman" w:hAnsi="Times New Roman"/>
          <w:sz w:val="16"/>
          <w:szCs w:val="16"/>
          <w:color w:val="auto"/>
        </w:rPr>
        <w:t>The Operating Partnership will not, and will not permit any Subsidiary (as defined below) to, incur any Indebtedness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defined below), other than Permitted Debt (as defined below), if, immediately after giving effect to the incurrence of additional Indebtedness, the aggregate principal amount of all outstanding Indebtedness of the Operating Partnership, and of its Subsidiaries determined at the applicable proportionate interest of the Operating Partnership in each Subsidiary, determined in accordance with GAAP (as defined below), is greater than 60% of the sum of:</w:t>
      </w:r>
    </w:p>
    <w:p>
      <w:pPr>
        <w:spacing w:after="0" w:line="158" w:lineRule="exact"/>
        <w:rPr>
          <w:sz w:val="20"/>
          <w:szCs w:val="20"/>
          <w:color w:val="auto"/>
        </w:rPr>
      </w:pPr>
    </w:p>
    <w:p>
      <w:pPr>
        <w:ind w:left="540" w:right="100" w:firstLine="447"/>
        <w:spacing w:after="0" w:line="258" w:lineRule="auto"/>
        <w:tabs>
          <w:tab w:leader="none" w:pos="1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(as defined below) as of the end of the calendar quarter covered in the Operating Partnership's Annual Report on Form 10-K or Quarterly Report on Form 10-Q, as the case may be, most recently filed with the Commission prior to the incurrence of such additional Indebtedness or, if the Operating Partnership is not then subject to the reporting requirements of the Securities Exchange Act of 1934, as amended (the "Exchange Act"), as of its most recent calendar quarter; and</w:t>
      </w:r>
    </w:p>
    <w:p>
      <w:pPr>
        <w:spacing w:after="0" w:line="190" w:lineRule="exact"/>
        <w:rPr>
          <w:rFonts w:ascii="Times New Roman" w:cs="Times New Roman" w:eastAsia="Times New Roman" w:hAnsi="Times New Roman"/>
          <w:sz w:val="18"/>
          <w:szCs w:val="18"/>
          <w:color w:val="auto"/>
        </w:rPr>
      </w:pPr>
    </w:p>
    <w:p>
      <w:pPr>
        <w:ind w:left="540" w:right="380" w:firstLine="447"/>
        <w:spacing w:after="0" w:line="275" w:lineRule="auto"/>
        <w:tabs>
          <w:tab w:leader="none" w:pos="1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Total Assets since the end of the quarter, including, without limitation, any increase in Total Assets resulting from the incurrence of additional Indebtedness (the Total Assets adjusted by this increase are referred to as the "Adjusted Total Assets").</w:t>
      </w:r>
    </w:p>
    <w:p>
      <w:pPr>
        <w:spacing w:after="0" w:line="17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Operating Partnership will not, and will not permit any Subsidiary to, incur any Indebtedness, other than Permitted Debt, if, for the period consisting of the four consecutive fiscal quarters most recently ended prior to the date on which additional Indebtedness is to be incurred, the ratio of Consolidated Income Available for Debt Service (as defined below) to the Annual Service Charge (as defined below) shall have been less than 1.5 to 1, on a pro forma basis after giving effect to the incurrence of Indebtedness and to the application of the proceeds therefrom, and calculated on the assumption that:</w:t>
      </w:r>
    </w:p>
    <w:p>
      <w:pPr>
        <w:spacing w:after="0" w:line="204" w:lineRule="exact"/>
        <w:rPr>
          <w:sz w:val="20"/>
          <w:szCs w:val="20"/>
          <w:color w:val="auto"/>
        </w:rPr>
      </w:pPr>
    </w:p>
    <w:p>
      <w:pPr>
        <w:ind w:left="1080" w:right="6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and any other Indebtedness incurred by the Operating Partnership or its Subsidiaries since the first day of the four-quarter period and the application of the proceeds therefrom, including to refinance other Indebtedness, had occurred at the beginning of the period;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retirement of any other Indebtedness by the Operating Partnership or its Subsidiaries since the first day of the four-quarter period had been incurred, repaid or retained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340"/>
        <w:spacing w:after="0" w:line="275" w:lineRule="auto"/>
        <w:rPr>
          <w:sz w:val="20"/>
          <w:szCs w:val="20"/>
          <w:color w:val="auto"/>
        </w:rPr>
      </w:pPr>
      <w:r>
        <w:rPr>
          <w:rFonts w:ascii="Times New Roman" w:cs="Times New Roman" w:eastAsia="Times New Roman" w:hAnsi="Times New Roman"/>
          <w:sz w:val="18"/>
          <w:szCs w:val="18"/>
          <w:color w:val="auto"/>
        </w:rPr>
        <w:t>at the beginning of the period (except that, in making the computation, the amount of Indebtedness under any revolving credit facility shall be computed based upon the average daily balance of such Indebtedness under the credit facility during the period);</w:t>
      </w:r>
    </w:p>
    <w:p>
      <w:pPr>
        <w:spacing w:after="0" w:line="187" w:lineRule="exact"/>
        <w:rPr>
          <w:sz w:val="20"/>
          <w:szCs w:val="20"/>
          <w:color w:val="auto"/>
        </w:rPr>
      </w:pPr>
    </w:p>
    <w:p>
      <w:pPr>
        <w:ind w:left="1080" w:right="12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earned as a result of any increase in Adjusted Total Assets since the end of the four-quarter period had been earned, on an annualized basis, for the period; and</w:t>
      </w:r>
    </w:p>
    <w:p>
      <w:pPr>
        <w:spacing w:after="0" w:line="200"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or disposition by the Operating Partnership or any of its Subsidiaries of any asset or group of assets since the first day of the four-quarter period, including, without limitation, by merger, stock purchase or sale, or asset purchase or sale, the acquisition or disposition or any related repayment of Indebtedness had occurred as of the first day of the period with the appropriate adjustments with respect to the acquisition or disposition being included in the pro forma calculation of Consolidated Income Available for Debt Service to the Annual Service Charge.</w:t>
      </w:r>
    </w:p>
    <w:p>
      <w:pPr>
        <w:spacing w:after="0" w:line="193"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The Operating Partnership will not, and will not permit any Subsidiary to, incur any Indebtedness secured by any Lien (as defined below) of any kind upon any of the property of the Operating Partnership or any of its Subsidiaries (the "Secured Debt") if, immediately after giving effect to the incurrence of the additional Secured Debt, the aggregate principal amount of all outstanding Secured Debt of the Operating Partnership, and of its Subsidiaries determined at the applicable proportionate interest of the Operating Partnership in each Subsidiary, is greater than 40% of the Adjusted Total Assets.</w:t>
      </w:r>
    </w:p>
    <w:p>
      <w:pPr>
        <w:spacing w:after="0" w:line="186" w:lineRule="exact"/>
        <w:rPr>
          <w:sz w:val="20"/>
          <w:szCs w:val="20"/>
          <w:color w:val="auto"/>
        </w:rPr>
      </w:pPr>
    </w:p>
    <w:p>
      <w:pPr>
        <w:ind w:right="220" w:firstLine="43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Total Unencumbered Assets. </w:t>
      </w:r>
      <w:r>
        <w:rPr>
          <w:rFonts w:ascii="Times New Roman" w:cs="Times New Roman" w:eastAsia="Times New Roman" w:hAnsi="Times New Roman"/>
          <w:sz w:val="18"/>
          <w:szCs w:val="18"/>
          <w:color w:val="auto"/>
        </w:rPr>
        <w:t>The Operating Partnership will maintain Total Unencumbered Assets (as defined below) of not less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150% of the aggregate principal amount of all outstanding Unsecured Debt.</w:t>
      </w:r>
    </w:p>
    <w:p>
      <w:pPr>
        <w:spacing w:after="0" w:line="165" w:lineRule="exact"/>
        <w:rPr>
          <w:sz w:val="20"/>
          <w:szCs w:val="20"/>
          <w:color w:val="auto"/>
        </w:rPr>
      </w:pPr>
    </w:p>
    <w:p>
      <w:pPr>
        <w:ind w:right="80" w:firstLine="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 Merger, Consolidation or Sale," the Operating Partnership is required to do or cause to be done all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preserve and keep in full force and effect its existence, all material rights (charter and statutory) and material franchises; provided, however, that the Operating Partnership shall not be required to preserve any such right or franchise if it determines that the preservation thereof is no longer desirable in the conduct of its business.</w:t>
      </w:r>
    </w:p>
    <w:p>
      <w:pPr>
        <w:spacing w:after="0" w:line="183"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The Operating Partnership is required to cause all of its material properties used or useful in the conduct of its business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of any of its Subsidiaries to be maintained and kept in good condition, repair and working order and supplied with all necessary equipment and to cause to be made all necessary repairs, renewals, replacements, betterments and improvements thereof, all as in the judgment of the Operating Partnership may be necessary so that the business carried on in connection therewith may be properly conducted at all times; provided, however, that the Operating Partnership or any of its Subsidiaries shall not be prevented from, among other things, selling or otherwise disposing for value any of its properties in the ordinary course of business.</w:t>
      </w:r>
    </w:p>
    <w:p>
      <w:pPr>
        <w:spacing w:after="0" w:line="188" w:lineRule="exact"/>
        <w:rPr>
          <w:sz w:val="20"/>
          <w:szCs w:val="20"/>
          <w:color w:val="auto"/>
        </w:rPr>
      </w:pPr>
    </w:p>
    <w:p>
      <w:pPr>
        <w:ind w:right="60" w:firstLine="43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The Operating Partnership is required to, and is required to cause each of its Subsidiaries to, keep all of its material properties insured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or damage with insurers of recognized responsibility, in commercially reasonable amounts and types.</w:t>
      </w:r>
    </w:p>
    <w:p>
      <w:pPr>
        <w:spacing w:after="0" w:line="165"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The Operating Partnership is required to pay or discharge or cause to be paid or discharged, before the same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delinquent, (1) all taxes, assessments and governmental charges levied or imposed upon it or any of its Significant Subsidiaries or upon the income, profits or property of the Operating Partnership or any of its Significant Subsidiaries, and (2) all lawful claims for labor, materials and supplies which, if unpaid, might by law become a lien upon the property of the Operating Partnership or any of its Significant Subsidiaries; provided, however, that the Operating Partnership shall not be required to pay or discharge or cause to be paid or discharged any such tax, assessment, charge or claim whose amount, applicability or validity is being contested in good faith by appropriate proceedings.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00" w:firstLine="43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of Financial Information. </w:t>
      </w:r>
      <w:r>
        <w:rPr>
          <w:rFonts w:ascii="Times New Roman" w:cs="Times New Roman" w:eastAsia="Times New Roman" w:hAnsi="Times New Roman"/>
          <w:sz w:val="16"/>
          <w:szCs w:val="16"/>
          <w:color w:val="auto"/>
        </w:rPr>
        <w:t>Whether or not SL Green or the Operating Partnership is subject to the reporting requirements of Section 13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15(d) of the Exchange Act, SL Green and the Operating Partnership must, and solely to the extent that SL Green OP is subject to the requirements of Section 13 or 15(d) of the Exchange Act, SL Green OP will, provide the Trustee and holders within 15 days after filing, or in the event no such filing is required, within</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15 days after the end of the time periods specified in those sections with all quarterly and annual financial information that would be required to be contained in a filing with the Commission on Forms 10-Q and 10-K if SL Green, SL Green OP (if applicable) or the Operating Partnership were required to file such forms; provided that, the foregoing delivery requirements shall be deemed satisfied if the foregoing materials are available on the Commission's EDGAR system or on SL Green's, SL Green OP's or the Operating Partnership's web site within the applicable time period.</w:t>
      </w:r>
    </w:p>
    <w:p>
      <w:pPr>
        <w:spacing w:after="0" w:line="192" w:lineRule="exact"/>
        <w:rPr>
          <w:sz w:val="20"/>
          <w:szCs w:val="20"/>
          <w:color w:val="auto"/>
        </w:rPr>
      </w:pPr>
    </w:p>
    <w:p>
      <w:pPr>
        <w:jc w:val="both"/>
        <w:ind w:right="140" w:firstLine="439"/>
        <w:spacing w:after="0" w:line="262" w:lineRule="auto"/>
        <w:rPr>
          <w:sz w:val="20"/>
          <w:szCs w:val="20"/>
          <w:color w:val="auto"/>
        </w:rPr>
      </w:pPr>
      <w:r>
        <w:rPr>
          <w:rFonts w:ascii="Times New Roman" w:cs="Times New Roman" w:eastAsia="Times New Roman" w:hAnsi="Times New Roman"/>
          <w:sz w:val="18"/>
          <w:szCs w:val="18"/>
          <w:color w:val="auto"/>
        </w:rPr>
        <w:t>In addition, whether or not required by the Commission, SL Green and the Operating Partnership will, and SL Green OP will, solely to the extent that SL Green OP is subject to the requirements of Section 13 or 15(d) of the Exchange Act, file a copy of all of the information and reports referred to above with the Commission for public availability within the time periods specified in the Commission's rules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Service Charge</w:t>
      </w:r>
      <w:r>
        <w:rPr>
          <w:rFonts w:ascii="Times New Roman" w:cs="Times New Roman" w:eastAsia="Times New Roman" w:hAnsi="Times New Roman"/>
          <w:sz w:val="18"/>
          <w:szCs w:val="18"/>
          <w:color w:val="auto"/>
        </w:rPr>
        <w:t>" as of any date means the amount which is expensed in any 12-month period for interest on Indebtedness.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Income Available for Debt Service</w:t>
      </w:r>
      <w:r>
        <w:rPr>
          <w:rFonts w:ascii="Times New Roman" w:cs="Times New Roman" w:eastAsia="Times New Roman" w:hAnsi="Times New Roman"/>
          <w:sz w:val="18"/>
          <w:szCs w:val="18"/>
          <w:color w:val="auto"/>
        </w:rPr>
        <w:t>" for any period means Consolidated Net Income of the Operating Partnership and its Subsidiaries</w:t>
      </w:r>
    </w:p>
    <w:p>
      <w:pPr>
        <w:spacing w:after="0" w:line="25" w:lineRule="exact"/>
        <w:rPr>
          <w:sz w:val="20"/>
          <w:szCs w:val="20"/>
          <w:color w:val="auto"/>
        </w:rPr>
      </w:pPr>
    </w:p>
    <w:p>
      <w:pPr>
        <w:ind w:right="260" w:firstLine="8"/>
        <w:spacing w:after="0" w:line="281" w:lineRule="auto"/>
        <w:tabs>
          <w:tab w:leader="none" w:pos="2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amounts which have been deducted for (a) interest on Indebtedness of the Operating Partnership and its Subsidiaries, (b) provision for taxes of the Operating Partnership and its Subsidiaries based on income, (c) amortization of debt discount, (d) depreciation and amortization, (e) the effect of any noncash charge resulting from a change in accounting principles in determining Consolidated Net Income for the period, (f) amortization of deferred charges, and</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 provisions for or realized losses on properties and (2) less amounts which have been included for gains on properties.</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as in effect from time to time.</w:t>
      </w:r>
    </w:p>
    <w:p>
      <w:pPr>
        <w:spacing w:after="0" w:line="225"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means any indebtedness, whether or not contingent, in respect of (1) borrowed money evidenced by bonds, notes, debentures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(2) indebtedness secured by any mortgage, pledge, lien, charge, encumbrance or any security interest existing on property, (3) the reimbursement obligations, contingent or otherwise, in connection with any letters of credit actually issued or amounts representing the balance deferred and unpaid of the purchase price of any property except any balance that constitutes an accrued expense or trade payable or (4) any lease of property as lessee which would be reflected on a balance sheet as a capitalized lease in accordance with GAAP, in the case of items of indebtedness under (1) through (3) above to the extent that any items (other than letters of credit) would appear as a liability on a balance sheet in accordance with GAAP, and also includes, to the extent not otherwise included, any obligation to be liable for, or to pay, as obligor, guarantor or otherwise (other than for purposes of collection in the ordinary course of business), indebtedness of another person.</w:t>
      </w:r>
    </w:p>
    <w:p>
      <w:pPr>
        <w:spacing w:after="0" w:line="192" w:lineRule="exact"/>
        <w:rPr>
          <w:sz w:val="20"/>
          <w:szCs w:val="20"/>
          <w:color w:val="auto"/>
        </w:rPr>
      </w:pPr>
    </w:p>
    <w:p>
      <w:pPr>
        <w:jc w:val="both"/>
        <w:ind w:right="60" w:firstLine="43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with respect to any person, any mortgage, lien, pledge, charge, security interest or other encumbrance, or any interest or title of any vendor, lessor, lender or other secured party to or of the person under any conditional sale or other title retention agreement or Capital Lease, upon or with respect to any property or asset of the person. A "Capital Lease" is a lease to which the lessee is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concurrently to recognize the acquisition of an asset and the incurrence of a liability in accordance with GAAP.</w:t>
      </w:r>
    </w:p>
    <w:p>
      <w:pPr>
        <w:spacing w:after="0" w:line="221" w:lineRule="exact"/>
        <w:rPr>
          <w:sz w:val="20"/>
          <w:szCs w:val="20"/>
          <w:color w:val="auto"/>
        </w:rPr>
      </w:pPr>
    </w:p>
    <w:p>
      <w:pPr>
        <w:jc w:val="both"/>
        <w:ind w:right="140" w:firstLine="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w:t>
      </w:r>
      <w:r>
        <w:rPr>
          <w:rFonts w:ascii="Times New Roman" w:cs="Times New Roman" w:eastAsia="Times New Roman" w:hAnsi="Times New Roman"/>
          <w:sz w:val="18"/>
          <w:szCs w:val="18"/>
          <w:color w:val="auto"/>
        </w:rPr>
        <w:t>" means Indebtedness of the Operating Partnership or any Subsidiary owing to any Subsidiary or the Operating Partnership; provided that any Indebtedness is made pursuant to an intercompany note and is subordinated in right of payment to the notes; provided further that any disposition, pledge or transfer of any Indebtedness to a person (other than the Operating Partnership or another Subsidiary) shall be deemed to be an incurrence of Indebtedness by the Operating Partnership or a Subsidiary, as the case may be, and not Permitted Debt.</w:t>
      </w:r>
    </w:p>
    <w:p>
      <w:pPr>
        <w:spacing w:after="0" w:line="183" w:lineRule="exact"/>
        <w:rPr>
          <w:sz w:val="20"/>
          <w:szCs w:val="20"/>
          <w:color w:val="auto"/>
        </w:rPr>
      </w:pPr>
    </w:p>
    <w:p>
      <w:pPr>
        <w:ind w:right="200" w:firstLine="43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Subsidiary</w:t>
      </w:r>
      <w:r>
        <w:rPr>
          <w:rFonts w:ascii="Times New Roman" w:cs="Times New Roman" w:eastAsia="Times New Roman" w:hAnsi="Times New Roman"/>
          <w:sz w:val="18"/>
          <w:szCs w:val="18"/>
          <w:color w:val="auto"/>
        </w:rPr>
        <w:t>" when used with respect to a person, shall mean a "significant subsidiary" of such person as defined in Article 1, Section 1-02 of Regulation S-X under the Securities Act of 1933, as amended (the "Securities Act").</w:t>
      </w:r>
    </w:p>
    <w:p>
      <w:pPr>
        <w:spacing w:after="0" w:line="165" w:lineRule="exact"/>
        <w:rPr>
          <w:sz w:val="20"/>
          <w:szCs w:val="20"/>
          <w:color w:val="auto"/>
        </w:rPr>
      </w:pPr>
    </w:p>
    <w:p>
      <w:pPr>
        <w:ind w:right="80" w:firstLine="43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of which at the time of determination the Operating Partnership or one or more other Subsidiaries owns or controls, directly or indirectly, more than 50% of the shares of Voting Stock.</w:t>
      </w:r>
    </w:p>
    <w:p>
      <w:pPr>
        <w:spacing w:after="0" w:line="165" w:lineRule="exact"/>
        <w:rPr>
          <w:sz w:val="20"/>
          <w:szCs w:val="20"/>
          <w:color w:val="auto"/>
        </w:rPr>
      </w:pPr>
    </w:p>
    <w:p>
      <w:pPr>
        <w:ind w:right="240" w:firstLine="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as of any date means the sum of (1) the Undepreciated Real Estate Assets, (2) all other assets of the Operating Partnership, and of its Subsidiaries determined at the applicable proportionate interest of the Operating Partnership in each Subsidiary, determined in accordance with GAAP (but excluding intangibles and accounts receivable) and (3) the cost of any property of the Operating Partnership, or any Subsidiary thereof, in which the Operating Partnership, or Subsidiary, as the case may be, has a firm, non-contingent purchase obligation.</w:t>
      </w:r>
    </w:p>
    <w:p>
      <w:pPr>
        <w:spacing w:after="0" w:line="183"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Unencumbered Assets</w:t>
      </w:r>
      <w:r>
        <w:rPr>
          <w:rFonts w:ascii="Times New Roman" w:cs="Times New Roman" w:eastAsia="Times New Roman" w:hAnsi="Times New Roman"/>
          <w:sz w:val="18"/>
          <w:szCs w:val="18"/>
          <w:color w:val="auto"/>
        </w:rPr>
        <w:t>" means the sum of (1) those Undepreciated Real Estate Assets not subject to a Lien on a consolidated basis, (2) all other assets of the Operating Partnership, and of its Subsidiaries determined at the applicable proportionate interest of the Operating Partnership in each such Subsidiary, which are not subject to a Lien determined in accordance with GAAP (but excluding intangibles and accounts receivable) and (3) the cost of any property of the Operating Partnership, or any Subsidiary thereof, in which the Operating Partnership, or Subsidiary, as the case may be, has a firm, non-contingent purchase obligation and which is not subject to a Lien; provided, however, that, all investments in any person that is not consolidated with the Operating Partnership for financial reporting purposes in accordance with GAAP shall be excluded from Total Unencumbered Assets.</w:t>
      </w:r>
    </w:p>
    <w:p>
      <w:pPr>
        <w:spacing w:after="0" w:line="188" w:lineRule="exact"/>
        <w:rPr>
          <w:sz w:val="20"/>
          <w:szCs w:val="20"/>
          <w:color w:val="auto"/>
        </w:rPr>
      </w:pPr>
    </w:p>
    <w:p>
      <w:pPr>
        <w:ind w:right="780" w:firstLine="439"/>
        <w:spacing w:after="0" w:line="3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Undepreciated Real Estate Assets</w:t>
      </w:r>
      <w:r>
        <w:rPr>
          <w:rFonts w:ascii="Times New Roman" w:cs="Times New Roman" w:eastAsia="Times New Roman" w:hAnsi="Times New Roman"/>
          <w:sz w:val="16"/>
          <w:szCs w:val="16"/>
          <w:color w:val="auto"/>
        </w:rPr>
        <w:t>" means as of any date the cost (original cost plus capital improvements) of real estate assets of the Operating Partnership and its Subsidiaries on such date, before depreciation and amortization, determined on a consolidated basis in accordance with GAAP.</w:t>
      </w:r>
    </w:p>
    <w:p>
      <w:pPr>
        <w:spacing w:after="0" w:line="119" w:lineRule="exact"/>
        <w:rPr>
          <w:sz w:val="20"/>
          <w:szCs w:val="20"/>
          <w:color w:val="auto"/>
        </w:rPr>
      </w:pPr>
    </w:p>
    <w:p>
      <w:pPr>
        <w:ind w:right="520" w:firstLine="439"/>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Debt</w:t>
      </w:r>
      <w:r>
        <w:rPr>
          <w:rFonts w:ascii="Times New Roman" w:cs="Times New Roman" w:eastAsia="Times New Roman" w:hAnsi="Times New Roman"/>
          <w:sz w:val="18"/>
          <w:szCs w:val="18"/>
          <w:color w:val="auto"/>
        </w:rPr>
        <w:t>" means Indebtedness of the Operating Partnership or any Subsidiary which is not secured by any mortgage, lien, charge, pledge or security interest of any kind upon any of the properties owned by the Operating Partnership or any of its Subsidiaries.</w:t>
      </w:r>
    </w:p>
    <w:p>
      <w:pPr>
        <w:spacing w:after="0" w:line="165"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stock having general voting power under ordinary circumstances to elect at least a majority of the board of directors, managers or trustees, provided that stock that carries only the right to vote conditionally on the happening of an event shall not be considered Voting Stock whether or not such event shall have happened.</w:t>
      </w:r>
    </w:p>
    <w:p>
      <w:pPr>
        <w:spacing w:after="0" w:line="183" w:lineRule="exact"/>
        <w:rPr>
          <w:sz w:val="20"/>
          <w:szCs w:val="20"/>
          <w:color w:val="auto"/>
        </w:rPr>
      </w:pPr>
    </w:p>
    <w:p>
      <w:pPr>
        <w:ind w:right="140" w:firstLine="439"/>
        <w:spacing w:after="0" w:line="258" w:lineRule="auto"/>
        <w:rPr>
          <w:sz w:val="20"/>
          <w:szCs w:val="20"/>
          <w:color w:val="auto"/>
        </w:rPr>
      </w:pPr>
      <w:r>
        <w:rPr>
          <w:rFonts w:ascii="Times New Roman" w:cs="Times New Roman" w:eastAsia="Times New Roman" w:hAnsi="Times New Roman"/>
          <w:sz w:val="18"/>
          <w:szCs w:val="18"/>
          <w:color w:val="auto"/>
        </w:rPr>
        <w:t>Except with respect to the covenants described above under "— Certain Covenants — Limitation on Incurrence of Debt" and "— Certain Covenants — Maintenance of Total Unencumbered Assets" with respect to the Operating Partnership and its subsidiaries and below under "— Merger, Consolidation or Sale" with respect to co-obligors, the Indenture does not contain any other provisions that would limit the ability of the Operating Partnership to incur indebtedness or that would afford holders of the notes protection in the case of any of the following events:</w:t>
      </w:r>
    </w:p>
    <w:p>
      <w:pPr>
        <w:spacing w:after="0" w:line="204" w:lineRule="exact"/>
        <w:rPr>
          <w:sz w:val="20"/>
          <w:szCs w:val="20"/>
          <w:color w:val="auto"/>
        </w:rPr>
      </w:pPr>
    </w:p>
    <w:p>
      <w:pPr>
        <w:ind w:left="1080" w:right="32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the Operating Partnership, the management of Operating Partnership or any affiliate of any these parties;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the co-obligors that may adversely affect the holders of the notes.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The indenture does not limit SL Green's or SL Green OP's (or their subsidiaries, other than the Operating Partnership and its subsidiaries) ability to incur additional indebtedness, including secured indebtedness. In addition, the Operating Partnership and its subsidiaries may incur additional indebtedness, including secured indebtedness, subject to the provisions described in this prospectus supplement applicable to the Operating Partnership and its subsidiaries under "— Certain Covenants — Limitations on Incurrence of Debt."</w:t>
      </w:r>
    </w:p>
    <w:p>
      <w:pPr>
        <w:spacing w:after="0" w:line="190"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In addition, subject to the covenants referred to above, the co-obligors may, in the future, enter into certain transactions, such as the sale of all or substantially all of its assets or the merger or consolidation of the co-obligors, that would increase the amount of the co-obligors' indebtedness or substantially reduce or eliminate the co-obligors' assets, which may have an adverse effect on the co-obligors' ability to service its indebtedness, including the notes. In addition, restrictions on ownership and transfers of SL Green's common stock and preferred stock which are designed to preserve its status as a REIT may act to prevent or hinder a change in control.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w:t>
      </w:r>
    </w:p>
    <w:p>
      <w:pPr>
        <w:spacing w:after="0" w:line="227" w:lineRule="exact"/>
        <w:rPr>
          <w:sz w:val="20"/>
          <w:szCs w:val="20"/>
          <w:color w:val="auto"/>
        </w:rPr>
      </w:pPr>
    </w:p>
    <w:p>
      <w:pPr>
        <w:ind w:right="40" w:firstLine="429"/>
        <w:spacing w:after="0" w:line="275" w:lineRule="auto"/>
        <w:rPr>
          <w:sz w:val="20"/>
          <w:szCs w:val="20"/>
          <w:color w:val="auto"/>
        </w:rPr>
      </w:pPr>
      <w:r>
        <w:rPr>
          <w:rFonts w:ascii="Times New Roman" w:cs="Times New Roman" w:eastAsia="Times New Roman" w:hAnsi="Times New Roman"/>
          <w:sz w:val="18"/>
          <w:szCs w:val="18"/>
          <w:color w:val="auto"/>
        </w:rPr>
        <w:t>Any co-obligor may consolidate with, or sell, lease or convey all or substantially all of its assets to, or merge with or into, any other entity, provided that the following conditions are met:</w:t>
      </w:r>
    </w:p>
    <w:p>
      <w:pPr>
        <w:spacing w:after="0" w:line="187" w:lineRule="exact"/>
        <w:rPr>
          <w:sz w:val="20"/>
          <w:szCs w:val="20"/>
          <w:color w:val="auto"/>
        </w:rPr>
      </w:pPr>
    </w:p>
    <w:p>
      <w:pPr>
        <w:ind w:left="1080" w:right="120" w:hanging="532"/>
        <w:spacing w:after="0" w:line="25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co-obligor, as the case may be, shall be the continuing entity, or the successor entity (if other than co-obligors) formed by or resulting from any consolidation or merger or which shall have received the transfer of assets shall be a person organized and existing under the laws of the United States of America, any state thereof or the District of Columbia and shall expressly assume the due and punctual payment of the principal of (and premium, if any) and interest on all the notes and the performance and observance of all of the covenants and obligations contained in the Indenture;</w:t>
      </w:r>
    </w:p>
    <w:p>
      <w:pPr>
        <w:spacing w:after="0" w:line="219"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shall be delivered to the Trustee.</w:t>
      </w:r>
    </w:p>
    <w:p>
      <w:pPr>
        <w:spacing w:after="0" w:line="225" w:lineRule="exact"/>
        <w:rPr>
          <w:sz w:val="20"/>
          <w:szCs w:val="20"/>
          <w:color w:val="auto"/>
        </w:rPr>
      </w:pPr>
    </w:p>
    <w:p>
      <w:pPr>
        <w:ind w:firstLine="439"/>
        <w:spacing w:after="0" w:line="285" w:lineRule="auto"/>
        <w:rPr>
          <w:sz w:val="20"/>
          <w:szCs w:val="20"/>
          <w:color w:val="auto"/>
        </w:rPr>
      </w:pPr>
      <w:r>
        <w:rPr>
          <w:rFonts w:ascii="Times New Roman" w:cs="Times New Roman" w:eastAsia="Times New Roman" w:hAnsi="Times New Roman"/>
          <w:sz w:val="16"/>
          <w:szCs w:val="16"/>
          <w:color w:val="auto"/>
        </w:rPr>
        <w:t>In addition, a co-obligor or a subsidiary of the co-obligors may directly assume the due and punctual payment of the principal of, any premium and interest on all the notes and the performance of every covenant of the Indenture on the part of the co-obligors to be performed or observed. Upon any assumption, such co-obligor or subsidiary shall succeed to, and be substituted for and may exercise every right and power of the Operating Partnership or the other co-obligor under the Indenture with the same effect as if such co-obligor or subsidiary had been the issuer of the notes and the Operating Partnership or the other co-obligor shall be released from all obligations and covenants with respect to the notes. No assumption shall be permitted unless the co-obligors have delivered to the Trustee</w:t>
      </w:r>
    </w:p>
    <w:p>
      <w:pPr>
        <w:ind w:right="40" w:firstLine="8"/>
        <w:spacing w:after="0" w:line="253" w:lineRule="auto"/>
        <w:tabs>
          <w:tab w:leader="none" w:pos="2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each stating, among other things, that all obligations and covenants of the Operating Partnership or the other co-obligor in the Indenture remain in full force and effect and (2) an opinion of counsel that the beneficial owners of the notes shall have no materially adverse U.S. federal tax consequences as a result of the assumption, and that, if any notes are then listed on the NYSE, that the notes shall not be delisted as a result of the assumption. Accordingly, any of the original co-obligors may no longer be subject to the Indenture and the covenants therein, if applicable, if the party assuming the obligations is able to satisfy the covenants applicable to the obligor whose obligations have been assumed.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Indenture provides that the following events are "Events of Default" with respect to the notes:</w:t>
      </w:r>
    </w:p>
    <w:p>
      <w:pPr>
        <w:spacing w:after="0" w:line="239"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installment of interest;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(or premium, if any) at maturity;</w:t>
      </w:r>
    </w:p>
    <w:p>
      <w:pPr>
        <w:spacing w:after="0" w:line="238" w:lineRule="exact"/>
        <w:rPr>
          <w:rFonts w:ascii="Times New Roman" w:cs="Times New Roman" w:eastAsia="Times New Roman" w:hAnsi="Times New Roman"/>
          <w:sz w:val="18"/>
          <w:szCs w:val="18"/>
          <w:color w:val="auto"/>
        </w:rPr>
      </w:pPr>
    </w:p>
    <w:p>
      <w:pPr>
        <w:ind w:left="1080" w:right="72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of the co-obligors contained in the Indenture, the default having continued for 60 days after written notice as provided in the Indenture;</w:t>
      </w:r>
    </w:p>
    <w:p>
      <w:pPr>
        <w:spacing w:after="0" w:line="18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co-obligors, any Subsidiary in which the Operating Partnership has invested at least $50,000,000 in capital or any entity in which the Operating Partnership is the general partner shall fail to pay any principal of, premium or interest on or any other amount payable in respect of, any recourse Indebtedness that is outstanding in a principal or notional amount of at least $50,000,000 (or the equivalent thereof in one or more other currencies), either individually or in the aggregate (but excluding Indebtedness outstanding hereunder), of the Operating Partnership and its consolidated Subsidiaries, taken as a whole, when the same becomes due and payable (whether by scheduled maturity, required prepayment, acceleration, demand or otherwise), and the failure shall continue after the applicable grace period, if any, specified in any agreement or instrument relating to such Indebtedness, or any other event shall occur or condition shall exist under any agreement or instrument evidencing, securing or otherwise relating to such Indebtedness and shall continue after the applicable grace period, if any, specified in the agreement or instrument, if the effect of the event or condition is to accelerate, or to permit the acceleration of, the maturity of such Indebtedness or otherwise to cause, or to permit the holder or holders thereof (or a trustee or agent on behalf of the holders) to cause such Indebtedness to mature prior to its stated maturity; or</w:t>
      </w:r>
    </w:p>
    <w:p>
      <w:pPr>
        <w:spacing w:after="0" w:line="219"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the co-obligors or any Significant Subsidiary of any co-obligor or any substantial part of their respective property.</w:t>
      </w:r>
    </w:p>
    <w:p>
      <w:pPr>
        <w:spacing w:after="0" w:line="174"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(other than an Event of Default specified in subsection (e) above, which shall result in an automatic acceleration), then in every case the Trustee or the holders of 25% or more in principal amount of the outstanding notes may declare the principal amount (or, if the notes are Original Issue Discount Securities, the portion of the principal amount as may be specified in the terms thereof) of all of the notes, to be due and payable immediately by written notice thereof to the co-obligors (and to the Trustee if given by the holders). However, at any time after the declaration of acceleration with respect to the notes has been made, but before a judgment or decree for payment of the money due has been obtained by the Trustee,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209" w:lineRule="exact"/>
        <w:rPr>
          <w:sz w:val="20"/>
          <w:szCs w:val="20"/>
          <w:color w:val="auto"/>
        </w:rPr>
      </w:pPr>
    </w:p>
    <w:p>
      <w:pPr>
        <w:ind w:left="1080" w:right="4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co-obligors shall have deposited with the Trustee all required payments of the principal of (and premium, if any) and interest on the notes, plus certain fees, expenses, disbursements and advances of the Trustee,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of (or specified portion thereof), or premium (if any) or interest on the notes have been cured or waived as provided in the Indenture.</w:t>
      </w:r>
    </w:p>
    <w:p>
      <w:pPr>
        <w:spacing w:after="0" w:line="174" w:lineRule="exact"/>
        <w:rPr>
          <w:sz w:val="20"/>
          <w:szCs w:val="20"/>
          <w:color w:val="auto"/>
        </w:rPr>
      </w:pPr>
    </w:p>
    <w:p>
      <w:pPr>
        <w:ind w:right="80" w:firstLine="436"/>
        <w:spacing w:after="0" w:line="275" w:lineRule="auto"/>
        <w:rPr>
          <w:sz w:val="20"/>
          <w:szCs w:val="20"/>
          <w:color w:val="auto"/>
        </w:rPr>
      </w:pPr>
      <w:r>
        <w:rPr>
          <w:rFonts w:ascii="Times New Roman" w:cs="Times New Roman" w:eastAsia="Times New Roman" w:hAnsi="Times New Roman"/>
          <w:sz w:val="18"/>
          <w:szCs w:val="18"/>
          <w:color w:val="auto"/>
        </w:rPr>
        <w:t>The Indenture also provides that the holders of a majority in principal amount of the outstanding notes may waive any past default with respect to the notes and its consequences, except a default in the payment of the principal of (or premium, if any) or interest on any Note.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notes within 90 days of a default under the Indenture unless the default has been cured or waived; provided, however, that the Trustee may withhold notice to the holders of any notes of any default with respect to the notes (except a default in the payment of the principal of (or premium, if any) or interest on any Note) if specified responsible officers of the Trustee consider the withholding to be in the best interest of the holders.</w:t>
      </w:r>
    </w:p>
    <w:p>
      <w:pPr>
        <w:spacing w:after="0" w:line="190" w:lineRule="exact"/>
        <w:rPr>
          <w:sz w:val="20"/>
          <w:szCs w:val="20"/>
          <w:color w:val="auto"/>
        </w:rPr>
      </w:pPr>
    </w:p>
    <w:p>
      <w:pPr>
        <w:ind w:right="100" w:firstLine="436"/>
        <w:spacing w:after="0" w:line="254" w:lineRule="auto"/>
        <w:rPr>
          <w:sz w:val="20"/>
          <w:szCs w:val="20"/>
          <w:color w:val="auto"/>
        </w:rPr>
      </w:pPr>
      <w:r>
        <w:rPr>
          <w:rFonts w:ascii="Times New Roman" w:cs="Times New Roman" w:eastAsia="Times New Roman" w:hAnsi="Times New Roman"/>
          <w:sz w:val="18"/>
          <w:szCs w:val="18"/>
          <w:color w:val="auto"/>
        </w:rPr>
        <w:t>The Indenture provides that no holder of notes may institute any action, suit or proceeding at law or in equity for the execution of any trust under the Indenture or for the appointment of a receiver or for any other remedy thereunder, unless (i) the holder has given to the Trustee written notice of an Event of Default and of the continuance thereof with respect to the notes, as required under the Indenture, (ii) the holders of at least 25% in aggregate principal amount of the notes then outstanding shall have requested the Trustee to institute such action and offered to the Trustee indemnity reasonably satisfactory to it against the costs, expenses and liabilities to be incurred in compliance with such request and (iii) the trustee shall not have instituted such action within 60 days of such request. This provision will not prevent, however, any holder of notes from instituting suit for the enforcement of payment of the principal of (and premium, if any) and interest on the notes at the respective due dates thereof.</w:t>
      </w:r>
    </w:p>
    <w:p>
      <w:pPr>
        <w:spacing w:after="0" w:line="195"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Subject to provisions in the Indenture relating to its duties in case of default, the Trustee is under no obligation to exercise any of its rights or powers under the Indenture at the request, order or direction of any holders of any notes then outstanding under the Indenture, unless the holders shall have offered to the Trustee thereunder security or indemnity satisfactory to it against the costs, expenses and liabilities which might be incurred by it in compliance with such order, request or direction. The holders of a majority in principal amount of the outstanding notes shall have the right to direct the time, method and place of conducting any proceeding for any remedy available to the Trustee, or of exercising any trust or power conferred upon the Trustee. However, the Trustee may refuse to follow any direction if the Trustee being advised by counsel determines that the action so directed may not lawfully be taken or would be unduly prejudicial to holders not joining in such direction or would involve the Trustee in personal liability.</w:t>
      </w:r>
    </w:p>
    <w:p>
      <w:pPr>
        <w:spacing w:after="0" w:line="195"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8"/>
          <w:szCs w:val="18"/>
          <w:color w:val="auto"/>
        </w:rPr>
        <w:t>Within 120 days after the close of each fiscal year, the co-obligors must deliver a certificate of an officer certifying to the Trustee whether or not the officer has knowledge of any default under the Indenture and, if so, specifying each default and the nature and status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227" w:lineRule="exact"/>
        <w:rPr>
          <w:sz w:val="20"/>
          <w:szCs w:val="20"/>
          <w:color w:val="auto"/>
        </w:rPr>
      </w:pPr>
    </w:p>
    <w:p>
      <w:pPr>
        <w:jc w:val="both"/>
        <w:ind w:right="180" w:firstLine="439"/>
        <w:spacing w:after="0" w:line="262" w:lineRule="auto"/>
        <w:rPr>
          <w:sz w:val="20"/>
          <w:szCs w:val="20"/>
          <w:color w:val="auto"/>
        </w:rPr>
      </w:pPr>
      <w:r>
        <w:rPr>
          <w:rFonts w:ascii="Times New Roman" w:cs="Times New Roman" w:eastAsia="Times New Roman" w:hAnsi="Times New Roman"/>
          <w:sz w:val="18"/>
          <w:szCs w:val="18"/>
          <w:color w:val="auto"/>
        </w:rPr>
        <w:t>Modifications and amendments of the Indenture will be permitted to be made only with the consent of the holders of not less than a majority in principal amount of all outstanding notes which are affected by the modification or amendment; provided, however, that no modification or amendment may, without the consent of the holder of each note affected thereby:</w:t>
      </w:r>
    </w:p>
    <w:p>
      <w:pPr>
        <w:spacing w:after="0" w:line="200" w:lineRule="exact"/>
        <w:rPr>
          <w:sz w:val="20"/>
          <w:szCs w:val="20"/>
          <w:color w:val="auto"/>
        </w:rPr>
      </w:pPr>
    </w:p>
    <w:p>
      <w:pPr>
        <w:ind w:left="1080" w:hanging="532"/>
        <w:spacing w:after="0" w:line="25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Maturity of the principal of, or any installment of interest on, any note, or reduce the principal amount thereof or the interest thereon or any premium payable upon redemption thereof, or extend the Stated Maturity of, or change the place of payment where, or the currency in which the principal of and premium, if any, or interest on such note is denominated or payable, or reduce the amount of the principal of an Original Issue Discount Security that would be due and payable upon a declaration of acceleration of the maturity thereof, change the redemption provision or adversely affect the right or repayment at the option of any holder or impair the right to institute suit for the enforcement of any payment on or after the Stated Maturity thereof (or, in the case of redemption, on or after the redemption date); or</w:t>
      </w:r>
    </w:p>
    <w:p>
      <w:pPr>
        <w:spacing w:after="0" w:line="220"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above-stated percentage of outstanding notes necessary to modify or amend the Indenture, to waive compliance with certain provisions thereof or certain defaults and consequences thereunder; or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certain past defaults or certain covenants, except to increase the required percentage to effect the action or to provide that certain other provisions may not be modified or waived without the consent of the holder of the note.</w:t>
      </w:r>
    </w:p>
    <w:p>
      <w:pPr>
        <w:spacing w:after="0" w:line="186" w:lineRule="exact"/>
        <w:rPr>
          <w:sz w:val="20"/>
          <w:szCs w:val="20"/>
          <w:color w:val="auto"/>
        </w:rPr>
      </w:pPr>
    </w:p>
    <w:p>
      <w:pPr>
        <w:ind w:right="200" w:firstLine="439"/>
        <w:spacing w:after="0" w:line="275" w:lineRule="auto"/>
        <w:rPr>
          <w:sz w:val="20"/>
          <w:szCs w:val="20"/>
          <w:color w:val="auto"/>
        </w:rPr>
      </w:pPr>
      <w:r>
        <w:rPr>
          <w:rFonts w:ascii="Times New Roman" w:cs="Times New Roman" w:eastAsia="Times New Roman" w:hAnsi="Times New Roman"/>
          <w:sz w:val="18"/>
          <w:szCs w:val="18"/>
          <w:color w:val="auto"/>
        </w:rPr>
        <w:t>In addition, the co-obligors may not modify, without the written consent of the Trustee, the rights, duties or immunities of the Trustee with respect to the notes under the Indenture.</w:t>
      </w:r>
    </w:p>
    <w:p>
      <w:pPr>
        <w:spacing w:after="0" w:line="174" w:lineRule="exact"/>
        <w:rPr>
          <w:sz w:val="20"/>
          <w:szCs w:val="20"/>
          <w:color w:val="auto"/>
        </w:rPr>
      </w:pPr>
    </w:p>
    <w:p>
      <w:pPr>
        <w:ind w:right="320" w:firstLine="439"/>
        <w:spacing w:after="0" w:line="262" w:lineRule="auto"/>
        <w:rPr>
          <w:sz w:val="20"/>
          <w:szCs w:val="20"/>
          <w:color w:val="auto"/>
        </w:rPr>
      </w:pPr>
      <w:r>
        <w:rPr>
          <w:rFonts w:ascii="Times New Roman" w:cs="Times New Roman" w:eastAsia="Times New Roman" w:hAnsi="Times New Roman"/>
          <w:sz w:val="18"/>
          <w:szCs w:val="18"/>
          <w:color w:val="auto"/>
        </w:rPr>
        <w:t>In addition to the co-obligors' obligations to pay the principal of, and premium (if any) and interest on, the notes, the Indenture contains several other affirmative and negative covenants as described above under "— Certain Covenants." None of the co-obligors or the Trustee may waive compliance with the other covenants unless the holders of not less than a majority in principal amount of outstanding notes consent to the waiver.</w:t>
      </w:r>
    </w:p>
    <w:p>
      <w:pPr>
        <w:spacing w:after="0" w:line="186" w:lineRule="exact"/>
        <w:rPr>
          <w:sz w:val="20"/>
          <w:szCs w:val="20"/>
          <w:color w:val="auto"/>
        </w:rPr>
      </w:pPr>
    </w:p>
    <w:p>
      <w:pPr>
        <w:ind w:right="180" w:firstLine="439"/>
        <w:spacing w:after="0" w:line="275" w:lineRule="auto"/>
        <w:rPr>
          <w:sz w:val="20"/>
          <w:szCs w:val="20"/>
          <w:color w:val="auto"/>
        </w:rPr>
      </w:pPr>
      <w:r>
        <w:rPr>
          <w:rFonts w:ascii="Times New Roman" w:cs="Times New Roman" w:eastAsia="Times New Roman" w:hAnsi="Times New Roman"/>
          <w:sz w:val="18"/>
          <w:szCs w:val="18"/>
          <w:color w:val="auto"/>
        </w:rPr>
        <w:t>Modifications and amendments of the Indenture will be permitted to be made by the co-obligors and the Trustee without the consent of any holder of the notes for any of the following purposes:</w:t>
      </w:r>
    </w:p>
    <w:p>
      <w:pPr>
        <w:spacing w:after="0" w:line="20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one or more of the co-obligors under the Indenture;</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and agreements of the co-obligors, and to add Events of Default, in each case for the protection or benefit of the holders of the notes, or to surrender any right or power conferred upon the co-obligors in the Indenture;</w:t>
      </w:r>
    </w:p>
    <w:p>
      <w:pPr>
        <w:spacing w:after="0" w:line="187" w:lineRule="exact"/>
        <w:rPr>
          <w:rFonts w:ascii="Times New Roman" w:cs="Times New Roman" w:eastAsia="Times New Roman" w:hAnsi="Times New Roman"/>
          <w:sz w:val="18"/>
          <w:szCs w:val="18"/>
          <w:color w:val="auto"/>
        </w:rPr>
      </w:pPr>
    </w:p>
    <w:p>
      <w:pPr>
        <w:ind w:left="1080" w:right="180" w:hanging="532"/>
        <w:spacing w:after="0" w:line="339" w:lineRule="auto"/>
        <w:tabs>
          <w:tab w:leader="none" w:pos="10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or change any of the provisions of the Indenture to provide, change or eliminate any restrictions on the payment of principal of or premium, if any, on the notes, provided that this action shall not adversely affect the interests of the holders of the notes in any material respect;</w:t>
      </w:r>
    </w:p>
    <w:p>
      <w:pPr>
        <w:spacing w:after="0" w:line="155"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or facilitate the administration of the trusts under the Indenture by more than one Trustee;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38"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which may be mistaken, defective or inconsistent with any other provision contained in the Indenture or in any supplemental indenture;</w:t>
      </w:r>
    </w:p>
    <w:p>
      <w:pPr>
        <w:spacing w:after="0" w:line="200"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the Indenture as shall be necessary or desirable in accordance with any amendments to the Trust Indenture Act;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the notes that does not adversely affect in any material respect the rights of the holders of such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issuance of notes in uncertificated form, provided that this action shall not adversely affect the interests of the holders of the notes in any material respect;</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the extent necessary to permit or facilitate defeasance and discharge of the notes, provided that the action shall not adversely affect the interests of the holders of the notes in any material respect;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assumption by a subsidiary or a co-obligor pursuant to the Indenture.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notes have given any request, demand, authorization, direction, notice, consent or waiver under the Indenture or whether a quorum is present at a meeting of holders of notes, the Indenture provides that:</w:t>
      </w:r>
    </w:p>
    <w:p>
      <w:pPr>
        <w:spacing w:after="0" w:line="187" w:lineRule="exact"/>
        <w:rPr>
          <w:sz w:val="20"/>
          <w:szCs w:val="20"/>
          <w:color w:val="auto"/>
        </w:rPr>
      </w:pPr>
    </w:p>
    <w:p>
      <w:pPr>
        <w:ind w:left="108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the determination upon declaration of acceleration of the maturity thereof;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owned by the co-obligors or any other obligor upon the notes or any affiliate of the co-obligors or of the other obligor shall be disregarded.</w:t>
      </w:r>
    </w:p>
    <w:p>
      <w:pPr>
        <w:spacing w:after="0" w:line="24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The Indenture contains provisions for convening meetings of the holders of notes. A meeting may be called at any time by the Trustee, and also, upon request, by the co-obligors or the holders of at least 10% in aggregate principal amount of the outstanding notes, in any case upon notice given as provided in the Indenture. Except for any consent that must be given by the holder of each note affected by certain modifications and amendments of the Indenture, any resolution presented at a meeting or adjourned meeting duly reconvened at which a quorum is present may be adopted by the affirmative vote of the holders of a majority in principal amount of the outstanding notes;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notes may be adopted at a meeting or adjourned meeting duly reconvened at which a quorum is present by the affirmative vote of the holders of the specified percentage in principal amount of the outstanding notes. Any resolution passed or decision taken at any meeting of holders of notes duly held in accordance with the Indenture will be binding on all holders of notes. At any meeting called in accordance with the Indenture, the presence of persons holding or representing notes in an aggregate principal amount sufficient to take action upon the business for the transaction of which such meeting was called shall be necessary to constitute a quorum.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7"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co-obligors may discharge certain obligations to holders of any notes that have not already been delivered to the Trustee for cancellation and that either have become due and payable or will become due and payable within one year (or scheduled for redemption within one year) by irrevocably depositing with the Trustee, in trust, funds in an amount sufficient to pay the entire indebtedness on the notes in respect of principal (and premium, if any) and interest to the date of the deposit (if the notes have become due and payable) or to the Stated Maturity or Redemption Date, as the case may be.</w:t>
      </w:r>
    </w:p>
    <w:p>
      <w:pPr>
        <w:spacing w:after="0" w:line="190" w:lineRule="exact"/>
        <w:rPr>
          <w:sz w:val="20"/>
          <w:szCs w:val="20"/>
          <w:color w:val="auto"/>
        </w:rPr>
      </w:pPr>
    </w:p>
    <w:p>
      <w:pPr>
        <w:ind w:firstLine="436"/>
        <w:spacing w:after="0" w:line="288" w:lineRule="auto"/>
        <w:rPr>
          <w:sz w:val="20"/>
          <w:szCs w:val="20"/>
          <w:color w:val="auto"/>
        </w:rPr>
      </w:pPr>
      <w:r>
        <w:rPr>
          <w:rFonts w:ascii="Times New Roman" w:cs="Times New Roman" w:eastAsia="Times New Roman" w:hAnsi="Times New Roman"/>
          <w:sz w:val="16"/>
          <w:szCs w:val="16"/>
          <w:color w:val="auto"/>
        </w:rPr>
        <w:t>The Indenture provides that the co-obligors may elect either (a) to defease and discharge themselves from any and all obligations with respect to the notes (except for the obligation to pay additional amounts, if any, upon the occurrence of certain events of tax, assessment or governmental charge with respect to payments on the notes and the obligations to register the transfer or exchange of notes, to replace temporary or mutilated, destroyed, lost or stolen notes, to maintain an office or agency in respect of the notes and to hold moneys for payment in trust) ("defeasance") or (b) to release themselves from their obligations with respect to the notes under certain sections of the Indenture (including the restrictions described under "— Certain Covenants") and, if provided pursuant to the Indenture, their obligations with respect to any other covenant, and any omission to comply with the obligations shall not constitute a default or an Event of Default with respect to the notes ("covenant defeasance"), in either case upon the irrevocable deposit by the co-obligors with the Trustee, in trust, of an amount, in the currency or currencies, currency unit or units or composite currency or currencies in which the notes are payable at Stated Maturity, or Government Obligations (as defined below), or both, applicable to the notes which through the scheduled payment of principal and interest in accordance with their terms will provide money in an amount sufficient to pay the principal of (and premium, if any) and interest on the notes on the scheduled due dates therefor.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429"/>
        <w:spacing w:after="0" w:line="256" w:lineRule="auto"/>
        <w:rPr>
          <w:sz w:val="20"/>
          <w:szCs w:val="20"/>
          <w:color w:val="auto"/>
        </w:rPr>
      </w:pPr>
      <w:r>
        <w:rPr>
          <w:rFonts w:ascii="Times New Roman" w:cs="Times New Roman" w:eastAsia="Times New Roman" w:hAnsi="Times New Roman"/>
          <w:sz w:val="18"/>
          <w:szCs w:val="18"/>
          <w:color w:val="auto"/>
        </w:rPr>
        <w:t>A trust will only be permitted to be established if, among other things, the co-obligors have delivered to the Trustee an Opinion of Counsel (as specified in the Indenture) to the effect that the beneficial owners of the notes will not recognize income, gain or loss for U.S. federal income tax purposes as a result of the defeasance or covenant defeasance and will be subject to U.S. federal income tax on the same amounts, in the same manner and at the same times as would have been the case if the defeasance or covenant defeasance had not occurred, and the Opinion of Counsel, in the case of defeasance, must refer to and be based upon a ruling of the Internal Revenue Service, or the IRS, or a change in applicable U.S. federal income tax law.</w:t>
      </w:r>
    </w:p>
    <w:p>
      <w:pPr>
        <w:spacing w:after="0" w:line="193"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"Government Obligations" means securities which are (1) direct obligations of the United States of America, for the payment of which its full faith and credit is pledged or (2)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Government Obligation or a specific payment of interest on or principal of any Government Obligation held by the custodian for the account of the holder of a depository receipt, provided that (except as required by law) the custodian is not authorized to make any deduction from the amount payable to the holder of the depository receipt from any amount received by the custodian in respect of the Government Obligation or the specific payment of interest on or principal of the Government Obligation evidenced by the depository receipt.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Indenture and the notes shall be governed by the laws of the State of New York.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227"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The notes will be issued in the form of one or more fully-registered global notes in book-entry form, which will be deposited with, or on behalf of, The Depository Trust Company ("DTC") and registered in the name of DTC's nominee, Cede &amp; Co. Except as set forth below, the global notes may not be transferred except as a whole by DTC to a nominee of DTC or by a nominee of DTC to DTC or another nominee of DTC or by DTC or any such nominee to a successor of DTC or a nominee of such successor.</w:t>
      </w:r>
    </w:p>
    <w:p>
      <w:pPr>
        <w:spacing w:after="0" w:line="190" w:lineRule="exact"/>
        <w:rPr>
          <w:sz w:val="20"/>
          <w:szCs w:val="20"/>
          <w:color w:val="auto"/>
        </w:rPr>
      </w:pPr>
    </w:p>
    <w:p>
      <w:pPr>
        <w:ind w:right="20" w:firstLine="439"/>
        <w:spacing w:after="0" w:line="262"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note, DTC or its nominee, as the case may be, will be considered the sole holder of the notes represented by such global note for all purposes under the Indenture and the beneficial owners of such notes will be entitled only to those rights and benefits afforded to them in accordance with DTC's regular operating procedures. Except as provided below, owners of beneficial interests in a global note:</w:t>
      </w:r>
    </w:p>
    <w:p>
      <w:pPr>
        <w:spacing w:after="0" w:line="200"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4" w:lineRule="exact"/>
        <w:rPr>
          <w:sz w:val="20"/>
          <w:szCs w:val="20"/>
          <w:color w:val="auto"/>
        </w:rPr>
      </w:pPr>
    </w:p>
    <w:p>
      <w:pPr>
        <w:ind w:right="20" w:firstLine="429"/>
        <w:spacing w:after="0" w:line="26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6" w:lineRule="exact"/>
        <w:rPr>
          <w:sz w:val="20"/>
          <w:szCs w:val="20"/>
          <w:color w:val="auto"/>
        </w:rPr>
      </w:pPr>
    </w:p>
    <w:p>
      <w:pPr>
        <w:ind w:right="580" w:firstLine="439"/>
        <w:spacing w:after="0" w:line="275" w:lineRule="auto"/>
        <w:rPr>
          <w:sz w:val="20"/>
          <w:szCs w:val="20"/>
          <w:color w:val="auto"/>
        </w:rPr>
      </w:pPr>
      <w:r>
        <w:rPr>
          <w:rFonts w:ascii="Times New Roman" w:cs="Times New Roman" w:eastAsia="Times New Roman" w:hAnsi="Times New Roman"/>
          <w:sz w:val="18"/>
          <w:szCs w:val="18"/>
          <w:color w:val="auto"/>
        </w:rPr>
        <w:t>If with respect to the notes (i) DTC is at any time unwilling or unable to continue as depository or if at any time DTC ceases to be a clearing agency registered under the Exchange Act, and a successor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depository is not appointed by us within 90 days, (ii) an Event of Default under the Indenture has occurred and is continuing or (iii) the co-obligors, in their sole discretion, determine at any time that such notes shall no longer be represented by a global note, the co-obligors will issue individual notes in certificated form of the same series and like tenor and in the applicable principal amount in exchange for the notes represented by the global note. In any such instance, an owner of a beneficial interest in a global note will be entitled to physical delivery of individual notes in certificated form of the same series and like tenor, equal in principal amount to such beneficial interest and to have such notes in certificated form registered in its name. Notes so issued in certificated form will be issued in denominations of $2,000 and any integral multiple of $1,000 in excess thereof and will be issued in registered form only, without coupons.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280" w:firstLine="439"/>
        <w:spacing w:after="0" w:line="255"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notes represented by a global note will be made by the Trustee to DTC's nominee as the registered holder of the global note. Neither the co-obligors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90" w:lineRule="exact"/>
        <w:rPr>
          <w:sz w:val="20"/>
          <w:szCs w:val="20"/>
          <w:color w:val="auto"/>
        </w:rPr>
      </w:pPr>
    </w:p>
    <w:p>
      <w:pPr>
        <w:ind w:right="260" w:firstLine="439"/>
        <w:spacing w:after="0" w:line="275"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4" w:lineRule="exact"/>
        <w:rPr>
          <w:sz w:val="20"/>
          <w:szCs w:val="20"/>
          <w:color w:val="auto"/>
        </w:rPr>
      </w:pPr>
    </w:p>
    <w:p>
      <w:pPr>
        <w:ind w:right="60" w:firstLine="436"/>
        <w:spacing w:after="0" w:line="256"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w:t>
      </w:r>
    </w:p>
    <w:p>
      <w:pPr>
        <w:spacing w:after="0" w:line="193"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None of the co-obligors or the underwriters or the Trustee will have any responsibility or liability for any aspect of the records relating to or payments made on account of the beneficial interests in a global note, or for maintaining, supervising or reviewing any records relating to such beneficial interests.</w:t>
      </w:r>
    </w:p>
    <w:p>
      <w:pPr>
        <w:spacing w:after="0" w:line="174" w:lineRule="exact"/>
        <w:rPr>
          <w:sz w:val="20"/>
          <w:szCs w:val="20"/>
          <w:color w:val="auto"/>
        </w:rPr>
      </w:pPr>
    </w:p>
    <w:p>
      <w:pPr>
        <w:ind w:right="820" w:firstLine="436"/>
        <w:spacing w:after="0" w:line="275" w:lineRule="auto"/>
        <w:rPr>
          <w:sz w:val="20"/>
          <w:szCs w:val="20"/>
          <w:color w:val="auto"/>
        </w:rPr>
      </w:pPr>
      <w:r>
        <w:rPr>
          <w:rFonts w:ascii="Times New Roman" w:cs="Times New Roman" w:eastAsia="Times New Roman" w:hAnsi="Times New Roman"/>
          <w:sz w:val="18"/>
          <w:szCs w:val="18"/>
          <w:color w:val="auto"/>
        </w:rPr>
        <w:t>The information in this section concerning DTC and DTC's system has been obtained from sources that we believe to be reliable, but we take no responsibility for its accuracy.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227"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Settlement for the notes will be made in immediately available funds. We will make all payments of principal, premium, if any, and interest in respect of the notes in immediately available funds while the notes are held in book-entry only form.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Material United States Federal Income Tax Consequences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Noteholders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Noteholders</w:t>
      </w:r>
    </w:p>
    <w:p>
      <w:pPr>
        <w:spacing w:after="0" w:line="225" w:lineRule="exact"/>
        <w:rPr>
          <w:sz w:val="20"/>
          <w:szCs w:val="20"/>
          <w:color w:val="auto"/>
        </w:rPr>
      </w:pPr>
    </w:p>
    <w:p>
      <w:pPr>
        <w:ind w:right="8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Qualified Reopening. </w:t>
      </w:r>
      <w:r>
        <w:rPr>
          <w:rFonts w:ascii="Times New Roman" w:cs="Times New Roman" w:eastAsia="Times New Roman" w:hAnsi="Times New Roman"/>
          <w:sz w:val="18"/>
          <w:szCs w:val="18"/>
          <w:color w:val="auto"/>
        </w:rPr>
        <w:t>We intend to treat the issuance of the notes offered hereby as a "qualified reopening" of the existing notes, which had an issue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 for United States federal income tax purposes. Debt instruments issued in a qualified reopening are deemed to be part of the same issue as the original debt instruments. Accordingly, we intend to treat the notes offered hereby as having the same issue date, the same issue price and the same adjusted issue price as the existing notes for United States federal income tax purposes. The remainder of this discussion assumes that the issuance of the notes offered hereby will be treated as a qualified reopening of the existing notes.</w:t>
      </w:r>
    </w:p>
    <w:p>
      <w:pPr>
        <w:spacing w:after="0" w:line="188"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Pre-Issuance Accrued Interest. </w:t>
      </w:r>
      <w:r>
        <w:rPr>
          <w:rFonts w:ascii="Times New Roman" w:cs="Times New Roman" w:eastAsia="Times New Roman" w:hAnsi="Times New Roman"/>
          <w:sz w:val="18"/>
          <w:szCs w:val="18"/>
          <w:color w:val="auto"/>
        </w:rPr>
        <w:t>A portion of the purchase price of the notes offered hereby is attributable to the amount of interest that would have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notes since June 1, 2017 had they been outstanding since that time (the "pre-issuance accrued interest"). Pursuant to certain Treasury regulations, we intend to treat a portion of the stated interest payment due on December 1, 2017 on the notes offered hereby equal to any pre-issuance accrued interest as a return of such pre-issuance accrued interest and not as taxable interest on the notes. Accordingly, a United States Holder should be able to treat a portion of the stated interest payment due on December 1, 2017 on the notes offered hereby as a non-taxable return of any pre-issuance accrued interest paid by such United States Holder, rather than as taxable interest. In addition, if a United States Holder were to sell or otherwise dispose of a note offered hereby in a taxable transaction prior to December 1, 2017, such United States Holder should exclude the pre-issuance accrued interest from its amount realized and its adjusted tax basis with respect to such note.</w:t>
      </w:r>
    </w:p>
    <w:p>
      <w:pPr>
        <w:spacing w:after="0" w:line="192" w:lineRule="exact"/>
        <w:rPr>
          <w:sz w:val="20"/>
          <w:szCs w:val="20"/>
          <w:color w:val="auto"/>
        </w:rPr>
      </w:pPr>
    </w:p>
    <w:p>
      <w:pPr>
        <w:ind w:right="8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Bond Premium. </w:t>
      </w:r>
      <w:r>
        <w:rPr>
          <w:rFonts w:ascii="Times New Roman" w:cs="Times New Roman" w:eastAsia="Times New Roman" w:hAnsi="Times New Roman"/>
          <w:sz w:val="18"/>
          <w:szCs w:val="18"/>
          <w:color w:val="auto"/>
        </w:rPr>
        <w:t>If a United States Holder purchases a note offered hereby for an amount (excluding any amount attributable to pre-issuance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described above) that is greater than the amount payable at maturity of the note, then the holder will be considered to have purchased the note with "bond premium" in an amount equal to the excess of the purchase price over the amount payable at maturity (or on an earlier call date if it results in a smaller amortizable bond premium). If a United States Holder makes (or has made) a proper election under Section 171 of the Code, then such holder may amortize any bond premium over the term of such note (or until an earlier call date, as applicable) as an offset to interest income on the note. Any such election to amortize bond premium will apply to all taxable debt instruments held or subsequently acquired by such United States Holder on or after the first day of the first taxable year to which the election applies and cannot be revoked without permission from the IRS. If a United States Holder makes an election to amortize bond premium, then the bond premium will be amortizable on a constant yield basis over the term of the note (or until an earlier call date, as applicable), and such holder's tax basis in the note must be reduced by the amount of the aggregate amortization deductions allowable for the bond premium. If a United States Holder does not make such an election, the bond premium will be included in such holder's tax basis in the note and, therefore, such bond premium will be taken into account in computing the gain or loss recognized on such holder's disposition of the note.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Noteholders</w:t>
      </w:r>
    </w:p>
    <w:p>
      <w:pPr>
        <w:spacing w:after="0" w:line="225"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Account Tax Compliance Act. </w:t>
      </w:r>
      <w:r>
        <w:rPr>
          <w:rFonts w:ascii="Times New Roman" w:cs="Times New Roman" w:eastAsia="Times New Roman" w:hAnsi="Times New Roman"/>
          <w:sz w:val="18"/>
          <w:szCs w:val="18"/>
          <w:color w:val="auto"/>
        </w:rPr>
        <w:t>The Foreign Account Tax Compliance Act (as supplemented by applicable Treasury regulations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contains a grandfather provision that exempts from withholding any interest paid on or gross proceeds from the sale or other disposition of a debt obligation that is outstanding on July 1, 2014, unless such debt obligation undergoes a "significant modification" (within the meaning of section 1.1001-3 of the Treasury regulations promulgated under the Code) after such date. Because we intend to treat the issuance of the notes offered hereby as a "qualified reopening" of the existing notes and, as a result, the notes offered hereby will be considered to have the same issue date as the existing notes (see "—Taxation of Noteholders —U.S. Noteholders—Qualified Reopening."), this legislation should not apply to the notes offered hereby, unless in the future the terms of the notes undergo a significant modification (within the meaning of the applicable Treasury regulations).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220" w:firstLine="439"/>
        <w:spacing w:after="0" w:line="258" w:lineRule="auto"/>
        <w:rPr>
          <w:sz w:val="20"/>
          <w:szCs w:val="20"/>
          <w:color w:val="auto"/>
        </w:rPr>
      </w:pPr>
      <w:r>
        <w:rPr>
          <w:rFonts w:ascii="Times New Roman" w:cs="Times New Roman" w:eastAsia="Times New Roman" w:hAnsi="Times New Roman"/>
          <w:sz w:val="18"/>
          <w:szCs w:val="18"/>
          <w:color w:val="auto"/>
        </w:rPr>
        <w:t>SL Green Realty Corp., SL Green Operating Partnership, L.P. and Reckson Operating Partnership L.P. intend to offer the notes through Wells Fargo Securities, LLC as representative of the underwriters named below. Subject to the terms and conditions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Principal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Amount of</w:t>
            </w:r>
          </w:p>
        </w:tc>
        <w:tc>
          <w:tcPr>
            <w:tcW w:w="0" w:type="dxa"/>
            <w:vAlign w:val="bottom"/>
          </w:tcPr>
          <w:p>
            <w:pPr>
              <w:spacing w:after="0"/>
              <w:rPr>
                <w:sz w:val="1"/>
                <w:szCs w:val="1"/>
                <w:color w:val="auto"/>
              </w:rPr>
            </w:pPr>
          </w:p>
        </w:tc>
      </w:tr>
      <w:tr>
        <w:trPr>
          <w:trHeight w:val="231"/>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Incorporated</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of the notes offered by this prospectus supplement, if any of the notes are purchased. The underwriters reserve the right to reject an order for the purchase of the notes in whole or in part.</w:t>
      </w:r>
    </w:p>
    <w:p>
      <w:pPr>
        <w:spacing w:after="0" w:line="186"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We have agreed in the underwriting agreement to indemnify the underwriters against various liabilities that may arise in connection with this offering, including liabilities under the Securities Act. If we cannot indemnify the underwriters, we have agreed to contribute to payments the underwriters may be required to make in respect of those liabilities.</w:t>
      </w:r>
    </w:p>
    <w:p>
      <w:pPr>
        <w:spacing w:after="0" w:line="186"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The underwriters propose initially to offer the notes at the public offering price indicated on the cover page of this prospectus supplement and may offer notes to dealers at that price less a concession not in excess of 0.35% of the principal amount of the notes. The underwriters may allow, reallow and those dealers may reallow, a discount not in excess of 0.25% of the principal amount of the notes. After the public offering of the notes, the public offering price and other selling terms may change.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offering, we expect to incur expenses, excluding the underwriting discount, of approximately $750,000.</w:t>
      </w:r>
    </w:p>
    <w:p>
      <w:pPr>
        <w:spacing w:after="0" w:line="225"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We do not intend to apply for the notes to be listed on any securities exchange or to arrange for the notes to be quoted on any quotation system. We cannot assure you that the prices at which the notes will sell in the market after this offering will not be lower than the initial offering price or that an active trading market for the notes will develop and continue after this offering. Accordingly, no assurance can be given as to the development or liquidity of any market for the notes.</w:t>
      </w:r>
    </w:p>
    <w:p>
      <w:pPr>
        <w:spacing w:after="0" w:line="190" w:lineRule="exact"/>
        <w:rPr>
          <w:sz w:val="20"/>
          <w:szCs w:val="20"/>
          <w:color w:val="auto"/>
        </w:rPr>
      </w:pPr>
    </w:p>
    <w:p>
      <w:pPr>
        <w:ind w:right="260" w:firstLine="436"/>
        <w:spacing w:after="0" w:line="26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86" w:lineRule="exact"/>
        <w:rPr>
          <w:sz w:val="20"/>
          <w:szCs w:val="20"/>
          <w:color w:val="auto"/>
        </w:rPr>
      </w:pPr>
    </w:p>
    <w:p>
      <w:pPr>
        <w:ind w:right="320" w:firstLine="439"/>
        <w:spacing w:after="0" w:line="275" w:lineRule="auto"/>
        <w:rPr>
          <w:sz w:val="20"/>
          <w:szCs w:val="20"/>
          <w:color w:val="auto"/>
        </w:rPr>
      </w:pPr>
      <w:r>
        <w:rPr>
          <w:rFonts w:ascii="Times New Roman" w:cs="Times New Roman" w:eastAsia="Times New Roman" w:hAnsi="Times New Roman"/>
          <w:sz w:val="18"/>
          <w:szCs w:val="18"/>
          <w:color w:val="auto"/>
        </w:rPr>
        <w:t>Certain of the underwriters and their affiliates have from time to time provided, and may in the future provide, various investment banking, commercial banking, financial advisory and other services for us for which they have received or will receive customary fees and expenses.</w:t>
      </w:r>
    </w:p>
    <w:p>
      <w:pPr>
        <w:spacing w:after="0" w:line="174" w:lineRule="exact"/>
        <w:rPr>
          <w:sz w:val="20"/>
          <w:szCs w:val="20"/>
          <w:color w:val="auto"/>
        </w:rPr>
      </w:pPr>
    </w:p>
    <w:p>
      <w:pPr>
        <w:ind w:right="140" w:firstLine="439"/>
        <w:spacing w:after="0" w:line="275" w:lineRule="auto"/>
        <w:rPr>
          <w:sz w:val="20"/>
          <w:szCs w:val="20"/>
          <w:color w:val="auto"/>
        </w:rPr>
      </w:pPr>
      <w:r>
        <w:rPr>
          <w:rFonts w:ascii="Times New Roman" w:cs="Times New Roman" w:eastAsia="Times New Roman" w:hAnsi="Times New Roman"/>
          <w:sz w:val="18"/>
          <w:szCs w:val="18"/>
          <w:color w:val="auto"/>
        </w:rPr>
        <w:t>Certain affiliates of the underwriters are lenders and/or agents under our revolving credit facility. To the extent that we use a portion of the net proceeds of this offering to repay borrowings outstanding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under our revolving credit facility, those affiliates will receive their proportionate share of any amount of the revolving credit facility that is repaid with the net proceeds from this offering.</w:t>
      </w:r>
    </w:p>
    <w:p>
      <w:pPr>
        <w:spacing w:after="0" w:line="174"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7" w:lineRule="exact"/>
        <w:rPr>
          <w:sz w:val="20"/>
          <w:szCs w:val="20"/>
          <w:color w:val="auto"/>
        </w:rPr>
      </w:pPr>
    </w:p>
    <w:p>
      <w:pPr>
        <w:ind w:firstLine="439"/>
        <w:spacing w:after="0" w:line="296" w:lineRule="auto"/>
        <w:rPr>
          <w:sz w:val="20"/>
          <w:szCs w:val="20"/>
          <w:color w:val="auto"/>
        </w:rPr>
      </w:pPr>
      <w:r>
        <w:rPr>
          <w:rFonts w:ascii="Times New Roman" w:cs="Times New Roman" w:eastAsia="Times New Roman" w:hAnsi="Times New Roman"/>
          <w:sz w:val="16"/>
          <w:szCs w:val="16"/>
          <w:color w:val="auto"/>
        </w:rPr>
        <w:t>Neither this prospectus supplement nor the accompanying prospectus is a prospectus for the purposes of the prospectus directive (as defined below). This prospectus supplement and the accompanying prospectus have been prepared on the basis that all offers of the notes will be made pursuant to an exemption under the prospectus directive from the requirement to produce a prospectus in connection with offers of the notes. Accordingly, any person making or intending to make any offer within the European Economic Area of the notes which are the subject of the offering contemplated in this prospectus supplement should only do so in circumstances in which no obligation arises for SL Green, SL Green OP, ROP or any underwriter to produce a prospectus for any such offer.</w:t>
      </w:r>
    </w:p>
    <w:p>
      <w:pPr>
        <w:spacing w:after="0" w:line="162" w:lineRule="exact"/>
        <w:rPr>
          <w:sz w:val="20"/>
          <w:szCs w:val="20"/>
          <w:color w:val="auto"/>
        </w:rPr>
      </w:pPr>
    </w:p>
    <w:p>
      <w:pPr>
        <w:ind w:right="60" w:firstLine="439"/>
        <w:spacing w:after="0" w:line="310" w:lineRule="auto"/>
        <w:rPr>
          <w:sz w:val="20"/>
          <w:szCs w:val="20"/>
          <w:color w:val="auto"/>
        </w:rPr>
      </w:pPr>
      <w:r>
        <w:rPr>
          <w:rFonts w:ascii="Times New Roman" w:cs="Times New Roman" w:eastAsia="Times New Roman" w:hAnsi="Times New Roman"/>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the notes which are the subject of the offering contemplated by this prospectus supplement may not be offered to the public in that relevant member state other than:</w:t>
      </w:r>
    </w:p>
    <w:p>
      <w:pPr>
        <w:spacing w:after="0" w:line="165"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permitted by the prospectus directive, subject to obtaining the prior consent of the representatives of the underwriters for any such offer; or</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notes shall require the operating partnership, the Company or any underwriter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7"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The notes may only be offered (a) in compliance with all applicable provisions of the Financial Services and Markets Act 2000 ("FSMA') with respect to anything done in relation to the notes in, from or otherwise involving the United Kingdom and (b) where each underwriter has only communicated or caused to be communicated and will only communicate or cause to be communicated any invitation or inducement to engage in investment activity (within the meaning of Section 21 of the FSMA) received by it in connection with the issue or sale of notes in circumstances in which Section 21(1) of the FSMA does not apply to the SL Green, SL Green OP or ROP.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7" w:lineRule="exact"/>
        <w:rPr>
          <w:sz w:val="20"/>
          <w:szCs w:val="20"/>
          <w:color w:val="auto"/>
        </w:rPr>
      </w:pPr>
    </w:p>
    <w:p>
      <w:pPr>
        <w:ind w:right="320" w:firstLine="436"/>
        <w:spacing w:after="0" w:line="289" w:lineRule="auto"/>
        <w:rPr>
          <w:sz w:val="20"/>
          <w:szCs w:val="20"/>
          <w:color w:val="auto"/>
        </w:rPr>
      </w:pPr>
      <w:r>
        <w:rPr>
          <w:rFonts w:ascii="Times New Roman" w:cs="Times New Roman" w:eastAsia="Times New Roman" w:hAnsi="Times New Roman"/>
          <w:sz w:val="16"/>
          <w:szCs w:val="16"/>
          <w:color w:val="auto"/>
        </w:rPr>
        <w:t>The Notes have not been offered and will not be offered or sold in Hong Kong by means of any document other than (i) in circumstances which do not constitute an offer to the public within the meaning of the Companies (Winding Up and Miscellaneous Provisions) Ordinance (Cap. 32, Laws of Hong Kong),</w:t>
      </w:r>
    </w:p>
    <w:p>
      <w:pPr>
        <w:spacing w:after="0" w:line="1"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within the meaning of the Securities and Futures Ordinance (Cap. 571, Laws of Hong Kong) and any rules made thereunder or</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3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within the meaning of the Companies (Winding Up and Miscellaneous Provisions) Ordinance (Cap. 32, Laws of Hong Kong), and no advertisement, invitation or document relating to the Notes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7"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(Law No. 25 of 1948, as amended)) (the "Financial Instruments and Exchange Law"), and the Notes have not been offered or sold and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guidelines promulgated by the relevant Japanese governmental and regulatory authorities and in effect at the relevant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227" w:lineRule="exact"/>
        <w:rPr>
          <w:sz w:val="20"/>
          <w:szCs w:val="20"/>
          <w:color w:val="auto"/>
        </w:rPr>
      </w:pPr>
    </w:p>
    <w:p>
      <w:pPr>
        <w:ind w:right="60" w:firstLine="43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approved or licensed by the Central Bank of the United Arab Emirates, or the UAE, Securities and Commodities Authority of the UAE, or the SCA, the Dubai Financial Services Authority, or the DFSA, or any other relevant licensing authority in the UAE. The offer of the notes does not constitute a public offer of securities in the UAE in accordance with relevant laws of the UAE, in particular, the Commercial Companies Law, Federal law No. 8 of 1984 (as amended), SCA Resolution No.(37) of 2012 or otherwise. Accordingly, the notes may not be offered to the public in the UAE (including the Dubai International Financial Centre).</w:t>
      </w:r>
    </w:p>
    <w:p>
      <w:pPr>
        <w:spacing w:after="0" w:line="193" w:lineRule="exact"/>
        <w:rPr>
          <w:sz w:val="20"/>
          <w:szCs w:val="20"/>
          <w:color w:val="auto"/>
        </w:rPr>
      </w:pPr>
    </w:p>
    <w:p>
      <w:pPr>
        <w:ind w:right="260" w:firstLine="436"/>
        <w:spacing w:after="0" w:line="275" w:lineRule="auto"/>
        <w:rPr>
          <w:sz w:val="20"/>
          <w:szCs w:val="20"/>
          <w:color w:val="auto"/>
        </w:rPr>
      </w:pPr>
      <w:r>
        <w:rPr>
          <w:rFonts w:ascii="Times New Roman" w:cs="Times New Roman" w:eastAsia="Times New Roman" w:hAnsi="Times New Roman"/>
          <w:sz w:val="18"/>
          <w:szCs w:val="18"/>
          <w:color w:val="auto"/>
        </w:rPr>
        <w:t>This prospectus supplement and the attached prospectus are strictly private and confidential and are being issued to a limited number of institutional and individual investors:</w:t>
      </w:r>
    </w:p>
    <w:p>
      <w:pPr>
        <w:spacing w:after="0" w:line="18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qualify as sophisticated investors;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be provided to any person other than the original recipient, and may not be reproduced or used for any other purpose.</w:t>
      </w:r>
    </w:p>
    <w:p>
      <w:pPr>
        <w:spacing w:after="0" w:line="225" w:lineRule="exact"/>
        <w:rPr>
          <w:sz w:val="20"/>
          <w:szCs w:val="20"/>
          <w:color w:val="auto"/>
        </w:rPr>
      </w:pPr>
    </w:p>
    <w:p>
      <w:pPr>
        <w:ind w:right="180" w:firstLine="439"/>
        <w:spacing w:after="0" w:line="275" w:lineRule="auto"/>
        <w:rPr>
          <w:sz w:val="20"/>
          <w:szCs w:val="20"/>
          <w:color w:val="auto"/>
        </w:rPr>
      </w:pPr>
      <w:r>
        <w:rPr>
          <w:rFonts w:ascii="Times New Roman" w:cs="Times New Roman" w:eastAsia="Times New Roman" w:hAnsi="Times New Roman"/>
          <w:sz w:val="18"/>
          <w:szCs w:val="18"/>
          <w:color w:val="auto"/>
        </w:rPr>
        <w:t>Each underwriter represents and warrants that it has not and will not offer, sell, transfer or deliver the notes to the public in the UAE (including the Dubai International Financial Centre).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notes may not be publicly offered in Switzerland and will not be listed on the SIX Swiss Exchange ("SIX") or on any other stock exchange or regulated trading facility in Switzerland. This prospectus supplement and the accompanying prospectus do not constitute a prospectus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Each underwriter has represented and agreed not to publicly distribute or otherwise make publicly available in Switzerland this prospectus supplement or any other offering or marketing material relating to the notes.</w:t>
      </w:r>
    </w:p>
    <w:p>
      <w:pPr>
        <w:spacing w:after="0" w:line="193"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SL Green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7" w:lineRule="exact"/>
        <w:rPr>
          <w:sz w:val="20"/>
          <w:szCs w:val="20"/>
          <w:color w:val="auto"/>
        </w:rPr>
      </w:pPr>
    </w:p>
    <w:p>
      <w:pPr>
        <w:ind w:right="120" w:firstLine="436"/>
        <w:spacing w:after="0" w:line="291"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w:t>
      </w:r>
    </w:p>
    <w:p>
      <w:pPr>
        <w:spacing w:after="0" w:line="225" w:lineRule="exact"/>
        <w:rPr>
          <w:sz w:val="20"/>
          <w:szCs w:val="20"/>
          <w:color w:val="auto"/>
        </w:rPr>
      </w:pPr>
    </w:p>
    <w:p>
      <w:pPr>
        <w:ind w:left="540" w:right="20" w:firstLine="447"/>
        <w:spacing w:after="0" w:line="275" w:lineRule="auto"/>
        <w:tabs>
          <w:tab w:leader="none" w:pos="1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Times New Roman" w:cs="Times New Roman" w:eastAsia="Times New Roman" w:hAnsi="Times New Roman"/>
          <w:sz w:val="18"/>
          <w:szCs w:val="18"/>
          <w:color w:val="auto"/>
        </w:rPr>
      </w:pPr>
    </w:p>
    <w:p>
      <w:pPr>
        <w:ind w:left="540" w:right="500" w:firstLine="447"/>
        <w:spacing w:after="0" w:line="275" w:lineRule="auto"/>
        <w:tabs>
          <w:tab w:leader="none" w:pos="14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accredited investor,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debentures and units of shares and debentures of that corporation and the beneficiaries' rights and interest (howsoever described) in that trust shall not be transferred within six months after that corporation or that trust has acquired the notes pursuant to an offer made under Section 275 of the SFA except:</w:t>
      </w:r>
    </w:p>
    <w:p>
      <w:pPr>
        <w:spacing w:after="0" w:line="142" w:lineRule="exact"/>
        <w:rPr>
          <w:sz w:val="20"/>
          <w:szCs w:val="20"/>
          <w:color w:val="auto"/>
        </w:rPr>
      </w:pPr>
    </w:p>
    <w:p>
      <w:pPr>
        <w:ind w:left="1080" w:right="16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 relevant person (as defined in Section 275(2) of the SFA), or any person pursuant to an offer referred to in Section 275(1A) of the SFA (in the case of that corporation) or Section 276(4)(i)(B) of the SFA (in the case of that trust);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5" w:right="9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jc w:val="both"/>
        <w:ind w:right="100" w:firstLine="439"/>
        <w:spacing w:after="0" w:line="258" w:lineRule="auto"/>
        <w:rPr>
          <w:sz w:val="20"/>
          <w:szCs w:val="20"/>
          <w:color w:val="auto"/>
        </w:rPr>
      </w:pPr>
      <w:r>
        <w:rPr>
          <w:rFonts w:ascii="Times New Roman" w:cs="Times New Roman" w:eastAsia="Times New Roman" w:hAnsi="Times New Roman"/>
          <w:sz w:val="18"/>
          <w:szCs w:val="18"/>
          <w:color w:val="auto"/>
        </w:rPr>
        <w:t>Certain legal matters will be passed upon for us by Skadden, Arps, Slate, Meagher &amp; Flom LLP, New York, New York, and for the underwriters by Fried, Frank, Harris, Shriver &amp; Jacobson LLP, New York, New York. Ballard Spahr LLP, Baltimore, Maryland, will pass upon certain matters of Maryland law for SL Green Realty Corp. with respect to the notes offered hereby. Certain tax matters will be passed upon for us by Greenberg Traurig, LLP, New York, New York. Fried, Frank, Harris, Shriver &amp; Jacobson LLP has performed work for SL Green and its subsidiaries from time to time.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120" w:firstLine="43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SL Green Realty Corp. and the consolidated financial statements of SL Green Operating Partnership, L.P., appearing in SL Green Realty Corp.'s Annual Report (Form 10-K) for the year ended December 31, 2016, including schedules appearing therein, and the effectiveness of SL Green Realty Corp.'s internal control over financial reporting as of December 31, 2016 and the effectiveness of SL Green Operating Partnership, L.P.'s internal control over financial reporting as of December 31, 2016,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consolidated financial statements of Reckson Operating Partnership, L.P. appearing in Reckson Operating Partnership, L.P.'s Annual Report (Form 10-</w:t>
      </w:r>
    </w:p>
    <w:p>
      <w:pPr>
        <w:spacing w:after="0" w:line="44" w:lineRule="exact"/>
        <w:rPr>
          <w:sz w:val="20"/>
          <w:szCs w:val="20"/>
          <w:color w:val="auto"/>
        </w:rPr>
      </w:pPr>
    </w:p>
    <w:p>
      <w:pPr>
        <w:ind w:right="180" w:firstLine="8"/>
        <w:spacing w:after="0" w:line="253" w:lineRule="auto"/>
        <w:tabs>
          <w:tab w:leader="none" w:pos="2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2016, including schedules appearing therein,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Each of SL Green, SL Green OP and ROP are subject to the reporting requirements of the Exchange Act, and in accordance therewith, file annual, quarterly and current reports and other information with the SEC. In addition, SL Green files proxy statements with the SEC. Copies of these reports and other information may be inspected without charge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supplement. Our securities are listed on the NYSE and all such material filed by us with the NYSE also can be inspected at the offices of the NYSE, 20 Broad Street, New York, New York 10005.</w:t>
      </w:r>
    </w:p>
    <w:p>
      <w:pPr>
        <w:spacing w:after="0" w:line="192" w:lineRule="exact"/>
        <w:rPr>
          <w:sz w:val="20"/>
          <w:szCs w:val="20"/>
          <w:color w:val="auto"/>
        </w:rPr>
      </w:pPr>
    </w:p>
    <w:p>
      <w:pPr>
        <w:ind w:right="100" w:firstLine="43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of which this prospectus supplement and the accompanying prospectus are a part, under the Securities Act, with respect to the securities registered hereby. This prospectus supplement and the accompanying prospectus do not contain all of the information set forth in the registration statement, certain parts of which are omitted in accordance with the rules and regulations of the SEC. For further information concerning our company and the securities registered hereby, reference is made to the registration statement. Statements contained in this prospectus supplement and the accompanying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195" w:lineRule="exact"/>
        <w:rPr>
          <w:sz w:val="20"/>
          <w:szCs w:val="20"/>
          <w:color w:val="auto"/>
        </w:rPr>
      </w:pPr>
    </w:p>
    <w:p>
      <w:pPr>
        <w:ind w:right="160" w:firstLine="436"/>
        <w:spacing w:after="0" w:line="291" w:lineRule="auto"/>
        <w:rPr>
          <w:sz w:val="20"/>
          <w:szCs w:val="20"/>
          <w:color w:val="auto"/>
        </w:rPr>
      </w:pPr>
      <w:r>
        <w:rPr>
          <w:rFonts w:ascii="Times New Roman" w:cs="Times New Roman" w:eastAsia="Times New Roman" w:hAnsi="Times New Roman"/>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or any document that we file in the future with the SEC. This prospectus supplement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 this prospectus supplement from their respective filing dates. These documents contain important information about us, our business and our finances.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65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76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 w:type="dxa"/>
            <w:vAlign w:val="bottom"/>
          </w:tcPr>
          <w:p>
            <w:pPr>
              <w:spacing w:after="0"/>
              <w:rPr>
                <w:sz w:val="24"/>
                <w:szCs w:val="24"/>
                <w:color w:val="auto"/>
              </w:rPr>
            </w:pPr>
          </w:p>
        </w:tc>
        <w:tc>
          <w:tcPr>
            <w:tcW w:w="352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 Realty Corp.'s Annual Report on Form 10-K (File No. 1-13199)</w:t>
            </w: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SL Green Realty Corp.'s Quarterly Reports on Form 10-Q (File No. 1-13199)</w:t>
            </w:r>
          </w:p>
        </w:tc>
        <w:tc>
          <w:tcPr>
            <w:tcW w:w="252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Quarter ended March 31, 2017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Quarter ended June 30,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SL Green Realty Corp.'s Current Reports on Form 8-K (File No. 1-13199)</w:t>
            </w:r>
          </w:p>
        </w:tc>
        <w:tc>
          <w:tcPr>
            <w:tcW w:w="252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January 3, 2017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April 3,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June 2,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3,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18,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14,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21,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5,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26,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 Realty Corp.'s Definitive Proxy Statement on Schedule 14A (File No. 1-13199)</w:t>
            </w: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May 1,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76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 w:type="dxa"/>
            <w:vAlign w:val="bottom"/>
          </w:tcPr>
          <w:p>
            <w:pPr>
              <w:spacing w:after="0"/>
              <w:rPr>
                <w:sz w:val="24"/>
                <w:szCs w:val="24"/>
                <w:color w:val="auto"/>
              </w:rPr>
            </w:pPr>
          </w:p>
        </w:tc>
        <w:tc>
          <w:tcPr>
            <w:tcW w:w="352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6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SL Green Operating Partnership, L.P.'s Annual Report on Form 10-K (File No. 333-167793-</w:t>
            </w: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02)</w:t>
            </w:r>
          </w:p>
        </w:tc>
        <w:tc>
          <w:tcPr>
            <w:tcW w:w="58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SL Green Realty Corp.'s Quarterly Reports on Form 10-Q (File No. 333-167793-02)</w:t>
            </w:r>
          </w:p>
        </w:tc>
        <w:tc>
          <w:tcPr>
            <w:tcW w:w="252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Quarter ended March 31, 2017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Quarter ended June 30,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6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SL Green Operating Partnership, L.P.'s Current Reports on Form 8-K (File No. 333-167793-</w:t>
            </w:r>
          </w:p>
        </w:tc>
        <w:tc>
          <w:tcPr>
            <w:tcW w:w="252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January 3, 2017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02)</w:t>
            </w: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April 3,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3,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14,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21,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5,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S-42</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65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76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 w:type="dxa"/>
            <w:vAlign w:val="bottom"/>
          </w:tcPr>
          <w:p>
            <w:pPr>
              <w:spacing w:after="0"/>
              <w:rPr>
                <w:sz w:val="24"/>
                <w:szCs w:val="24"/>
                <w:color w:val="auto"/>
              </w:rPr>
            </w:pPr>
          </w:p>
        </w:tc>
        <w:tc>
          <w:tcPr>
            <w:tcW w:w="23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Reckson Operating Partnership, L.P.'s Annual Report on Form 10-K (File No. 033-84580)</w:t>
            </w: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6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8"/>
              </w:rPr>
              <w:t>Reckson Operating Partnership, L.P.'s Quarterly Report on Form 10-Q (File No. 033-84580)</w:t>
            </w:r>
          </w:p>
        </w:tc>
        <w:tc>
          <w:tcPr>
            <w:tcW w:w="252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Quarter ended March 31, 2017</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Quarter ended June 30, 2017</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Reckson Operating Partnership, L.P.'s Current Reports on Form 8-K (File No. 033-84580)</w:t>
            </w:r>
          </w:p>
        </w:tc>
        <w:tc>
          <w:tcPr>
            <w:tcW w:w="2600" w:type="dxa"/>
            <w:vAlign w:val="bottom"/>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January 3, 2017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3, 2017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July 3, 2017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14, 2017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2, 2017</w:t>
            </w: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October 5, 2017</w:t>
            </w:r>
          </w:p>
        </w:tc>
      </w:tr>
    </w:tbl>
    <w:p>
      <w:pPr>
        <w:spacing w:after="0" w:line="202" w:lineRule="exact"/>
        <w:rPr>
          <w:sz w:val="20"/>
          <w:szCs w:val="20"/>
          <w:color w:val="auto"/>
        </w:rPr>
      </w:pPr>
    </w:p>
    <w:p>
      <w:pPr>
        <w:ind w:firstLine="429"/>
        <w:spacing w:after="0" w:line="310" w:lineRule="auto"/>
        <w:rPr>
          <w:sz w:val="20"/>
          <w:szCs w:val="20"/>
          <w:color w:val="auto"/>
        </w:rPr>
      </w:pPr>
      <w:r>
        <w:rPr>
          <w:rFonts w:ascii="Times New Roman" w:cs="Times New Roman" w:eastAsia="Times New Roman" w:hAnsi="Times New Roman"/>
          <w:sz w:val="16"/>
          <w:szCs w:val="16"/>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Matt DiLiberto, SL Green Realty Corp., 420 Lexington Avenue, New York, NY 10170, telephone number (212) 594-2700.</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8" w:right="3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153670</wp:posOffset>
            </wp:positionV>
            <wp:extent cx="1706880" cy="488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68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260" w:right="540"/>
        <w:spacing w:after="0" w:line="287" w:lineRule="auto"/>
        <w:rPr>
          <w:sz w:val="20"/>
          <w:szCs w:val="20"/>
          <w:color w:val="auto"/>
        </w:rPr>
      </w:pPr>
      <w:r>
        <w:rPr>
          <w:rFonts w:ascii="Times New Roman" w:cs="Times New Roman" w:eastAsia="Times New Roman" w:hAnsi="Times New Roman"/>
          <w:sz w:val="24"/>
          <w:szCs w:val="24"/>
          <w:b w:val="1"/>
          <w:bCs w:val="1"/>
          <w:color w:val="auto"/>
        </w:rPr>
        <w:t>Common Stock, Preferred Stock, Debt Securities, Guarantees of Debt Securities, Depositary Shares Representing Preferred Stock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99060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395"/>
        <w:spacing w:after="0" w:line="275" w:lineRule="auto"/>
        <w:rPr>
          <w:sz w:val="20"/>
          <w:szCs w:val="20"/>
          <w:color w:val="auto"/>
        </w:rPr>
      </w:pPr>
      <w:r>
        <w:rPr>
          <w:rFonts w:ascii="Times New Roman" w:cs="Times New Roman" w:eastAsia="Times New Roman" w:hAnsi="Times New Roman"/>
          <w:sz w:val="18"/>
          <w:szCs w:val="18"/>
          <w:color w:val="auto"/>
        </w:rPr>
        <w:t>SL Green Realty Corp. may from time to time offer, in one or more series or classes, separately or together, and in amounts, at prices and on terms to be set forth in one or more supplements to this prospectus, the following securities:</w:t>
      </w:r>
    </w:p>
    <w:p>
      <w:pPr>
        <w:spacing w:after="0" w:line="187"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$0.01 per share;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$0.01 per share;</w:t>
      </w:r>
    </w:p>
    <w:p>
      <w:pPr>
        <w:spacing w:after="0" w:line="238" w:lineRule="exact"/>
        <w:rPr>
          <w:rFonts w:ascii="Times New Roman" w:cs="Times New Roman" w:eastAsia="Times New Roman" w:hAnsi="Times New Roman"/>
          <w:sz w:val="18"/>
          <w:szCs w:val="18"/>
          <w:color w:val="auto"/>
        </w:rPr>
      </w:pPr>
    </w:p>
    <w:p>
      <w:pPr>
        <w:ind w:left="1080" w:right="82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entitlement to all rights and preferences of fractions of shares of preferred stock of a specified series and represented by depositary receipts;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preferred stock or depositary shares;</w:t>
      </w:r>
    </w:p>
    <w:p>
      <w:pPr>
        <w:spacing w:after="0" w:line="252"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including as a co-obligor of debt securities co-issued by SL Green Operating Partnership, L.P. and/or Reckson Operating Partnership, L.P.;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 Green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including as a co-obligor of debt securities co-issued by SL Green Realty Corp. and/or Reckson Operating Partnership, L.P.;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Reckson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including as a co-obligor of debt securities co-issued by SL Green Operating Partnership, L.P. and/or SL Green Realty Corp.; or</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w:t>
      </w:r>
    </w:p>
    <w:p>
      <w:pPr>
        <w:spacing w:after="0" w:line="225" w:lineRule="exact"/>
        <w:rPr>
          <w:sz w:val="20"/>
          <w:szCs w:val="20"/>
          <w:color w:val="auto"/>
        </w:rPr>
      </w:pPr>
    </w:p>
    <w:p>
      <w:pPr>
        <w:ind w:right="80" w:firstLine="395"/>
        <w:spacing w:after="0" w:line="262" w:lineRule="auto"/>
        <w:rPr>
          <w:sz w:val="20"/>
          <w:szCs w:val="20"/>
          <w:color w:val="auto"/>
        </w:rPr>
      </w:pPr>
      <w:r>
        <w:rPr>
          <w:rFonts w:ascii="Times New Roman" w:cs="Times New Roman" w:eastAsia="Times New Roman" w:hAnsi="Times New Roman"/>
          <w:sz w:val="18"/>
          <w:szCs w:val="18"/>
          <w:color w:val="auto"/>
        </w:rPr>
        <w:t>In addition, selling stockholders to be named in one or more prospectus supplements may offer shares of SL Green Realty Corp.'s common stock from time to time.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refer to the common stock, preferred stock, guarantees, depositary shares, warrants and debt securities collectively as the "securities" in this prospectus.</w:t>
      </w:r>
    </w:p>
    <w:p>
      <w:pPr>
        <w:spacing w:after="0" w:line="248" w:lineRule="exact"/>
        <w:rPr>
          <w:sz w:val="20"/>
          <w:szCs w:val="20"/>
          <w:color w:val="auto"/>
        </w:rPr>
      </w:pPr>
    </w:p>
    <w:p>
      <w:pPr>
        <w:ind w:right="80" w:firstLine="392"/>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set forth in the applicable prospectus supplement. The prospectus supplement will also contain information, where applicable, about certain federal income tax considerations relating to, and any listing on a securities exchange of, the securities covered by such prospectus supplement. It is important that you read both this prospectus and the applicable prospectus supplement before you invest in the securities.</w:t>
      </w:r>
    </w:p>
    <w:p>
      <w:pPr>
        <w:spacing w:after="0" w:line="193"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8"/>
          <w:szCs w:val="18"/>
          <w:color w:val="auto"/>
        </w:rPr>
        <w:t>These securities may be offered and sold to or through one or more underwriters, dealers and agents, or directly to purchasers, on a continuous or delayed basis. The prospectus supplement will describe the terms of the plan of distribution and set forth the names of any agents, dealers or underwriters involved in the sale of the securities. See "Plan of Distribution" beginning on page 51 for more information on this topic. No securities may be sold without delivery of a prospectus supplement describing the method and terms of the offering of those securities.</w:t>
      </w:r>
    </w:p>
    <w:p>
      <w:pPr>
        <w:spacing w:after="0" w:line="190" w:lineRule="exact"/>
        <w:rPr>
          <w:sz w:val="20"/>
          <w:szCs w:val="20"/>
          <w:color w:val="auto"/>
        </w:rPr>
      </w:pPr>
    </w:p>
    <w:p>
      <w:pPr>
        <w:ind w:firstLine="395"/>
        <w:spacing w:after="0" w:line="258" w:lineRule="auto"/>
        <w:rPr>
          <w:sz w:val="20"/>
          <w:szCs w:val="20"/>
          <w:color w:val="auto"/>
        </w:rPr>
      </w:pPr>
      <w:r>
        <w:rPr>
          <w:rFonts w:ascii="Times New Roman" w:cs="Times New Roman" w:eastAsia="Times New Roman" w:hAnsi="Times New Roman"/>
          <w:sz w:val="18"/>
          <w:szCs w:val="18"/>
          <w:color w:val="auto"/>
        </w:rPr>
        <w:t>SL Green Realty Corp.'s common stock is listed on the New York Stock Exchange, or the NYSE, under the symbol "SLG." On December 16, 2015 the closing sale price of SL Green Realty Corp.'s common stock on the NYSE was $114.31 per share. SL Green Realty Corp.'s 6.50% Series I cumulative redeemable preferred stock, liquidation preference $25.00 per share, is listed on the NYSE under the symbol "SLGPrI.", or the Series I Preferred Stock. On December 16, 2015, the closing sale price of SL Green Realty Corp.'s 6.50% Series I Preferred Stock on the NYSE was $25.18 per share.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See "Risk Factors" on page 4 of this prospectus for a description of risk factors that should be considered by purchasers of the securities.</w:t>
      </w:r>
    </w:p>
    <w:p>
      <w:pPr>
        <w:spacing w:after="0" w:line="225" w:lineRule="exact"/>
        <w:rPr>
          <w:sz w:val="20"/>
          <w:szCs w:val="20"/>
          <w:color w:val="auto"/>
        </w:rPr>
      </w:pPr>
    </w:p>
    <w:p>
      <w:pPr>
        <w:ind w:right="60" w:firstLine="395"/>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is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41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720" w:type="dxa"/>
            <w:vAlign w:val="bottom"/>
            <w:gridSpan w:val="2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Table of Contents</w:t>
              </w:r>
            </w:hyperlink>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ABOUT THIS PROSPECTUS</w:t>
              </w:r>
            </w:hyperlink>
          </w:p>
        </w:tc>
        <w:tc>
          <w:tcPr>
            <w:tcW w:w="1220" w:type="dxa"/>
            <w:vAlign w:val="bottom"/>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040" w:type="dxa"/>
            <w:vAlign w:val="bottom"/>
            <w:gridSpan w:val="13"/>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INFORMATION ABOUT SL GREEN REALTY CORP.</w:t>
              </w:r>
            </w:hyperlink>
          </w:p>
        </w:tc>
        <w:tc>
          <w:tcPr>
            <w:tcW w:w="3540" w:type="dxa"/>
            <w:vAlign w:val="bottom"/>
            <w:gridSpan w:val="8"/>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80" w:type="dxa"/>
            <w:vAlign w:val="bottom"/>
            <w:gridSpan w:val="18"/>
          </w:tcPr>
          <w:p>
            <w:pPr>
              <w:spacing w:after="0"/>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INFORMATION ABOUT SL GREEN OPERATING PARTNERSHIP, L.P.</w:t>
              </w:r>
            </w:hyperlink>
          </w:p>
        </w:tc>
        <w:tc>
          <w:tcPr>
            <w:tcW w:w="2200" w:type="dxa"/>
            <w:vAlign w:val="bottom"/>
            <w:gridSpan w:val="3"/>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80" w:type="dxa"/>
            <w:vAlign w:val="bottom"/>
            <w:gridSpan w:val="18"/>
          </w:tcPr>
          <w:p>
            <w:pPr>
              <w:spacing w:after="0"/>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INFORMATION ABOUT RECKSON OPERATING PARTNERSHIP, L.P.</w:t>
              </w:r>
            </w:hyperlink>
          </w:p>
        </w:tc>
        <w:tc>
          <w:tcPr>
            <w:tcW w:w="2200" w:type="dxa"/>
            <w:vAlign w:val="bottom"/>
            <w:gridSpan w:val="3"/>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80" w:type="dxa"/>
            <w:vAlign w:val="bottom"/>
            <w:gridSpan w:val="1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RISK FACTORS</w:t>
              </w:r>
            </w:hyperlink>
          </w:p>
        </w:tc>
        <w:tc>
          <w:tcPr>
            <w:tcW w:w="2200" w:type="dxa"/>
            <w:vAlign w:val="bottom"/>
            <w:gridSpan w:val="3"/>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FORWARD-LOOKING STATEMENTS MAY PROVE INACCURATE</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5"/>
          </w:tcPr>
          <w:p>
            <w:pPr>
              <w:spacing w:after="0"/>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USE OF PROCEEDS</w:t>
              </w:r>
            </w:hyperlink>
          </w:p>
        </w:tc>
        <w:tc>
          <w:tcPr>
            <w:tcW w:w="3520" w:type="dxa"/>
            <w:vAlign w:val="bottom"/>
            <w:gridSpan w:val="12"/>
          </w:tcPr>
          <w:p>
            <w:pPr>
              <w:spacing w:after="0"/>
              <w:rPr>
                <w:sz w:val="24"/>
                <w:szCs w:val="24"/>
                <w:color w:val="auto"/>
              </w:rPr>
            </w:pPr>
          </w:p>
        </w:tc>
        <w:tc>
          <w:tcPr>
            <w:tcW w:w="2500" w:type="dxa"/>
            <w:vAlign w:val="bottom"/>
            <w:gridSpan w:val="4"/>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RATIOS OF EARNINGS TO COMBINED FIXED CHARGES AND PREFERRED STOCK DIVIDENDS</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900" w:type="dxa"/>
            <w:vAlign w:val="bottom"/>
            <w:gridSpan w:val="16"/>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PRICE RANGE OF COMMON STOCK AND DIVIDEND POLICY</w:t>
              </w:r>
            </w:hyperlink>
          </w:p>
        </w:tc>
        <w:tc>
          <w:tcPr>
            <w:tcW w:w="2680" w:type="dxa"/>
            <w:vAlign w:val="bottom"/>
            <w:gridSpan w:val="5"/>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900" w:type="dxa"/>
            <w:vAlign w:val="bottom"/>
            <w:gridSpan w:val="16"/>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DESCRIPTION OF COMMON STOCK</w:t>
              </w:r>
            </w:hyperlink>
          </w:p>
        </w:tc>
        <w:tc>
          <w:tcPr>
            <w:tcW w:w="2680" w:type="dxa"/>
            <w:vAlign w:val="bottom"/>
            <w:gridSpan w:val="5"/>
          </w:tcPr>
          <w:p>
            <w:pPr>
              <w:spacing w:after="0"/>
              <w:rPr>
                <w:sz w:val="24"/>
                <w:szCs w:val="24"/>
                <w:color w:val="auto"/>
              </w:rPr>
            </w:pPr>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10</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DESCRIPTION OF PREFERRED STOCK</w:t>
              </w:r>
            </w:hyperlink>
          </w:p>
        </w:tc>
        <w:tc>
          <w:tcPr>
            <w:tcW w:w="4500" w:type="dxa"/>
            <w:vAlign w:val="bottom"/>
            <w:gridSpan w:val="10"/>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12</w:t>
              </w:r>
            </w:hyperlink>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DESCRIPTION OF DEPOSITARY SHARES</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19</w:t>
              </w:r>
            </w:hyperlink>
          </w:p>
        </w:tc>
      </w:tr>
      <w:tr>
        <w:trPr>
          <w:trHeight w:val="412"/>
        </w:trPr>
        <w:tc>
          <w:tcPr>
            <w:tcW w:w="1140" w:type="dxa"/>
            <w:vAlign w:val="bottom"/>
          </w:tcPr>
          <w:p>
            <w:pPr>
              <w:spacing w:after="0"/>
              <w:rPr>
                <w:sz w:val="24"/>
                <w:szCs w:val="24"/>
                <w:color w:val="auto"/>
              </w:rPr>
            </w:pPr>
          </w:p>
        </w:tc>
        <w:tc>
          <w:tcPr>
            <w:tcW w:w="32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DESCRIPTION OF WARRANTS</w:t>
              </w:r>
            </w:hyperlink>
          </w:p>
        </w:tc>
        <w:tc>
          <w:tcPr>
            <w:tcW w:w="4340" w:type="dxa"/>
            <w:vAlign w:val="bottom"/>
            <w:gridSpan w:val="9"/>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23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DESCRIPTION OF DEBT SECURITIES</w:t>
              </w:r>
            </w:hyperlink>
          </w:p>
        </w:tc>
        <w:tc>
          <w:tcPr>
            <w:tcW w:w="4620" w:type="dxa"/>
            <w:vAlign w:val="bottom"/>
            <w:gridSpan w:val="11"/>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24</w:t>
              </w:r>
            </w:hyperlink>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DESCRIPTION OF GUARANTEES OF DEBT SECURITIES</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27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CERTAIN ANTI-TAKEOVER PROVISIONS OF MARYLAND LAW</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28</w:t>
              </w:r>
            </w:hyperlink>
          </w:p>
        </w:tc>
      </w:tr>
      <w:tr>
        <w:trPr>
          <w:trHeight w:val="412"/>
        </w:trPr>
        <w:tc>
          <w:tcPr>
            <w:tcW w:w="1140" w:type="dxa"/>
            <w:vAlign w:val="bottom"/>
          </w:tcPr>
          <w:p>
            <w:pPr>
              <w:spacing w:after="0"/>
              <w:rPr>
                <w:sz w:val="24"/>
                <w:szCs w:val="24"/>
                <w:color w:val="auto"/>
              </w:rPr>
            </w:pPr>
          </w:p>
        </w:tc>
        <w:tc>
          <w:tcPr>
            <w:tcW w:w="50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RESTRICTIONS ON OWNERSHIP OF CAPITAL STOCK</w:t>
              </w:r>
            </w:hyperlink>
          </w:p>
        </w:tc>
        <w:tc>
          <w:tcPr>
            <w:tcW w:w="250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31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6"/>
              </w:rPr>
            </w:pPr>
            <w:hyperlink w:anchor="page85">
              <w:r>
                <w:rPr>
                  <w:rFonts w:ascii="Times New Roman" w:cs="Times New Roman" w:eastAsia="Times New Roman" w:hAnsi="Times New Roman"/>
                  <w:sz w:val="18"/>
                  <w:szCs w:val="18"/>
                  <w:color w:val="0000EE"/>
                  <w:w w:val="96"/>
                </w:rPr>
                <w:t>MATERIAL UNITED STATES FEDERAL INCOME TAX CONSEQUENCES</w:t>
              </w:r>
            </w:hyperlink>
          </w:p>
        </w:tc>
        <w:tc>
          <w:tcPr>
            <w:tcW w:w="194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33</w:t>
              </w:r>
            </w:hyperlink>
          </w:p>
        </w:tc>
      </w:tr>
      <w:tr>
        <w:trPr>
          <w:trHeight w:val="412"/>
        </w:trPr>
        <w:tc>
          <w:tcPr>
            <w:tcW w:w="1140" w:type="dxa"/>
            <w:vAlign w:val="bottom"/>
          </w:tcPr>
          <w:p>
            <w:pPr>
              <w:spacing w:after="0"/>
              <w:rPr>
                <w:sz w:val="24"/>
                <w:szCs w:val="24"/>
                <w:color w:val="auto"/>
              </w:rPr>
            </w:pPr>
          </w:p>
        </w:tc>
        <w:tc>
          <w:tcPr>
            <w:tcW w:w="7580" w:type="dxa"/>
            <w:vAlign w:val="bottom"/>
            <w:gridSpan w:val="2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SELLING STOCKHOLDERS</w:t>
              </w:r>
            </w:hyperlink>
          </w:p>
        </w:tc>
        <w:tc>
          <w:tcPr>
            <w:tcW w:w="1400" w:type="dxa"/>
            <w:vAlign w:val="bottom"/>
            <w:gridSpan w:val="3"/>
          </w:tcPr>
          <w:p>
            <w:pPr>
              <w:jc w:val="right"/>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50</w:t>
              </w:r>
            </w:hyperlink>
          </w:p>
        </w:tc>
      </w:tr>
      <w:tr>
        <w:trPr>
          <w:trHeight w:val="412"/>
        </w:trPr>
        <w:tc>
          <w:tcPr>
            <w:tcW w:w="1140" w:type="dxa"/>
            <w:vAlign w:val="bottom"/>
          </w:tcPr>
          <w:p>
            <w:pPr>
              <w:spacing w:after="0"/>
              <w:rPr>
                <w:sz w:val="24"/>
                <w:szCs w:val="24"/>
                <w:color w:val="auto"/>
              </w:rPr>
            </w:pPr>
          </w:p>
        </w:tc>
        <w:tc>
          <w:tcPr>
            <w:tcW w:w="21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PLAN OF DISTRIBUTION</w:t>
              </w:r>
            </w:hyperlink>
          </w:p>
        </w:tc>
        <w:tc>
          <w:tcPr>
            <w:tcW w:w="5400" w:type="dxa"/>
            <w:vAlign w:val="bottom"/>
            <w:gridSpan w:val="14"/>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03">
              <w:r>
                <w:rPr>
                  <w:rFonts w:ascii="Times New Roman" w:cs="Times New Roman" w:eastAsia="Times New Roman" w:hAnsi="Times New Roman"/>
                  <w:sz w:val="18"/>
                  <w:szCs w:val="18"/>
                  <w:color w:val="0000EE"/>
                  <w:w w:val="88"/>
                </w:rPr>
                <w:t>51</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LEGAL MATTERS</w:t>
              </w:r>
            </w:hyperlink>
          </w:p>
        </w:tc>
        <w:tc>
          <w:tcPr>
            <w:tcW w:w="5580" w:type="dxa"/>
            <w:vAlign w:val="bottom"/>
            <w:gridSpan w:val="15"/>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05">
              <w:r>
                <w:rPr>
                  <w:rFonts w:ascii="Times New Roman" w:cs="Times New Roman" w:eastAsia="Times New Roman" w:hAnsi="Times New Roman"/>
                  <w:sz w:val="18"/>
                  <w:szCs w:val="18"/>
                  <w:color w:val="0000EE"/>
                  <w:w w:val="88"/>
                </w:rPr>
                <w:t>53</w:t>
              </w:r>
            </w:hyperlink>
          </w:p>
        </w:tc>
      </w:tr>
      <w:tr>
        <w:trPr>
          <w:trHeight w:val="412"/>
        </w:trPr>
        <w:tc>
          <w:tcPr>
            <w:tcW w:w="11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105">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2"/>
          </w:tcPr>
          <w:p>
            <w:pPr>
              <w:spacing w:after="0"/>
              <w:rPr>
                <w:sz w:val="24"/>
                <w:szCs w:val="24"/>
                <w:color w:val="auto"/>
              </w:rPr>
            </w:pPr>
          </w:p>
        </w:tc>
        <w:tc>
          <w:tcPr>
            <w:tcW w:w="6160" w:type="dxa"/>
            <w:vAlign w:val="bottom"/>
            <w:gridSpan w:val="17"/>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05">
              <w:r>
                <w:rPr>
                  <w:rFonts w:ascii="Times New Roman" w:cs="Times New Roman" w:eastAsia="Times New Roman" w:hAnsi="Times New Roman"/>
                  <w:sz w:val="18"/>
                  <w:szCs w:val="18"/>
                  <w:color w:val="0000EE"/>
                  <w:w w:val="88"/>
                </w:rPr>
                <w:t>53</w:t>
              </w:r>
            </w:hyperlink>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6"/>
              </w:rPr>
            </w:pPr>
            <w:hyperlink w:anchor="page106">
              <w:r>
                <w:rPr>
                  <w:rFonts w:ascii="Times New Roman" w:cs="Times New Roman" w:eastAsia="Times New Roman" w:hAnsi="Times New Roman"/>
                  <w:sz w:val="18"/>
                  <w:szCs w:val="18"/>
                  <w:color w:val="0000EE"/>
                  <w:w w:val="96"/>
                </w:rPr>
                <w:t>WHERE YOU CAN FIND MORE INFORMATION; INCORPORATION BY REFERENCE</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06">
              <w:r>
                <w:rPr>
                  <w:rFonts w:ascii="Times New Roman" w:cs="Times New Roman" w:eastAsia="Times New Roman" w:hAnsi="Times New Roman"/>
                  <w:sz w:val="18"/>
                  <w:szCs w:val="18"/>
                  <w:color w:val="0000EE"/>
                  <w:w w:val="88"/>
                </w:rPr>
                <w:t>54</w:t>
              </w:r>
            </w:hyperlink>
          </w:p>
        </w:tc>
      </w:tr>
    </w:tbl>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accompanying prospectus supplement. We have not authorized anyone to provide you with additional or different information. If anyone provided you with additional or different information, you should not rely on it. We are not making an offer to sell these securities in any jurisdiction where the offer or sale is not permitted. You should assume that the information contained in this prospectus, any accompanying prospectus supplement and the documents incorporated by reference herein and therein is accurate only as of their respective dates or on other dates which are specified in those documents. Our business, financial condition, results of operations and prospects may have changed since those dates.</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 in accordance with General Instruction I.D. of Form S-3, using a "shelf" registration process for the delayed offering and sale of securities pursuant to Rule 415 under the Securities Act of 1933, as amended, or the Securities Act. Under the shelf process, we and/or the selling stockholders may, from time to time, sell the offered securities described in this prospectus in one or more offerings. This prospectus provides you with a general description of the securities we and/or the selling stockholders may offer. Each time we and/or the selling stockholders sell securities, we and/or the selling stockholders will provide a prospectus supplement containing specific information about the terms of the securities being offered and the specific manner in which they will be offered. The prospectus supplement may also add, update or change information contained in this prospectus.</w:t>
      </w:r>
    </w:p>
    <w:p>
      <w:pPr>
        <w:spacing w:after="0" w:line="195" w:lineRule="exact"/>
        <w:rPr>
          <w:sz w:val="20"/>
          <w:szCs w:val="20"/>
          <w:color w:val="auto"/>
        </w:rPr>
      </w:pPr>
    </w:p>
    <w:p>
      <w:pPr>
        <w:ind w:right="100" w:firstLine="348"/>
        <w:spacing w:after="0" w:line="296" w:lineRule="auto"/>
        <w:rPr>
          <w:sz w:val="20"/>
          <w:szCs w:val="20"/>
          <w:color w:val="auto"/>
        </w:rPr>
      </w:pPr>
      <w:r>
        <w:rPr>
          <w:rFonts w:ascii="Times New Roman" w:cs="Times New Roman" w:eastAsia="Times New Roman" w:hAnsi="Times New Roman"/>
          <w:sz w:val="16"/>
          <w:szCs w:val="16"/>
          <w:color w:val="auto"/>
        </w:rPr>
        <w:t>This prospectus and any accompanying prospectus supplement do not contain all of the information included in the registration statement. We have omitted parts of the registration statement in accordance with the rules and regulations of the SEC. For further information, we refer you to the registration statement on Form S-3 of which this prospectus is a part,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2" w:lineRule="exact"/>
        <w:rPr>
          <w:sz w:val="20"/>
          <w:szCs w:val="20"/>
          <w:color w:val="auto"/>
        </w:rPr>
      </w:pPr>
    </w:p>
    <w:p>
      <w:pPr>
        <w:ind w:right="200" w:firstLine="345"/>
        <w:spacing w:after="0" w:line="301" w:lineRule="auto"/>
        <w:rPr>
          <w:sz w:val="20"/>
          <w:szCs w:val="20"/>
          <w:color w:val="auto"/>
        </w:rPr>
      </w:pPr>
      <w:r>
        <w:rPr>
          <w:rFonts w:ascii="Times New Roman" w:cs="Times New Roman" w:eastAsia="Times New Roman" w:hAnsi="Times New Roman"/>
          <w:sz w:val="16"/>
          <w:szCs w:val="16"/>
          <w:color w:val="auto"/>
        </w:rPr>
        <w:t>You should read this prospectus together with any additional information you may need to make your investment decision. You should also read and carefully consider the information in the documents we have referred you to in "Where You Can Find More Information; Incorporation by Reference"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57" w:lineRule="exact"/>
        <w:rPr>
          <w:sz w:val="20"/>
          <w:szCs w:val="20"/>
          <w:color w:val="auto"/>
        </w:rPr>
      </w:pPr>
    </w:p>
    <w:p>
      <w:pPr>
        <w:ind w:right="80" w:firstLine="341"/>
        <w:spacing w:after="0" w:line="301" w:lineRule="auto"/>
        <w:rPr>
          <w:sz w:val="20"/>
          <w:szCs w:val="20"/>
          <w:color w:val="auto"/>
        </w:rPr>
      </w:pPr>
      <w:r>
        <w:rPr>
          <w:rFonts w:ascii="Times New Roman" w:cs="Times New Roman" w:eastAsia="Times New Roman" w:hAnsi="Times New Roman"/>
          <w:sz w:val="16"/>
          <w:szCs w:val="16"/>
          <w:color w:val="auto"/>
        </w:rPr>
        <w:t>As used in this prospectus, unless the context otherwise requires, the terms "SL Green," "we," "us," "our," "the Company," and "our company" refer to SL Green Realty Corp., all entities owned or controlled by SL Green Realty Corp., including SL Green Operating Partnership, L.P., our operating partnership or "SL Green Operating Partnership," and Reckson Operating Partnership, L.P., or "Reckson Operating Partnership." In addition, the term "properties" means those which we directly own by holding fee title, leasehold or otherwise or indirectly own, in whole or in part, by holding interests in entities that own such properties.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ABOUT SL GREEN REALTY CORP.</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SL Green Realty Corp. is a self-managed real estate investment trust, or REIT, with in-house capabilities in property management, acquisitions and dispositions, financing, development and redevelopment, construction and leasing. We were incorporated in Maryland in June 1997 for the purpose of continuing the commercial real estate business of S.L. Green Properties, Inc., our predecessor entity. S.L. Green Properties, Inc., which was founded in 1980 by Stephen L. Green, the Company's Chairman, had been engaged in the business of owning, managing, leasing, acquiring and repositioning office properties in Manhattan, a borough of New York City. Reckson Associates Realty Corp., or Reckson, and Reckson Operating Partnership, L.P., or ROP, are wholly-owned subsidiaries of SL Green Operating Partnership, L.P., the Operating Partnership.</w:t>
      </w:r>
    </w:p>
    <w:p>
      <w:pPr>
        <w:spacing w:after="0" w:line="193" w:lineRule="exact"/>
        <w:rPr>
          <w:sz w:val="20"/>
          <w:szCs w:val="20"/>
          <w:color w:val="auto"/>
        </w:rPr>
      </w:pPr>
    </w:p>
    <w:p>
      <w:pPr>
        <w:ind w:right="220" w:firstLine="341"/>
        <w:spacing w:after="0" w:line="262" w:lineRule="auto"/>
        <w:rPr>
          <w:sz w:val="20"/>
          <w:szCs w:val="20"/>
          <w:color w:val="auto"/>
        </w:rPr>
      </w:pPr>
      <w:r>
        <w:rPr>
          <w:rFonts w:ascii="Times New Roman" w:cs="Times New Roman" w:eastAsia="Times New Roman" w:hAnsi="Times New Roman"/>
          <w:sz w:val="18"/>
          <w:szCs w:val="18"/>
          <w:color w:val="auto"/>
        </w:rPr>
        <w:t>As of September 30, 2015, we owned the following interests in commercial office properties in the New York Metropolitan area, primarily in midtown Manhattan. Our investments in the New York Metropolitan area also include investments in Brooklyn, Long Island, Westchester County, Connecticut and New Jersey, which are collectively known as the Suburban properties: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w w:val="81"/>
              </w:rPr>
              <w:t>Total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4"/>
                <w:szCs w:val="14"/>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Manhattan</w:t>
            </w: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20,700,091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3,328,496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24,028,587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347,970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756,963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Redevelopment(2)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1,952,782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2,025,744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Fee Interest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783,530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21,965,576</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5,629,248</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27,594,824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Suburban</w:t>
            </w:r>
          </w:p>
        </w:tc>
        <w:tc>
          <w:tcPr>
            <w:tcW w:w="1300" w:type="dxa"/>
            <w:vAlign w:val="bottom"/>
            <w:gridSpan w:val="4"/>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Office(2)</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4,450,400</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705,641</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0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5,156,041</w:t>
            </w:r>
          </w:p>
        </w:tc>
        <w:tc>
          <w:tcPr>
            <w:tcW w:w="12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Development/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Redevelopment</w:t>
            </w: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4,503,400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5,209,041</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3"/>
              </w:rPr>
              <w:t>commercial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properties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26,468,976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6,334,889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32,803,865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Manhattan</w:t>
            </w:r>
          </w:p>
        </w:tc>
        <w:tc>
          <w:tcPr>
            <w:tcW w:w="13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762,587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2,210,233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2,972,820</w:t>
            </w:r>
          </w:p>
        </w:tc>
        <w:tc>
          <w:tcPr>
            <w:tcW w:w="12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Suburban</w:t>
            </w:r>
          </w:p>
        </w:tc>
        <w:tc>
          <w:tcPr>
            <w:tcW w:w="1300" w:type="dxa"/>
            <w:vAlign w:val="bottom"/>
            <w:gridSpan w:val="4"/>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66,611</w:t>
            </w:r>
          </w:p>
        </w:tc>
        <w:tc>
          <w:tcPr>
            <w:tcW w:w="12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29"/>
        </w:trPr>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Total residential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829,198</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2,210,233</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3,039,431</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92"/>
              </w:rPr>
              <w:t>Total portfolio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27,298,174</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0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8,545,122</w:t>
            </w:r>
          </w:p>
        </w:tc>
        <w:tc>
          <w:tcPr>
            <w:tcW w:w="9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0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35,843,296</w:t>
            </w:r>
          </w:p>
        </w:tc>
        <w:tc>
          <w:tcPr>
            <w:tcW w:w="126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520" w:hanging="531"/>
        <w:spacing w:after="0" w:line="241" w:lineRule="auto"/>
        <w:tabs>
          <w:tab w:leader="none" w:pos="16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occupancy for commercial properties represents the total occupied square feet divided by total available rentable square feet. The weighted average occupancy for residential properties represents the total occupied units divided by total available units.</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Manhattan redevelopment properties and two suburban office properties held for sale as of September 30, 2015.</w:t>
      </w:r>
    </w:p>
    <w:p>
      <w:pPr>
        <w:spacing w:after="0" w:line="122" w:lineRule="exact"/>
        <w:rPr>
          <w:rFonts w:ascii="Times New Roman" w:cs="Times New Roman" w:eastAsia="Times New Roman" w:hAnsi="Times New Roman"/>
          <w:sz w:val="14"/>
          <w:szCs w:val="14"/>
          <w:color w:val="auto"/>
        </w:rPr>
      </w:pPr>
    </w:p>
    <w:p>
      <w:pPr>
        <w:ind w:left="1680" w:right="300" w:hanging="531"/>
        <w:spacing w:after="0" w:line="234" w:lineRule="auto"/>
        <w:tabs>
          <w:tab w:leader="none" w:pos="16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2015, we owned a building that was comprised of approximately 270,132 square feet of retail space and approximately 222,855 square feet of residential space. For the purpose of this prospectus, we have included the building in the retail properties count and have bifurcated the square footage into the retail and residential components.</w:t>
      </w:r>
    </w:p>
    <w:p>
      <w:pPr>
        <w:spacing w:after="0" w:line="189"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As of September 30, 2015, we also managed an approximately 336,201 square foot office building owned by a third party and held debt and preferred equity investments with a book value of $1.5 billion.</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Our corporate offices are located in midtown Manhattan at 420 Lexington Avenue, New York, New York 10170. We can be contacted at (212) 594-2700. We maintain a website at www.slgreen.com. The information contained on or connected to our website is not incorporated by reference into, and you must not consider the information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SL GREEN OPERATING PARTNERSHIP, L.P.</w:t>
      </w:r>
    </w:p>
    <w:p>
      <w:pPr>
        <w:spacing w:after="0" w:line="227" w:lineRule="exact"/>
        <w:rPr>
          <w:sz w:val="20"/>
          <w:szCs w:val="20"/>
          <w:color w:val="auto"/>
        </w:rPr>
      </w:pPr>
    </w:p>
    <w:p>
      <w:pPr>
        <w:ind w:right="220" w:firstLine="351"/>
        <w:spacing w:after="0" w:line="289" w:lineRule="auto"/>
        <w:rPr>
          <w:sz w:val="20"/>
          <w:szCs w:val="20"/>
          <w:color w:val="auto"/>
        </w:rPr>
      </w:pPr>
      <w:r>
        <w:rPr>
          <w:rFonts w:ascii="Times New Roman" w:cs="Times New Roman" w:eastAsia="Times New Roman" w:hAnsi="Times New Roman"/>
          <w:sz w:val="16"/>
          <w:szCs w:val="16"/>
          <w:color w:val="auto"/>
        </w:rPr>
        <w:t>Substantially all of our assets (including Reckson Operating Partnership) are held by, and our operations are conducted through, our operating partnership, SL Green Operating Partnership. SL Green is the sole general partner of SL Green Operating Partnership. As of September 30, 2015, the Company owned</w:t>
      </w:r>
    </w:p>
    <w:p>
      <w:pPr>
        <w:spacing w:after="0" w:line="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96.26% of the outstanding general and limited partnership interest in SL Green Operating Partnership. As of September 30, 2015, the Company also owned 9,200,000 Series I Preferred Units of SL Green Operating Partnership. As of September 30, 2015, non-controlling investors held, in aggregate, a 3.74% limited partnership interest in SL Green Operating Partnership.</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RECKSON OPERATING PARTNERSHIP, L.P.</w:t>
      </w:r>
    </w:p>
    <w:p>
      <w:pPr>
        <w:spacing w:after="0" w:line="227"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Reckson Operating Partnership is engaged in the acquisition, ownership, management and operation of commercial and residential real estate properties, principally office properties, and also owns land for future development, located in New York City, Westchester County, Connecticut and New Jersey, which collectively is also known as the New York Metropolitan area.</w:t>
      </w:r>
    </w:p>
    <w:p>
      <w:pPr>
        <w:spacing w:after="0" w:line="186"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Reckson Operating Partnership commenced operations on June 2, 1995. Wyoming Acquisition GP LLC, a wholly owned subsidiary of SL Green Operating Partnership, is the sole general partner of Reckson Operating Partnership. The sole limited partner of Reckson Operating Partnership is SL Green Operating Partnership.</w:t>
      </w:r>
    </w:p>
    <w:p>
      <w:pPr>
        <w:spacing w:after="0" w:line="186" w:lineRule="exact"/>
        <w:rPr>
          <w:sz w:val="20"/>
          <w:szCs w:val="20"/>
          <w:color w:val="auto"/>
        </w:rPr>
      </w:pPr>
    </w:p>
    <w:p>
      <w:pPr>
        <w:ind w:right="440" w:firstLine="341"/>
        <w:spacing w:after="0" w:line="262" w:lineRule="auto"/>
        <w:rPr>
          <w:sz w:val="20"/>
          <w:szCs w:val="20"/>
          <w:color w:val="auto"/>
        </w:rPr>
      </w:pPr>
      <w:r>
        <w:rPr>
          <w:rFonts w:ascii="Times New Roman" w:cs="Times New Roman" w:eastAsia="Times New Roman" w:hAnsi="Times New Roman"/>
          <w:sz w:val="18"/>
          <w:szCs w:val="18"/>
          <w:color w:val="auto"/>
        </w:rPr>
        <w:t>As of September 30, 2015, Reckson Operating Partnership owned the following interests in commercial and residential properties in the New York Metropolitan area, primarily in midtown Manhattan. Our investments in the New York Metropolitan area also include investments in Brooklyn, Westchester County, Connecticut and New Jersey, which are collectively known as the Suburban properties:</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65"/>
        </w:trPr>
        <w:tc>
          <w:tcPr>
            <w:tcW w:w="3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7"/>
                <w:szCs w:val="17"/>
                <w:color w:val="auto"/>
              </w:rPr>
            </w:pPr>
          </w:p>
        </w:tc>
        <w:tc>
          <w:tcPr>
            <w:tcW w:w="126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color w:val="auto"/>
                <w:w w:val="95"/>
              </w:rPr>
              <w:t>Office</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8,463,245</w:t>
            </w:r>
          </w:p>
        </w:tc>
        <w:tc>
          <w:tcPr>
            <w:tcW w:w="112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Retail(2)(3)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352,892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Fee Interest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197,654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9,013,791</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Suburban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Office(4)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3,417,900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Retail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3,469,900</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Commercial Properties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12,483,691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Manhattan</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Residential(2)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222,855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12,706,546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hanging="540"/>
        <w:spacing w:after="0" w:line="262" w:lineRule="auto"/>
        <w:tabs>
          <w:tab w:leader="none" w:pos="2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occupancy for commercial properties represents the total leased square feet divided by total available rentable square feet. The weighted average occupancy for residential properties represents the total occupied units divided by total available units.</w:t>
      </w:r>
    </w:p>
    <w:p>
      <w:pPr>
        <w:spacing w:after="0" w:line="213" w:lineRule="exact"/>
        <w:rPr>
          <w:rFonts w:ascii="Times New Roman" w:cs="Times New Roman" w:eastAsia="Times New Roman" w:hAnsi="Times New Roman"/>
          <w:sz w:val="18"/>
          <w:szCs w:val="18"/>
          <w:color w:val="auto"/>
        </w:rPr>
      </w:pPr>
    </w:p>
    <w:p>
      <w:pPr>
        <w:ind w:left="2260" w:right="20" w:hanging="540"/>
        <w:spacing w:after="0" w:line="275" w:lineRule="auto"/>
        <w:tabs>
          <w:tab w:leader="none" w:pos="2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2015, Reckson Operating Partnership owned a building that was comprised of approximately 270,132 square feet of retail space and approximately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260"/>
        <w:spacing w:after="0" w:line="275" w:lineRule="auto"/>
        <w:rPr>
          <w:sz w:val="20"/>
          <w:szCs w:val="20"/>
          <w:color w:val="auto"/>
        </w:rPr>
      </w:pPr>
      <w:r>
        <w:rPr>
          <w:rFonts w:ascii="Times New Roman" w:cs="Times New Roman" w:eastAsia="Times New Roman" w:hAnsi="Times New Roman"/>
          <w:sz w:val="18"/>
          <w:szCs w:val="18"/>
          <w:color w:val="auto"/>
        </w:rPr>
        <w:t>222,855 square feet of residential space. For the purpose of this prospectus, we have included the building in the retail properties count and have bifurcated the square footage into the retail and residential components.</w:t>
      </w:r>
    </w:p>
    <w:p>
      <w:pPr>
        <w:spacing w:after="0" w:line="187" w:lineRule="exact"/>
        <w:rPr>
          <w:sz w:val="20"/>
          <w:szCs w:val="20"/>
          <w:color w:val="auto"/>
        </w:rPr>
      </w:pPr>
    </w:p>
    <w:p>
      <w:pPr>
        <w:ind w:left="2260" w:right="120" w:hanging="540"/>
        <w:spacing w:after="0" w:line="275" w:lineRule="auto"/>
        <w:tabs>
          <w:tab w:leader="none" w:pos="2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unconsolidated joint venture retail properties at 131-137 Spring Street comprised of approximately 68,342 square feet.</w:t>
      </w:r>
    </w:p>
    <w:p>
      <w:pPr>
        <w:spacing w:after="0" w:line="200" w:lineRule="exact"/>
        <w:rPr>
          <w:rFonts w:ascii="Times New Roman" w:cs="Times New Roman" w:eastAsia="Times New Roman" w:hAnsi="Times New Roman"/>
          <w:sz w:val="18"/>
          <w:szCs w:val="18"/>
          <w:color w:val="auto"/>
        </w:rPr>
      </w:pPr>
    </w:p>
    <w:p>
      <w:pPr>
        <w:ind w:left="2260" w:hanging="540"/>
        <w:spacing w:after="0"/>
        <w:tabs>
          <w:tab w:leader="none" w:pos="2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office property as held for sale at September 30, 2015.</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As of September 30, 2015, Reckson Operating Partnership also held debt, preferred equity and other investments with a book value of $1.6 billion.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Investing in our securities involves risks. You should carefully consider the risks and uncertainties described under the heading "Risk Factors" included in</w:t>
      </w:r>
    </w:p>
    <w:p>
      <w:pPr>
        <w:spacing w:after="0" w:line="44" w:lineRule="exact"/>
        <w:rPr>
          <w:sz w:val="20"/>
          <w:szCs w:val="20"/>
          <w:color w:val="auto"/>
        </w:rPr>
      </w:pPr>
    </w:p>
    <w:p>
      <w:pPr>
        <w:ind w:firstLine="8"/>
        <w:spacing w:after="0" w:line="251" w:lineRule="auto"/>
        <w:tabs>
          <w:tab w:leader="none" w:pos="2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 Green's and SL Green Operating Partnership's Annual Report on Form 10-K for the fiscal year ended December 31, 2014, (ii) Reckson Operating Partnership's Annual Report on Form 10-K for the fiscal year ended December 31, 2014, (iii) SL Green's Quarterly Report on Form 10-Q for the quarter ended June 30, 2015 and (iv) the other information contained in this document, in an applicable prospectus supplement or incorporated by reference herein or therein, before purchasing any of our securities. See "Where You Can Find More Information; Incorporation by Reference" in this prospectus. These risks are not the only ones faced by us. Additional risks not presently known or that are currently deemed immaterial could also materially and adversely affect our financial condition, results of operations, business and prospects. In connection with the forward-looking statements that appear in this prospectus, you should carefully review the factors referred to above and the cautionary statements referred to in "Forward-Looking Statements May Prove Inaccurate" beginning on page 5 of this prospectus. Actual results could differ materially from those anticipated in these forward-looking statements as a result of certain factors, including the risks faced by us described above and in the documents incorporated herein by reference.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 MAY PROVE INACCURATE</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and certain documents incorporated by reference herein include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prospectus and certain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Manhattan, Brooklyn, Westchester County, Connecticut, Long Island and New Jersey office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192"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86" w:lineRule="exact"/>
        <w:rPr>
          <w:sz w:val="20"/>
          <w:szCs w:val="20"/>
          <w:color w:val="auto"/>
        </w:rPr>
      </w:pPr>
    </w:p>
    <w:p>
      <w:pPr>
        <w:ind w:right="48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certain documents incorporated by reference herein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200"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certain geographic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developments and redevelopment, including the cost of construction delays and cost overruns;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(debt and equity);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74"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Other factors and risks to our business, many of which are beyond our control, are described in our filings with the Commission. Except as required by law, we undertake no obligation to publicly update or revise any forward-looking statements, whether as a result of future events, new information or otherwise. In light of these risks and uncertainties, the forward-looking events and circumstances discussed in this prospectus and the incorporated documents might not occur and actual results, performance or achievement could differ materially from that anticipated or implied in the forward-looking statements.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intend to use the net proceeds from the sale of the securities offered hereby for general corporate purposes and working capital, which may include the repayment of existing indebtedness, new investment opportunities, the development or acquisition of additional properties (including through the acquisition of individual properties, portfolios and companies) as suitable opportunities arise and the renovation, expansion and improvement of our existing properties. Unless otherwise set forth in a prospectus supplement, we will not receive any proceeds in the event that the securities are sold by a selling stockholder. Further details relating to the use of the net proceeds from any particular offering of securities will be set forth in the applicable prospectus supplement.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 AND PREFERRED STOCK DIVIDENDS</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shows the ratios of earnings to combined fixed charges and preferred stock dividends for SL Green and SL Green Operating Partnership, respectively:</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60" w:type="dxa"/>
            <w:vAlign w:val="bottom"/>
          </w:tcPr>
          <w:p>
            <w:pPr>
              <w:spacing w:after="0"/>
              <w:rPr>
                <w:sz w:val="2"/>
                <w:szCs w:val="2"/>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 Green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SL Green Operating Partnership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Reckson Operating Partnership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ratios of earnings to combined fixed charges and preferred stock dividends were computed by dividing earnings by fixed charges and preferred stock dividends. For the purpose of calculating the ratios, the earnings have been calculated by adding fixed charges, excluding capitalized interest, to income or loss from continuing operations before adjustment for non-controlling interests plus distributions from unconsolidated joint ventures, loss on equity investment and marketable securities and the cumulative effect of changes in accounting principles. Fixed charges and preferred stock dividends consist of all interest, whether expensed or capitalized, including the amortization of debt issuance costs, rental expense deemed to represent interest expense and preferred dividends paid on SL Green's Series I Preferred Stock, which was issued on August 7, 2012.</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PRICE RANGE OF COMMON STOCK AND DIVIDEND POLICY</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NYSE under the symbol "SLG." The following table sets forth, for the periods indicated, the reported high and low closing prices in U.S. dollars for our common stock on the NYSE and dividends declared in respect of our common stock for the periods indicated. On December 16, 2015, the last reported sale price of our common stock on the NYSE was $114.31 per share. As of December 16, 2015, there were approximately 318 holders of record of our common stock.</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Dividend</w:t>
            </w:r>
          </w:p>
        </w:tc>
      </w:tr>
      <w:tr>
        <w:trPr>
          <w:trHeight w:val="165"/>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Declared</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131.64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 (through December 16, 2015)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0.72</w:t>
            </w:r>
          </w:p>
        </w:tc>
      </w:tr>
    </w:tbl>
    <w:p>
      <w:pPr>
        <w:spacing w:after="0" w:line="202" w:lineRule="exact"/>
        <w:rPr>
          <w:sz w:val="20"/>
          <w:szCs w:val="20"/>
          <w:color w:val="auto"/>
        </w:rPr>
      </w:pPr>
    </w:p>
    <w:p>
      <w:pPr>
        <w:ind w:firstLine="341"/>
        <w:spacing w:after="0" w:line="301" w:lineRule="auto"/>
        <w:rPr>
          <w:sz w:val="20"/>
          <w:szCs w:val="20"/>
          <w:color w:val="auto"/>
        </w:rPr>
      </w:pPr>
      <w:r>
        <w:rPr>
          <w:rFonts w:ascii="Times New Roman" w:cs="Times New Roman" w:eastAsia="Times New Roman" w:hAnsi="Times New Roman"/>
          <w:sz w:val="16"/>
          <w:szCs w:val="16"/>
          <w:color w:val="auto"/>
        </w:rPr>
        <w:t>Any dividends declared in one quarter will be paid during the subsequent quarter. We expect to continue our policy of distributing our taxable income through regular cash dividends on a quarterly basis, although there is no assurance as to the amount of future dividends because they depend on our future earnings, capital requirements and financial condition. See Item 7, "Management's Discussion and Analysis of Financial Condition and Results of Operations— Dividends" in our Annual Report on Form 10-K for the fiscal year ended December 31, 2014 for additional information regarding our dividend policy.</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SL Green's common stock is only a summary. This description is subject to, and qualified in its entirety by reference to, SL Green's charter and bylaws, each as amended, each of which has previously been filed with the SEC and which we incorporate by reference as exhibits to the registration statement of which this prospectus is a part, and the Maryland General Corporation Law (the "MGCL"). The terms "we," "us" and "our" as such terms are used in the following description of common stock refer to SL Green Realty Corp. unless the context requires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Our charter provides that we may issue up to 160,000,000 shares of common stock, $0.01 par value per share. Subject to the provisions of the charter regarding excess stock, each outstanding share of common stock entitles the holder to one vote on all matters submitted to a vote of stockholders, including the election of directors, and, except as provided with respect to any other class or series of stock, the holders of this stock will possess the exclusive voting power. There is no cumulative voting in the election of directors, which means that the holders of a majority of the outstanding shares of common stock can elect all of the directors then standing for election and the holders of the remaining shares will not be able to elect any directors. As of December 16, 2015, there were 99,750,559 shares of common stock outstanding.</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addition, as of December 16, 2015, there were 1,248,146 shares of our common stock underlying options granted under our equity compensation plans and 2.2 million shares of common stock reserved and available for future issuance under our equity compensation plans, 3,829,014 shares of our common stock issuable upon redemption of SL Green Operating Partnership's units of limited partnership interest, 57,998 shares of our common stock issuable upon exchange of SL Green Operating Partnership's outstanding 3.00% Exchangeable Senior Notes due 2027 and 4,234,254 shares of our common stock issuable upon exchange of SL Green Operating Partnership's outstanding 3.00% Exchangeable Senior Notes due 2017, respectively, in each case assuming full redemption or exchange, as the case may be, for shares of our common stock at the exchange rate in effect on the date hereof.</w:t>
      </w:r>
    </w:p>
    <w:p>
      <w:pPr>
        <w:spacing w:after="0" w:line="193"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All shares of common stock offered hereby have been duly authorized, and, when issued in exchange for the consideration therefor, will be fully paid and nonassessable. Subject to the preferential rights of any other shares or series of stock and to the provisions of the charter regarding excess stock, holders of shares of common stock are entitled to receive dividends on this stock if, as and when authorized by our board of directors out of assets legally available therefor and to share ratably in our assets legally available for distribution to our stockholders in the event of our liquidation, dissolution or winding up after payment of or adequate provision for all of our known debts and liabilities.</w:t>
      </w:r>
    </w:p>
    <w:p>
      <w:pPr>
        <w:spacing w:after="0" w:line="193"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Holders of shares of common stock have no preference, conversion, exchange, sinking fund, redemption or appraisal rights and have no preemptive rights to subscribe for any of our securities. Subject to the provisions of the charter regarding excess stock, shares of common stock will have equal dividend, liquidation and other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Charter</w:t>
      </w:r>
    </w:p>
    <w:p>
      <w:pPr>
        <w:spacing w:after="0" w:line="227"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Our charter authorizes our board of directors to reclassify any unissued shares of common stock into other classes or series of stock and to establish the number of shares in each class or series and to set the preferences, conversion and other rights, voting powers, restrictions, limitations and restrictions on ownership, limitations as to dividends or other distributions, qualifications and terms or conditions of redemption for each class or series.</w:t>
      </w:r>
    </w:p>
    <w:p>
      <w:pPr>
        <w:spacing w:after="0" w:line="186"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each class constituting approximately one-third of the total number of directors, with the classes serving staggered terms. 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of directors and our business strategies and policies as determined by our board of directors. The use of a staggered board may delay or defer a change in control of our company or removal of incumbent management.</w:t>
      </w:r>
    </w:p>
    <w:p>
      <w:pPr>
        <w:spacing w:after="0" w:line="190"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Our charter also provides that, except for any directors who may be elected by holders of a class or series of capital stock other than our common stock, directors may be removed only for cause, as defined in our charter, and only by the affirmative vote of stockholders holding at least a majority of all the votes entitled to be cast generally for the election of directors. Vacancies on the board of directors may be filled only by the affirmative vote of a majority of the remaining directors.</w:t>
      </w:r>
    </w:p>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February 19, 2010, we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our Nominating and Corporate Governance Committee. Our Nominating and Corporate Governance Committee will consider the resignation and, within 60 days following the date of the stockholders' meeting at which the election occurred, will make a recommendation to our board of directors concerning the acceptance or rejection of the resignation.</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the policy, our board of directors will take formal action on the recommendation no later than 90 days following the date of the stockholders' meeting. In considering the recommendation, our board of directors will consider the information, factors and alternatives considered by the Nominating and Corporate Governance Committee and such additional factors, information and alternatives as the board deems relevant. We will publicly disclose, in a Form 8-K filed with the SEC, the board of directors' decision within four business days after the decision is made. Our board of directors also will provide, if applicable, its reason or reasons for rejecting the tendered resignation.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For us to qualify as a REIT under the Internal Revenue Code of 1986, as amended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board of directors has adopted, and the stockholders prior to the initial public offering approved, provisions in our charter restricting the ownership or acquisition of shares of our capital stock. See "Restrictions on Ownership of Capital Stock" beginning on page 31 of this prospectus.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Computershare Shareowner Services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SL Green's preferred stock is only a summary. The specific terms of any series of preferred stock will be described in the applicable prospectus supplement. This description and the description contained in any prospectus supplement are subject to and qualified in their entirety by reference to SL Green's charter, which includes the articles supplementary relating to each series of preferred stock, and SL Green's bylaws, as amended, each of which has previously been filed with the SEC and which we incorporate by reference as exhibits to the registration statement of which this prospectus is a part, and the MGCL. The terms "we," "us" and "our" as such terms are used in the following description of preferred stock refer to SL Green Realty Corp. unless the context requires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Our charter provides that we may issue up to 25,000,000 shares of preferred stock, $0.01 par value per share which may be classified and designated in one or more series by our board of directors. As of December 16, 2015, there were 9,200,000 shares of preferred stock outstanding, consisting of shares of 6.50% Series I Preferred Stock. A description of our Series I Preferred Stock is set forth in our registration statement on Form 8-A filed with the SEC on August 10, 2012, which is incorporated herein by reference.</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preferred stock sets forth general terms and provisions of the preferred stock to which any prospectus supplement may relate. The statements below describing the preferred stock are in all respects subject to and qualified in their entirety by reference to the applicable provisions of our charter and bylaws and any applicable articles supplementary designating terms of a series of preferred stock.</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dividend rights and other rights of holders of common stock. Our board of directors could establish another series of preferred stock that could, depending on the terms of the series, delay, defer or prevent a transaction or a change in control of our company that might involve a premium price for the common stock or otherwise be in the best interest of the holders thereof. Management believes that the availability of preferred stock will provide us with increased flexibility in structuring possible future financings and acquisitions and in meeting other needs that might arise.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Subject to the limitations prescribed by our charter, our board of directors is authorized to fix the number of shares constituting each series of preferred stock and the designations and powers, preferences and relative, participating, optional or other special rights and qualifications, limitations or restrictions thereof, including provisions as may be desired concerning voting, redemption, dividends, dissolution or the distribution of assets, conversion or exchange, and other subjects or matters as may be fixed by resolution of the board of directors. The preferred stock will, when issued in exchange for the consideration therefor, be fully paid and nonassessable by us and will have no preemptive rights.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 is made to the prospectus supplement relating to the series of preferred stock offered thereby for the specific terms thereof, including:</w:t>
      </w:r>
    </w:p>
    <w:p>
      <w:pPr>
        <w:spacing w:after="0" w:line="23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preferred stock, the liquidation preference per share of the preferred stock and the offering price of the preferred stock;</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day(s) or method(s) of calculation thereof applicable to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the preferred stock shall accumulate, if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252"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may or will be convertible into our common stock, including the conversion price or manner of calculation thereof;</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our affairs;</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each case as may be appropriate to preserve the status of our company as a REIT;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considerations applicable to the preferred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with respect to dividend rights and rights upon liquidation, dissolution or winding up of our company, rank:</w:t>
      </w:r>
    </w:p>
    <w:p>
      <w:pPr>
        <w:spacing w:after="0" w:line="187" w:lineRule="exact"/>
        <w:rPr>
          <w:sz w:val="20"/>
          <w:szCs w:val="20"/>
          <w:color w:val="auto"/>
        </w:rPr>
      </w:pPr>
    </w:p>
    <w:p>
      <w:pPr>
        <w:ind w:left="1080" w:right="10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common stock and to all equity securities issued by us the terms of which provide that the equity securities shall rank junior to the preferred stock;</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other than those referred to in clauses (a) and (c);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which the terms of the preferred stock provide will rank senior to it. The term "equity securities" does not include convertible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have the rights with respect to payment of dividends set forth below.</w:t>
      </w:r>
    </w:p>
    <w:p>
      <w:pPr>
        <w:spacing w:after="0" w:line="174"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Holders of the preferred stock of each series will be entitled to receive, when, as and if declared by our board of directors, out of our assets legally available for payment, cash dividends in the amounts and on the dates as will be set forth in, or pursuant to, the applicable prospectus supplement. Each dividend shall be payable to holders of record as they appear on our share transfer books on the record dates as shall be fixed by our board of directors.</w:t>
      </w:r>
    </w:p>
    <w:p>
      <w:pPr>
        <w:spacing w:after="0" w:line="186"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provided in the applicable prospectus supplement. Dividends, if cumulative, will be cumulative from and after the date set forth in the applicable prospectus supplement. If the board of directors fails to declare a dividend payable on a dividend payment date on any series of preferred stock for which dividends are non-cumulative, then the holders of such series of preferred stock will have no right to receive a dividend in respect of the related dividend period and we will have no obligation to pay the dividend accrued for the period, whether or not dividends on such series of preferred stock are declared payable on any future dividend payment date.</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If preferred stock of any series is outstanding, no full dividends will be declared or paid or set apart for payment on any of our capital stock of any other series ranking, as to dividends, on a parity with or junior to the preferred stock of such series for any period unless:</w:t>
      </w:r>
    </w:p>
    <w:p>
      <w:pPr>
        <w:spacing w:after="0" w:line="187" w:lineRule="exact"/>
        <w:rPr>
          <w:sz w:val="20"/>
          <w:szCs w:val="20"/>
          <w:color w:val="auto"/>
        </w:rPr>
      </w:pPr>
    </w:p>
    <w:p>
      <w:pPr>
        <w:ind w:left="1080" w:right="26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has a cumulative dividend, full cumulative dividends have been or contemporaneously are declared and paid or declared and a sum sufficient for the payment thereof set apart for the payment for all past dividend periods; or</w:t>
      </w:r>
    </w:p>
    <w:p>
      <w:pPr>
        <w:spacing w:after="0" w:line="200"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full dividends for the then current dividend period have been or contemporaneously are declared and paid or declared and a sum sufficient for the payment thereof set apart for the payment on the preferred stock of such series.</w:t>
      </w:r>
    </w:p>
    <w:p>
      <w:pPr>
        <w:spacing w:after="0" w:line="186"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When dividends are not paid in full or a sum sufficient for the full payment is not so set apart upon preferred stock of any series and the shares of any other series of preferred stock ranking on a parity as to dividends with the preferred stock of such series, all dividends declared upon the preferred stock of such series and any other series of preferred stock ranking on a parity as to dividends with the preferred stock shall be declared pro rata so that the amount of dividends declared per share of preferred stock of such series and the other series of preferred stock shall in all cases bear to each other the same ratio that accrued dividends per share on the preferred stock of such series and the other series of preferred stock which shall not include any accumulation in respect of unpaid dividends for prior dividend periods if the preferred stock, does not have a cumulative dividend, bear to each other. No interest, or sum of money in lieu of interest, shall be payable in respect of any dividend payment or payments on preferred stock of the series which may be in arrears.</w:t>
      </w:r>
    </w:p>
    <w:p>
      <w:pPr>
        <w:spacing w:after="0" w:line="195" w:lineRule="exact"/>
        <w:rPr>
          <w:sz w:val="20"/>
          <w:szCs w:val="20"/>
          <w:color w:val="auto"/>
        </w:rPr>
      </w:pPr>
    </w:p>
    <w:p>
      <w:pPr>
        <w:ind w:right="100" w:firstLine="351"/>
        <w:spacing w:after="0" w:line="289" w:lineRule="auto"/>
        <w:rPr>
          <w:sz w:val="20"/>
          <w:szCs w:val="20"/>
          <w:color w:val="auto"/>
        </w:rPr>
      </w:pPr>
      <w:r>
        <w:rPr>
          <w:rFonts w:ascii="Times New Roman" w:cs="Times New Roman" w:eastAsia="Times New Roman" w:hAnsi="Times New Roman"/>
          <w:sz w:val="16"/>
          <w:szCs w:val="16"/>
          <w:color w:val="auto"/>
        </w:rPr>
        <w:t>Except as provided in the immediately preceding paragraph, unless (a) if a series of preferred stock has a cumulative dividend, full cumulative dividends on the preferred stock of such series have been or contemporaneously are declared and paid or declared and a sum sufficient for the payment thereof set apart for payment for all past dividend periods, and (b) if such series of preferred stock does not have a cumulative dividend, full dividends on the preferred stock of the series have been or contemporaneously are declared and paid or declared and a sum sufficient for the payment thereof set apart for payment for the then current dividend period, no dividends, other than in shares of common stock or other capital stock ranking junior to the preferred stock of such series as to dividends and upon liquidation, shall be declared or paid or set aside for payment or other distribution shall be declared or made upon the common stock, or any of our other capital stock ranking junior to or on a parity with the preferred stock of such series as to dividends or upon liquidation, nor shall any shares of common stock, or any other of our capital stock ranking junior to or on a parity with the preferred stock of such series as to dividends or upon liquidation, be redeemed, purchased or otherwise acquired for any consideration or any moneys be paid to or made available for a sinking fund for the redemption of any of the shares by us except:</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Redemption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by conversion into or exchange for other of our capital stock ranking junior to the preferred stock of such series as to dividends and upon liquidation; 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redemptions for the purpose of preserving our status as a REIT.</w:t>
      </w:r>
    </w:p>
    <w:p>
      <w:pPr>
        <w:spacing w:after="0" w:line="607" w:lineRule="exact"/>
        <w:rPr>
          <w:sz w:val="20"/>
          <w:szCs w:val="20"/>
          <w:color w:val="auto"/>
        </w:rPr>
      </w:pPr>
    </w:p>
    <w:p>
      <w:pPr>
        <w:sectPr>
          <w:pgSz w:w="11900" w:h="16838" w:orient="portrait"/>
          <w:cols w:equalWidth="0" w:num="2">
            <w:col w:w="920" w:space="160"/>
            <w:col w:w="10340"/>
          </w:cols>
          <w:pgMar w:left="240" w:top="125" w:right="239" w:bottom="1440" w:gutter="0" w:footer="0" w:header="0"/>
          <w:type w:val="continuous"/>
        </w:sectPr>
      </w:pPr>
    </w:p>
    <w:p>
      <w:pPr>
        <w:spacing w:after="0" w:line="50"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If so provided in the applicable prospectus supplement, the preferred stock will be subject to mandatory redemption or redemption at our option, as a whole or in part, in each case upon the terms, at the times and at the redemption prices set forth in the prospectus supplement.</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such series of preferred stock that shall be redeemed by us in each year commencing after a date to be specified, at a redemption price per share to be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specified, together with an amount equal to all accumulated and unpaid dividends thereon which shall not, if the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is payable only from the net proceeds of the issuance of our capital stock, the terms of the preferred stock may provide that, if no capital stock shall have been issued or to the extent the net proceeds from any issuance are insufficient to pay in full the aggregate redemption price then due, the preferred stock shall automatically and mandatorily be converted into the applicable capital stock of our company pursuant to conversion provisions specified in the applicable prospectus supplement.</w:t>
      </w:r>
    </w:p>
    <w:p>
      <w:pPr>
        <w:spacing w:after="0" w:line="165" w:lineRule="exact"/>
        <w:rPr>
          <w:sz w:val="20"/>
          <w:szCs w:val="20"/>
          <w:color w:val="auto"/>
        </w:rPr>
      </w:pPr>
    </w:p>
    <w:p>
      <w:pPr>
        <w:ind w:right="60" w:firstLine="351"/>
        <w:spacing w:after="0" w:line="284" w:lineRule="auto"/>
        <w:rPr>
          <w:sz w:val="20"/>
          <w:szCs w:val="20"/>
          <w:color w:val="auto"/>
        </w:rPr>
      </w:pPr>
      <w:r>
        <w:rPr>
          <w:rFonts w:ascii="Times New Roman" w:cs="Times New Roman" w:eastAsia="Times New Roman" w:hAnsi="Times New Roman"/>
          <w:sz w:val="16"/>
          <w:szCs w:val="16"/>
          <w:color w:val="auto"/>
        </w:rPr>
        <w:t xml:space="preserve">Notwithstanding the foregoing, unless (a) if a series of preferred stock has a cumulative dividend, full cumulative dividends on all shares of such series of preferred stock shall have been or contemporaneously are declared and paid or declared and a sum sufficient for the payment thereof set apart for payment for all past dividend periods, and (b) if a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no shares of any series of preferred stock ranking junior to, or on parity with, such series shall be redeemed unless all outstanding preferred stock of such series is simultaneously redeemed;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foregoing shall not prevent the purchase or acquisition of preferred stock of such series to preserve our REIT status or pursuant to a purchase or exchange offer made on the same terms to holders of all outstanding preferred stock of such series. In addition, unless</w:t>
      </w:r>
    </w:p>
    <w:p>
      <w:pPr>
        <w:spacing w:after="0" w:line="1" w:lineRule="exact"/>
        <w:rPr>
          <w:sz w:val="20"/>
          <w:szCs w:val="20"/>
          <w:color w:val="auto"/>
        </w:rPr>
      </w:pPr>
    </w:p>
    <w:p>
      <w:pPr>
        <w:ind w:firstLine="8"/>
        <w:spacing w:after="0" w:line="252"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series of preferred stock has a cumulative dividend, full cumulative dividends on such series of preferred stock have been or contemporaneously are declared and paid or declared and a sum sufficient for the payment thereof set apart for payment for all past dividend periods, and (y) if such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we shall not purchase or otherwise acquire, directly or indirectly, any shares of preferred stock ranking junior to, or on parity with, such series except by conversion into or exchange for our capital stock ranking junior to the preferred stock of such series as to dividends and upon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prevent the purchase or acquisition of preferred stock of such series to preserve our REIT status or pursuant to a purchase or exchange offer made on the same terms to holders of all outstanding preferred stock of such series.</w:t>
      </w:r>
    </w:p>
    <w:p>
      <w:pPr>
        <w:spacing w:after="0" w:line="19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the number of shares to be redeemed will be determined by us and the shares may be redeemed pro rata from the holders of record of the shares in proportion to the number of the shares held or for which redemption is requested by the holder, with adjustments to avoid redemption of fractional shares, or by lot in a manner determined by us.</w:t>
      </w:r>
    </w:p>
    <w:p>
      <w:pPr>
        <w:spacing w:after="0" w:line="18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Notice of redemption will be mailed at least 30 days but not more than 60 days before the redemption date to each holder of record of preferred stock of any series to be redeemed at the address shown on our share transfer books. Each notice shall state:</w:t>
      </w:r>
    </w:p>
    <w:p>
      <w:pPr>
        <w:spacing w:after="0" w:line="187"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the preferred stock to be redeemed;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38" w:lineRule="exact"/>
        <w:rPr>
          <w:rFonts w:ascii="Times New Roman" w:cs="Times New Roman" w:eastAsia="Times New Roman" w:hAnsi="Times New Roman"/>
          <w:sz w:val="18"/>
          <w:szCs w:val="18"/>
          <w:color w:val="auto"/>
        </w:rPr>
      </w:pPr>
    </w:p>
    <w:p>
      <w:pPr>
        <w:ind w:left="5620" w:right="1940" w:hanging="5072"/>
        <w:spacing w:after="0" w:line="525" w:lineRule="auto"/>
        <w:tabs>
          <w:tab w:leader="none" w:pos="10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the preferred stock are to be surrendered for payment of the redemption price;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accumulate on the redemption date;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conversion rights, if any, as to the shares shall terminate.</w:t>
      </w:r>
    </w:p>
    <w:p>
      <w:pPr>
        <w:spacing w:after="0" w:line="225" w:lineRule="exact"/>
        <w:rPr>
          <w:sz w:val="20"/>
          <w:szCs w:val="20"/>
          <w:color w:val="auto"/>
        </w:rPr>
      </w:pPr>
    </w:p>
    <w:p>
      <w:pPr>
        <w:ind w:right="280" w:firstLine="351"/>
        <w:spacing w:after="0" w:line="256" w:lineRule="auto"/>
        <w:rPr>
          <w:sz w:val="20"/>
          <w:szCs w:val="20"/>
          <w:color w:val="auto"/>
        </w:rPr>
      </w:pPr>
      <w:r>
        <w:rPr>
          <w:rFonts w:ascii="Times New Roman" w:cs="Times New Roman" w:eastAsia="Times New Roman" w:hAnsi="Times New Roman"/>
          <w:sz w:val="18"/>
          <w:szCs w:val="18"/>
          <w:color w:val="auto"/>
        </w:rPr>
        <w:t>If fewer than all the shares of preferred stock of any series are to be redeemed, the notice mailed to each holder thereof shall also specify the number of shares of preferred stock to be redeemed from each holder. If notice of redemption of any preferred stock has been given and if the funds necessary for the redemption have been set aside by us in trust for the benefit of the holders of any preferred stock so called for redemption, then from and after the redemption date dividends will cease to accumulate on the preferred stock, and all rights of the holders of the preferred stock will terminate, except the right to receive the redemption price.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Upon any voluntary or involuntary liquidation, dissolution or winding up of our affairs, then, before any distribution or payment shall be made to the holders of any common stock or any other class or series of our capital stock ranking junior to the preferred stock of such series in the distribution of assets upon any liquidation, dissolution or winding up of our company, the holders of the preferred stock shall be entitled to receive out of the assets of our company legally available for distribution to stockholders liquidating distributions in the amount of the liquidation preference per share that is set forth in the applicable prospectus supplement, plus an amount equal to all dividends accumulated and unpaid thereon, which shall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rights or claim to any of our remaining assets. In the event that, upon any voluntary or involuntary liquidation, dissolution or winding up, our available assets are insufficient to pay the amount of the liquidating distributions on all outstanding preferred stock of such series and the corresponding amounts payable on all shares of other classes or series of capital stock of our company ranking on a parity with the preferred stock in the distribution of assets, then the holders of the preferred stock and all such other classes or series of capital stock shall share ratably in any distribution of assets in proportion to the full liquidating distributions to which they would otherwise be respectively entitled.</w:t>
      </w:r>
    </w:p>
    <w:p>
      <w:pPr>
        <w:spacing w:after="0" w:line="38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consolidation or merger with or into any other entity, or the merger of another entity with or into our company, or a statutory share exchange by us, or the sale, lease or conveyance of all or substantially all of our property or business, shall not be deemed to constitute a liquidation, dissolution or winding up of our company.</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determining whether a distribution (other than upon our voluntary or involuntary liquidation, dissolution or winding up) by dividend, redemption or other acquisition of shares of our stock or otherwise is permitted under the MGCL, no effect shall be given to amounts that would be needed, if we were to be dissolved at the time of the distribution, to satisfy the preferential rights upon dissolution of holders of any series of preferred stock whose preferential rights upon dissolution are superior to those receiving the distribution.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Holders of the preferred stock will not have any voting rights, except as set forth below or as otherwise indicated in the applicable prospectus supplement.</w:t>
      </w:r>
    </w:p>
    <w:p>
      <w:pPr>
        <w:spacing w:after="0" w:line="248"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Whenever dividends on any series of preferred stock shall be in arrears for six or more quarterly periods, the holders of the preferred stock, voting separately as a class with all other series of preferred stock upon which like voting rights have been conferred and are exercisable, will be entitled to vote for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election of two additional directors of our company at a special meeting called by the holders of record of at least ten percent of any series of preferred stock so in arrears, unless the request is received less than 90 days before the date fixed for the next annual or special meeting of the stockholders, or at the next annual meeting of stockholders, and at each subsequent annual meeting until (a) if such series of preferred stock has a cumulative dividend, all dividends accumulated on these shares of preferred stock for the past dividend periods shall have been fully paid or declared and a sum sufficient for the payment thereof set aside for payment or (b) if such series of preferred stock does not have a cumulative dividend, four quarterly dividends shall have been fully paid or declared and a sum sufficient for the payment thereof set aside for payment. In these cases, the entire board of directors will be increased by two directors, to be elected by the holders of such series of preferred stock, voting together as a single class with the holders of all other classes of preferred stock ranking on a parity with the holders of such series and upon which like voting rights have been conferred.</w:t>
      </w:r>
    </w:p>
    <w:p>
      <w:pPr>
        <w:spacing w:after="0" w:line="19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Unless provided otherwise for any series of preferred stock, so long as any shares of the preferred stock remain outstanding, we will not, without the affirmative vote or consent of the holders of at least two-thirds of the shares of such series of preferred stock outstanding at the time, given in person or by proxy, either in writing or at a meeting with such series voting separately as a class:</w:t>
      </w:r>
    </w:p>
    <w:p>
      <w:pPr>
        <w:spacing w:after="0" w:line="200" w:lineRule="exact"/>
        <w:rPr>
          <w:sz w:val="20"/>
          <w:szCs w:val="20"/>
          <w:color w:val="auto"/>
        </w:rPr>
      </w:pPr>
    </w:p>
    <w:p>
      <w:pPr>
        <w:ind w:left="1080" w:right="200" w:hanging="532"/>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or increase the authorized or issued amount of, any class or series of capital stock ranking senior to the preferred stock with respect to payment of dividends or the distribution of assets upon liquidation, dissolution or winding up of our company, or reclassify any of our authorized capital stock into such series of preferred stock, or create, authorize or issue any obligation or security convertible into or evidencing the right to purchase any of such series of preferred stock; or</w:t>
      </w:r>
    </w:p>
    <w:p>
      <w:pPr>
        <w:spacing w:after="0" w:line="217" w:lineRule="exact"/>
        <w:rPr>
          <w:rFonts w:ascii="Times New Roman" w:cs="Times New Roman" w:eastAsia="Times New Roman" w:hAnsi="Times New Roman"/>
          <w:sz w:val="18"/>
          <w:szCs w:val="18"/>
          <w:color w:val="auto"/>
        </w:rPr>
      </w:pPr>
    </w:p>
    <w:p>
      <w:pPr>
        <w:ind w:left="1080" w:right="380" w:hanging="532"/>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provisions of the charter or the articles supplementary for such series of preferred stock, whether by merger, consolidation or otherwise, so as to materially and adversely affect any right, preference, privilege or voting power of such series of preferred stock or the holders thereof;</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with respect to the occurrence of any of the events set forth in (b) above, so long as such series of preferred stock remains outstanding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thereof materially unchanged, taking into account that upon the occurrence of an event we may not be the surviving entity, the occurrence of any similar event shall not be deemed to materially and adversely affect the rights, preferences, privileges or voting powers of holders of such series of preferred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(x) any increase in the amount of the authorized preferred stock or the creation or issuance of any other series of preferred stock, or (y)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amount of authorized shares of such series of preferred stock or any other series of preferred stock in each case ranking on a parity with or junior to the preferred stock of such series with respect to payment of dividends or the distribution of assets upon liquidation, dissolution or winding up of our company, shall not be deemed to materially and adversely affect the rights, preferences, privileges or voting powers.</w:t>
      </w:r>
    </w:p>
    <w:p>
      <w:pPr>
        <w:spacing w:after="0" w:line="191"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the vote or consent would otherwise be required shall be effected, all outstanding shares of such series of preferred stock shall have been converted, redeemed or called for redemption and sufficient funds shall have been deposited in trust to effect the redemption.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any series of preferred stock is convertible into shares of common stock will be set forth in the applicable prospectus supplement. The terms will include the number of shares of common stock into which the shares of preferred stock are convertible, the conversion price, or manner of calculation thereof, the conversion period, provisions as to whether conversion will be at the option of the holders of our preferred stock or us, the events requiring 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of the conversion price and provisions affecting conversion in the event of the redemption of the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Liability</w:t>
      </w:r>
    </w:p>
    <w:p>
      <w:pPr>
        <w:spacing w:after="0" w:line="227"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Applicable Maryland law provides that no stockholder, including holders of preferred stock, shall be personally liable for our acts and obligations solely as a result of his or her status as a stockholder and that our funds and property shall be the only recourse for these acts or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jc w:val="both"/>
        <w:ind w:right="280" w:firstLine="341"/>
        <w:spacing w:after="0" w:line="287" w:lineRule="auto"/>
        <w:rPr>
          <w:sz w:val="20"/>
          <w:szCs w:val="20"/>
          <w:color w:val="auto"/>
        </w:rPr>
      </w:pPr>
      <w:r>
        <w:rPr>
          <w:rFonts w:ascii="Times New Roman" w:cs="Times New Roman" w:eastAsia="Times New Roman" w:hAnsi="Times New Roman"/>
          <w:sz w:val="16"/>
          <w:szCs w:val="16"/>
          <w:color w:val="auto"/>
        </w:rPr>
        <w:t>As discussed below under "Restrictions on Ownership of Capital Stock," for us to qualify as a REIT under the Code, not more than 50% in value of our outstanding capital stock may be owned, directly or indirectly, by five or fewer individuals at any time during the last half of a taxable year. An individual for these purposes is defined by the federal income tax laws pertaining to REITs. The application of the Code restrictions on stock ownership is very complex.</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Therefore, the articles supplementary for each series of preferred stock may contain provisions restricting the ownership and transfer of such series of preferred stock. The applicable prospectus supplement will specify any additional ownership limitation relating to a series of preferred stock. For example, the articles supplementary designating the Series I Preferred Stock provide that no stockholder may own, or be deemed to own by virtue of the attribution provisions of the Code, more than 9.0% in value of the aggregate of the outstanding shares of our capital stock (including all classes or series of common stock and preferred stock). The articles supplementary designating the Series I Preferred Stock further provide that no holder of the applicable series of preferred stock may own, or be deemed to own by virtue of the attribution provisions of the Code, nor may any person or entity acquire shares of the applicable series of preferred stock such that he or it would own in excess of 20% (in value or in number of shares, whichever is more restrictive) of the aggregate of the outstanding shares of such series of preferred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preferred stock is Computershare Shareowner Services LLC.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The following description of the terms of the depositary shares is only a summary. This description is subject to, and qualified in its entirety by reference to, the provisions of the deposit agreement, SL Green's charter and the form of articles supplementary for the applicable series of preferred stock. The terms "we," "us" and "our" as such terms are used in the following description of depository shares refer to SL Green Realty Corp. unless the context requires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at our option, elect to offer depositary shares rather than full shares of preferred stock. In the event such option is exercised, each of the depositary shares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our company, the depositary named therein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our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93"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our company) that it is not feasible to make such distribution, in which case the depositary may (with the approval of our company)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distribution will be made in respect of any depositary share to the extent that it represents any preferred stock converted into excess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7" w:lineRule="exact"/>
        <w:rPr>
          <w:sz w:val="20"/>
          <w:szCs w:val="20"/>
          <w:color w:val="auto"/>
        </w:rPr>
      </w:pPr>
    </w:p>
    <w:p>
      <w:pPr>
        <w:jc w:val="both"/>
        <w:ind w:right="400" w:firstLine="351"/>
        <w:spacing w:after="0" w:line="262"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our company, whether voluntary or involuntary, the holders of each depositary share will be entitled to the fraction of the liquidation preference accorded each share of the applicable series of preferred stock as set forth in the prospectus supplement.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Upon surrender of depositary receipts at the principal office of the depositary, upon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Deposit Agreement</w:t>
      </w:r>
    </w:p>
    <w:p>
      <w:pPr>
        <w:spacing w:after="0" w:line="22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and from time to time be amended by agreement between our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93"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deposit agreement will be permitted to be terminated by our company upon not less than 30 days prior written notice to the applicable depositary if (a) such termination is necessary to preserve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status as a REIT or (b)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We will agree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(x) all outstanding depositary shares thereunder shall have been redeemed, (y) there shall have been a final distribution in respect of the related preferred stock in connection with any liquidation, dissolution or winding-up of our company and such distribution shall have been distributed to the holders of depositary receipts evidencing the depositary shares representing such preferred stock or (z) each share of the related preferred stock shall have been converted into stock of our company not so represented by depositary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7"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any such depositary receipt if such charges are not 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received from us which are received by the depositary as the holder of preferred stock.</w:t>
      </w:r>
    </w:p>
    <w:p>
      <w:pPr>
        <w:spacing w:after="0" w:line="190" w:lineRule="exact"/>
        <w:rPr>
          <w:sz w:val="20"/>
          <w:szCs w:val="20"/>
          <w:color w:val="auto"/>
        </w:rPr>
      </w:pPr>
    </w:p>
    <w:p>
      <w:pPr>
        <w:ind w:right="140" w:firstLine="351"/>
        <w:spacing w:after="0" w:line="254" w:lineRule="auto"/>
        <w:rPr>
          <w:sz w:val="20"/>
          <w:szCs w:val="20"/>
          <w:color w:val="auto"/>
        </w:rPr>
      </w:pPr>
      <w:r>
        <w:rPr>
          <w:rFonts w:ascii="Times New Roman" w:cs="Times New Roman" w:eastAsia="Times New Roman" w:hAnsi="Times New Roman"/>
          <w:sz w:val="18"/>
          <w:szCs w:val="18"/>
          <w:color w:val="auto"/>
        </w:rPr>
        <w:t>Neither the depositary nor our company assumes any obligation or will be subject to any liability under the deposit agreement to holders of depositary receipts other than for its negligence or willful misconduct. Neither the depositary nor our company will be liable if it is prevented or delayed by law or any circumstance beyond its control in performing its obligations under the deposit agreement. The obligations of our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Our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95"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our company, on the other hand, the depositary shall be entitled to act on such claims, requests or instructions received from our company.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of America and having a combined capital and surplus of at least $150,000,000.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deposit agreement or the designating articles supplementary for the series of preferred stock represented by such depositary shares, or both, may contain provisions restricting the ownership and transfer of the depositary shares. The applicable prospectus supplement will specify any additional ownership limitation relating to a series of preferred stock represented by such depositary shares. See "Restrictions on Ownership of Capital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Owners of depositary shares will be treated for federal income tax purposes as if they were owners of the preferred stock represented by such depositary shares. Accordingly, such owners will be entitled to take into account, for federal income tax purposes, income and deductions to which they would be entitled if they were holders of such preferred stock. In addition, (a) no gain or loss will be recognized for federal income tax purposes upon the withdrawal of preferred stock to an exchange owner of depositary shares, (b) the tax basis of each share of preferred stock to an exchanging owner of depositary shares will, upon such exchange, be the same as the aggregate tax basis of the depositary shares exchanged therefor and (c) the holding period for preferred stock in the hands of an exchanging owner of depositary shares will include the period during which such person owned such depositary shares.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the warrants is only a summary. This description is subject to, and qualified in its entirety by reference to, the provisions of the warrant agreement. The terms "we," "us" and "our" as such terms are used in the following description of warrants refer to SL Green Realty Corp. unless the context requires otherwise.</w:t>
      </w:r>
    </w:p>
    <w:p>
      <w:pPr>
        <w:spacing w:after="0" w:line="18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depositary shares and may issue warrants independently or together with common stock, preferred stock, depositary shares or attached to or separate from such securities. We will issue each series of warrants under a separate warrant agreement between us and a bank or trust company as warrant agent, as specified in the applicable prospectus supplement.</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warrant agent will act solely as our agent in connection with the warrants and will not act for or on behalf of warrant holders. The following sets forth certain general terms and provisions of the warrants that may be offered pursuant to this prospectus. Further terms of the warrants and the applicable warrant agreement will be set forth in the applicable prospectus supplement.</w:t>
      </w:r>
    </w:p>
    <w:p>
      <w:pPr>
        <w:spacing w:after="0" w:line="186"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warrants in respect of which this prospectus is being delivered, including, where applicable, the following:</w:t>
      </w:r>
    </w:p>
    <w:p>
      <w:pPr>
        <w:spacing w:after="0" w:line="18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such warrants;</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such warrants are issued and the number of such warrants issued with each such offered security;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warrants and the related securities will be separately transferable;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upon exercise of such warrants may be purchased;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that may be exercised at any one time;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transferability, exercise and exchange of such warrants.</w:t>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right="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The following description of the terms of the debt securities of SL Green, SL Green Operating Partnership and Reckson Operating Partnership and the respective indentures is only a summary. This description and the description contained in any prospectus supplement are subject to and qualified in their entirety by reference to the applicable indentures, which are incorporated by reference as exhibits to the registration statement of which this prospectus is a part.</w:t>
      </w:r>
    </w:p>
    <w:p>
      <w:pPr>
        <w:spacing w:after="0" w:line="14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may offer secured or unsecured debt securities in one or more series which may be senior, subordinated or junior subordinated, and which may be convertible or exchangeable into another security. The debt securities may be issued by SL Green, SL Green Operating Partnership and Reckson Operating Partnership, individually or as co-obligors. Unless otherwise specified in the applicable prospectus supplement, our debt securities will be issued in one or more series under one of the indentures entered into or to be entered into among SL Green, SL Green Operating Partnership and/or Reckson Operating Partnership, as applicable, and The Bank of New York Mellon. Forms of the indentures related to the issuance of debt securities by SL Green, SL Green Operating Partnership and/or Reckson Operating Partnership, individually, are incorporated by reference as exhibits to the registration statement of which this prospectus forms a part. On August 5, 2011, SL Green, SL Green Operating Partnership and Reckson Operating Partnership entered into an indenture with The Bank of New York Mellon, as supplemented by the First Supplemental Indenture, dated as of August 5, 2011, and the Second Supplemental Indenture, dated as of November 15, 2012, which is incorporated by reference as an exhibit to the registration statement of which this prospectus forms a part, pursuant to which debt securities may be issued by SL Green, SL Green Operating Partnership and Reckson Operating Partnership, as co-obligors.</w:t>
      </w:r>
    </w:p>
    <w:p>
      <w:pPr>
        <w:spacing w:after="0" w:line="19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these general provisions may apply to the debt securities, will be described in the applicable prospectus supplement.</w:t>
      </w:r>
    </w:p>
    <w:p>
      <w:pPr>
        <w:spacing w:after="0" w:line="186" w:lineRule="exact"/>
        <w:rPr>
          <w:sz w:val="20"/>
          <w:szCs w:val="20"/>
          <w:color w:val="auto"/>
        </w:rPr>
      </w:pPr>
    </w:p>
    <w:p>
      <w:pPr>
        <w:ind w:right="380" w:firstLine="348"/>
        <w:spacing w:after="0" w:line="262" w:lineRule="auto"/>
        <w:rPr>
          <w:sz w:val="20"/>
          <w:szCs w:val="20"/>
          <w:color w:val="auto"/>
        </w:rPr>
      </w:pPr>
      <w:r>
        <w:rPr>
          <w:rFonts w:ascii="Times New Roman" w:cs="Times New Roman" w:eastAsia="Times New Roman" w:hAnsi="Times New Roman"/>
          <w:sz w:val="18"/>
          <w:szCs w:val="18"/>
          <w:color w:val="auto"/>
        </w:rPr>
        <w:t>The terms of the debt securities will include those set forth in the applicable indenture and those made a part of the applicable indenture by the Trust Indenture Act of 1939, or TIA. You should read the summary below, the applicable prospectus supplement and the provisions of the applicable indenture and supplemental indenture, if any, in their entirety before investing in our debt securities.</w:t>
      </w:r>
    </w:p>
    <w:p>
      <w:pPr>
        <w:spacing w:after="0" w:line="186"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respective indentures is unlimited. The prospectus supplement relating to any series of debt securities that we may offer will contain the specific terms of the debt securities. These terms may include the following:</w:t>
      </w:r>
    </w:p>
    <w:p>
      <w:pPr>
        <w:spacing w:after="0" w:line="187"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co-obligors of such debt securities;</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terms of the guarantees (including provisions relating to seniority, subordination and release of the guarantees), if any;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subordinated or junior subordinated;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or unsecured;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shall be payable in cash or additional securities;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whole or in part in the form of one or more global securities and the date as of which the securities are dated if other than the date of original issuance;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debt securities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38"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such debt securities will be payable;</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the holders of the debt securities or the issuer or co-obligors, as the case may be, can select the payment currency;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the debt securities will be listed, if any;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underwriter(s) will act as a market maker(s) for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 secondary market for the debt securities is expected to develop;</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238"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90"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other special considerations for any debt securities we sell which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w:t>
      </w:r>
    </w:p>
    <w:p>
      <w:pPr>
        <w:spacing w:after="0" w:line="193"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128"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U.S. $2,000 and any integral multiples of $1,000 in excess thereof. Subject to the limitations provided in the applicable indenture and in the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indentures and the corresponding debt securities shall be construed in accordance with and governed by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GUARANTEES OF DEBT SECURITIES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SL Green, SL Green Operating Partnership and/or Reckson Operating Partnership may guarantee (either fully and unconditionally or in a limited manner) the due and punctual payment of the principal of, premium, if any, and interest on one or more series of debt securities issued by SL Green, SL Green Operating Partnership and/or Reckson Operating Partnership, as the case may be, whether at maturity, by acceleration, redemption or repayment or otherwise, in accordance with the terms of the applicable guarantee and the applicable indenture.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MARYLAND LAW</w:t>
      </w:r>
    </w:p>
    <w:p>
      <w:pPr>
        <w:spacing w:after="0" w:line="225"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of certain anti-takeover provisions of Maryland law does not purport to be complete and is subject to and qualified in its entirety by reference to the MGCL and SL Green's charter and bylaws, each as amended. The terms "we," "us" and "our" as such terms are used in the following summary refer to SL Green Realty Corp. unless the context requires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share exchange or, in certain circumstances, an asset transfer or issuance or transfer of equity securities or reclassification of equity securities) between a Maryland corporation and any person who beneficially owns, directly or indirectly, 10% or more of the voting power of the corporation or an affiliate of the corporation who, at any time within the two-year period immediately prior to the date in question, was the beneficial owner, directly or indirectly, of 10% or more of the voting power of the then-outstanding voting stock of the corporation, in each case referred to as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of voting stock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board of directors prior to the time that the interested stockholder becomes an interested stockholder. A person is not an interested stockholder under the statute if the board of directors approved in advance the transaction by which the person otherwise would have become an interested stockholder.</w:t>
      </w:r>
    </w:p>
    <w:p>
      <w:pPr>
        <w:spacing w:after="0" w:line="199"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may provide that its approval is subject to compliance with any terms and conditions determined by it. However, pursuant to the statute, our board of directors has by resolution opted out of these provisions of the MGCL and, consequently, the five-year prohibition and the super-majority vote requirements will not apply to business combinations between us and any interested stockholder of our company. As a result, anyone who later becomes an interested stockholder may be able to enter into business combinations with us that may not be in the best interest of our stockholders without compliance by our company with the super-majority vote requirements and the other provisions of the statute. However, no assurances can be given that such resolution will not be modified, amended or revoked in the future or that the provisions of the MGCL relative to business combinations will not be reinstated or again become applicable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corporation acquired in a "control share acquisition" have no voting rights with respect to the control shares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owned by the acquiror or in respect of which the acquiror is able to exercise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or direct the exercise of voting power (except solely by virtue of a revocable proxy), would entitle the acquiror, directly or indirectly, to exercise or direct the exercise of,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directly or indirectly, of control shares, subject to certain exceptions.</w:t>
      </w:r>
    </w:p>
    <w:p>
      <w:pPr>
        <w:spacing w:after="0" w:line="193" w:lineRule="exact"/>
        <w:rPr>
          <w:sz w:val="20"/>
          <w:szCs w:val="20"/>
          <w:color w:val="auto"/>
        </w:rPr>
      </w:pPr>
    </w:p>
    <w:p>
      <w:pPr>
        <w:jc w:val="both"/>
        <w:ind w:right="120" w:firstLine="341"/>
        <w:spacing w:after="0" w:line="26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86"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9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shares of our stock. There can be no assurance that this provision will not be amended or eliminated at any time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Subtitle 8</w:t>
      </w:r>
    </w:p>
    <w:p>
      <w:pPr>
        <w:spacing w:after="0" w:line="227"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Subtitle 8 of Title 3 of the MGCL permits a Maryland corporation with a class of equity securities registered under the Securities Exchange Act of 1934, as amended (the "Exchange Act"), and at least three independent directors to elect to be subject, by provision in its charter or bylaws or a resolution of its board of directors and notwithstanding any contrary provision in the charter or bylaws, to any or all of the following five provisions:</w:t>
      </w:r>
    </w:p>
    <w:p>
      <w:pPr>
        <w:spacing w:after="0" w:line="200"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director;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directors;</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the class of directors in which the vacancy occurred;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stockholders.</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Our bylaws provide, and we have elected to be subject to the provision of Subtitle 8 that requires, that a vacancy on the board be filled only by the remaining directors and for the remainder of the full term of the class of directors in which the vacancy occurred. Through provisions in our charter and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unrelated to Subtitle 8, we also (a) have a classified board and (b) vest in the board the exclusive power to fix the number of directorships.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business combination provisions, the control share acquisition provisions and Subtitle 8 of the MGCL could delay, defer or prevent a transaction or a change in control of our company that might involve a premium price for holders of securities or otherwise be in their best interests.</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RESTRICTIONS ON OWNERSHIP OF CAPITAL STOCK</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The terms "we," "us" and "our" as such terms are used in the following summary of certain provisions of the charter of SL Green relating to restrictions on ownership of capital stock refer to SL Green Realty Corp. unless the context requires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Stock</w:t>
      </w:r>
    </w:p>
    <w:p>
      <w:pPr>
        <w:spacing w:after="0" w:line="227" w:lineRule="exact"/>
        <w:rPr>
          <w:sz w:val="20"/>
          <w:szCs w:val="20"/>
          <w:color w:val="auto"/>
        </w:rPr>
      </w:pPr>
    </w:p>
    <w:p>
      <w:pPr>
        <w:ind w:right="640" w:firstLine="351"/>
        <w:spacing w:after="0" w:line="275" w:lineRule="auto"/>
        <w:rPr>
          <w:sz w:val="20"/>
          <w:szCs w:val="20"/>
          <w:color w:val="auto"/>
        </w:rPr>
      </w:pPr>
      <w:r>
        <w:rPr>
          <w:rFonts w:ascii="Times New Roman" w:cs="Times New Roman" w:eastAsia="Times New Roman" w:hAnsi="Times New Roman"/>
          <w:sz w:val="18"/>
          <w:szCs w:val="18"/>
          <w:color w:val="auto"/>
        </w:rPr>
        <w:t>Our charter provides that we may issue up to 75,000,000 shares of excess stock, par value $0.01 per share. For a description of excess stock, see "— Restrictions on Ownership"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For us to qualify as a REIT under the Code, among other things, not more than 50% in value of our outstanding capital stock may be owned, directly or indirectly, by five or fewer individuals during the last half of a taxable year, other than the first year, and the shares of capital stock must be beneficially owned by 100 or more persons during at least 335 days of a taxable year of 12 months, other than the first year, or during a proportionate part of a shorter taxable year. Pursuant to the Code, common stock held by specific types of entities, such as pension trusts qualifying under Section 401(a) of the Code, United States investment companies registered under the Investment Company Act of 1940, as amended, partnerships, trusts and corporations, will be attributed to the beneficial owners of these entities for purposes of the five or fewer requirement. Generally, for the purposes of restrictions on ownership, the beneficial owners of these entities will be counted as our stockholders.</w:t>
      </w:r>
    </w:p>
    <w:p>
      <w:pPr>
        <w:spacing w:after="0" w:line="195"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color w:val="auto"/>
        </w:rPr>
        <w:t>In order to protect us against the risk of losing our status as a REIT due to a concentration of ownership among our stockholders, our charter, subject to exceptions, provides that no stockholder may own, or be deemed to own by virtue of certain attribution provisions of the Code, more than 9.0%, which we refer to as the "Ownership Limit," of the lesser of the aggregate number or value of our outstanding shares of common stock. Limitations on the ownership of preferred stock may also be imposed by us. See "Description of Preferred Stock—Restrictions on Ownership" beginning on page 18 of this prospectus. Our charter provides that any direct or indirect ownership of shares of stock in excess of the Ownership Limit or that would result in our disqualification as a REIT, including any transfer that results in shares of capital stock being owned by fewer than 100 persons or results in our being "closely held" within the meaning of</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Section 856(h) of the Code, shall be null and void, and the intended transferee will acquire no rights to the shares of capital stock. The foregoing restrictions on transferability and ownership will not apply if our board of directors determines that it is no longer in our best interests to attempt to qualify, or to continue to qualify, as a REIT. Our board of directors may, in its sole discretion, waive the Ownership Limit if evidence satisfactory to the board of directors and our tax counsel is presented that the changes in ownership will not then or in the future jeopardize our REIT status and our board of directors otherwise decides that this action is in our best interest.</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charter provides that shares of capital stock owned, or deemed to be owned, or transferred to a stockholder in excess of the Ownership Limit will automatically be converted into shares of excess stock that will be transferred, by operation of law, to the trustee of a trust for the exclusive benefit of one or more charitable organizations described in Section 170(b)(1)(A) and 170(c) of the Code. The trustee of the trust will be deemed to own the excess stock for the benefit of the charitable beneficiary on the date of the violative transfer to the original transferee-stockholder. Any dividend or distribution paid to the original transferee-stockholder of excess stock prior to the discovery by us that capital stock has been transferred in violation of the provisions of our charter shall be repaid to the trustee upon demand. Any dividend or distribution authorized and declared but unpaid shall be rescinded as void from the beginning with respect to the original transferee-stockholder and shall instead be paid to the trustee of the trust for the benefit of the charitable beneficiary. Any vote cast by an original transferee-stockholder of shares of capital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constituting excess stock prior to the discovery by us that shares of capital stock have been transferred in violation of the provisions of the charter shall be rescinded as void from the beginning. While the excess stock is held in trust, the original transferee-stockholder will be deemed to have given an irrevocable proxy to the trustee to vote the capital stock for the benefit of the charitable beneficiary. The trustee of the trust may transfer the interest in the trust representing the excess stock to any person whose ownership of the shares of capital stock converted into this excess stock would be permitted under the Ownership Limit. If this transfer is made, the interest of the charitable beneficiary shall terminate and the proceeds of the sale shall be payable to the original transferee-stockholder and to the charitable beneficiary as described herein. The original transferee-stockholder shall receive the lesser of (a) the price paid by the original transferee-stockholder for the shares of capital stock that were converted into excess stock or, if the original transferee-stockholder did not give value for the shares, the average closing price for the class of shares from which the shares of capital stock were converted for the ten trading days immediately preceding the sale or gift, and (b) the price received by the trustee from the sale or other disposition of the excess stock held in trust. The trustee may reduce the amount payable to the original transferee-stockholder by the amount of dividends and distributions relating to the shares of excess stock which have been paid to the original transferee-stockholder and are owed by the original transferee-stockholder to the trustee. Any proceeds in excess of the amount payable to the original transferee-stockholder shall be paid by the trustee to the charitable beneficiary. Any liquidation distributions relating to excess stock shall be distributed, with respect to excess stock converted from preferred stock, ratably with each other holder of preferred stock of the same class or excess stock converted from preferred stock of the same class, and with respect to excess stock converted from common stock, ratably with each other holder of common stock or excess stock converted from common stock. The liquidation distributions allocated to a share of excess stock will be distributed in the same manner as proceeds from a sale of such share of excess stock would be distributed. If the foregoing transfer restrictions are determined to be void or invalid by virtue of any legal decision, statute, rule or regulations, then the original transferee-stockholder of any shares of excess stock may be deemed, at our option, to have acted as an agent on behalf of us in acquiring the shares of excess stock and to hold the shares of excess stock on our behalf.</w:t>
      </w:r>
    </w:p>
    <w:p>
      <w:pPr>
        <w:spacing w:after="0" w:line="19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Shares of excess stock shall be deemed to have been offered to the corporation or its designee for 90 days at a price per share payable to the purported transferee equal to the lesser of (a) the price per share in the transaction that created the excess shares (or, in the case of a devise or gift, the market price at the time of such devise or gift) and (b) the market price of the common stock or preferred stock which was converted into such excess stock on the date the corporation or its designee accepts the offer. We may reduce the amount payable to the original transferee-stockholder by the amount of dividends and distributions relating to the shares of excess stock which have been paid to the original transferee-stockholder and are owed by the original transferee-stockholder to the trustee. We may pay the amount of the reductions to the trustee for the benefit of the charitable beneficiary. The 90-day period begins on the later of the date on which notice is received of the violative transfer if the original transferee-stockholder gives notice to us of the transfer and, if no notice is given, the date the board of directors determines that a violative transfer has been made.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restrictions will not preclude settlement of transactions through the NYSE.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certificates representing shares of stock will bear a legend referring to the restrictions described above.</w:t>
      </w:r>
    </w:p>
    <w:p>
      <w:pPr>
        <w:spacing w:after="0" w:line="225"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Each stockholder shall upon demand be required to disclose to us in writing any information with respect to the direct, indirect and constructive ownership of capital stock of our company as the board of directors deems necessary to comply with the provisions of the Code applicable to REITs, to comply with the requirements of any taxing authority or governmental agency or to determine any such compliance.</w:t>
      </w:r>
    </w:p>
    <w:p>
      <w:pPr>
        <w:spacing w:after="0" w:line="186" w:lineRule="exact"/>
        <w:rPr>
          <w:sz w:val="20"/>
          <w:szCs w:val="20"/>
          <w:color w:val="auto"/>
        </w:rPr>
      </w:pPr>
    </w:p>
    <w:p>
      <w:pPr>
        <w:jc w:val="both"/>
        <w:ind w:right="400" w:firstLine="348"/>
        <w:spacing w:after="0" w:line="339" w:lineRule="auto"/>
        <w:rPr>
          <w:sz w:val="20"/>
          <w:szCs w:val="20"/>
          <w:color w:val="auto"/>
        </w:rPr>
      </w:pPr>
      <w:r>
        <w:rPr>
          <w:rFonts w:ascii="Times New Roman" w:cs="Times New Roman" w:eastAsia="Times New Roman" w:hAnsi="Times New Roman"/>
          <w:sz w:val="16"/>
          <w:szCs w:val="16"/>
          <w:color w:val="auto"/>
        </w:rPr>
        <w:t>The Ownership Limit and the other provisions of the charter of SL Green summarized above may have the effect of delaying, deferring or preventing a change in control of our company unless the board of directors determines that maintenance of REIT status is no longer in the best interest of our company.</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The terms "we," "us" and "our" as such terms are used in the following summary refer to SL Green Realty Corp. unless the context requires otherwise.</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the material United States federal income tax consequences that are generally applicable to prospective holders of the offered securities. The specific tax consequences of owning the offered securities will vary depending on the circumstances of a particular stockholder or noteholder. The discussion contained herein does not address all aspects of federal income taxation that may be relevant to particular holders. Therefore, we strongly recommend that stockholders and noteholders review the following discussion and then consult with a tax advisor to determine the anticipated tax consequences of owning the offered securities.</w:t>
      </w:r>
    </w:p>
    <w:p>
      <w:pPr>
        <w:spacing w:after="0" w:line="193" w:lineRule="exact"/>
        <w:rPr>
          <w:sz w:val="20"/>
          <w:szCs w:val="20"/>
          <w:color w:val="auto"/>
        </w:rPr>
      </w:pPr>
    </w:p>
    <w:p>
      <w:pPr>
        <w:ind w:right="60" w:firstLine="348"/>
        <w:spacing w:after="0" w:line="296" w:lineRule="auto"/>
        <w:rPr>
          <w:sz w:val="20"/>
          <w:szCs w:val="20"/>
          <w:color w:val="auto"/>
        </w:rPr>
      </w:pPr>
      <w:r>
        <w:rPr>
          <w:rFonts w:ascii="Times New Roman" w:cs="Times New Roman" w:eastAsia="Times New Roman" w:hAnsi="Times New Roman"/>
          <w:sz w:val="16"/>
          <w:szCs w:val="16"/>
          <w:color w:val="auto"/>
        </w:rPr>
        <w:t>The information in this section and the opinions of Greenberg Traurig, LLP are based on the Code, existing and proposed Treasury regulations thereunder, current administrative interpretations and court decisions. We cannot assume that future legislation, Treasury regulations, administrative interpretations and court decisions will not significantly change current law or affect existing interpretations of current law in a manner which is adverse to stockholders or noteholders. Any such change could apply retroactively to transactions preceding the date of change. We cannot assume that the opinions and statements set forth herein, which do not bind the Internal Revenue Service, or the IRS, or the courts, will not be challenged by the IRS or will be sustained by a court if so challenged.</w:t>
      </w:r>
    </w:p>
    <w:p>
      <w:pPr>
        <w:spacing w:after="0" w:line="16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summary does not discuss state, local or foreign tax considerations. Except where indicated, the discussion below describes general federal income tax considerations applicable to individuals who are U.S. persons for federal income tax purposes (as described below) and who hold the offered securities as "capital assets" within the meaning of Section 1221 of the Code. Accordingly, the following discussion has limited application to domestic corporations and persons subject to specialized federal income tax treatment, such as foreign persons, trusts, estates, tax-exempt entities, regulated investment companies and insurance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applicable Treasury regulations a provider of advice on specific issues of law is not considered an income tax return preparer unless the advice is</w:t>
      </w:r>
    </w:p>
    <w:p>
      <w:pPr>
        <w:spacing w:after="0" w:line="21" w:lineRule="exact"/>
        <w:rPr>
          <w:sz w:val="20"/>
          <w:szCs w:val="20"/>
          <w:color w:val="auto"/>
        </w:rPr>
      </w:pPr>
    </w:p>
    <w:p>
      <w:pPr>
        <w:ind w:right="60" w:firstLine="8"/>
        <w:spacing w:after="0" w:line="252" w:lineRule="auto"/>
        <w:tabs>
          <w:tab w:leader="none" w:pos="2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with respect to events that have occurred at the time the advice is rendered and is not given with respect to the consequences of contemplated actions, and (ii) is directly relevant to the determination of an entry on a tax return. Accordingly, prospective stockholders and noteholders should consult their respective tax advisors and tax return preparers regarding the preparation of any item on a tax return, even where the anticipated tax treatment has been discussed herein.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 prospective stockholders and noteholders are urged to consult with their own tax advisors with regard to the application of the federal income tax laws to such stockholders' and noteholders' respective personal tax situations, as well as any tax consequences arising under the laws of any state, local or foreign taxing jurisdiction.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SL Green</w:t>
      </w:r>
    </w:p>
    <w:p>
      <w:pPr>
        <w:spacing w:after="0" w:line="227" w:lineRule="exact"/>
        <w:rPr>
          <w:sz w:val="20"/>
          <w:szCs w:val="20"/>
          <w:color w:val="auto"/>
        </w:rPr>
      </w:pPr>
    </w:p>
    <w:p>
      <w:pPr>
        <w:ind w:right="160" w:firstLine="348"/>
        <w:spacing w:after="0" w:line="291" w:lineRule="auto"/>
        <w:rPr>
          <w:sz w:val="20"/>
          <w:szCs w:val="20"/>
          <w:color w:val="auto"/>
        </w:rPr>
      </w:pPr>
      <w:r>
        <w:rPr>
          <w:rFonts w:ascii="Times New Roman" w:cs="Times New Roman" w:eastAsia="Times New Roman" w:hAnsi="Times New Roman"/>
          <w:sz w:val="16"/>
          <w:szCs w:val="16"/>
          <w:color w:val="auto"/>
        </w:rPr>
        <w:t>We elected to be taxed as a REIT under Sections 856 through 860 of the Code effective for our taxable year ended December 31, 1997. We believe that we have been organized and have operated, and we intend to continue to operate, in a manner to qualify as a REIT. In the opinion of Greenberg Traurig, LLP, commencing with our taxable year ended December 31, 2001, we have been organized and have been operated in conformity with the requirements for qualification and taxation as a REIT under the Code and our proposed method of operation will enable us to continue to meet the requirements for qualification and taxation as a REIT under the Code. This opinion is based on factual representations relating to the organization and operation of us, SL Green Operating Partnership, our respective subsidiaries, factual representations relating to our continued efforts to comply with the various REIT tests and such documents that Greenberg Traurig, LLP has considered necessary or appropriate to review as a basis for rendering this opinion. Qualification and taxation as a REIT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depends upon our ability to meet on a continuing basis, through actual annual or quarterly operating results, the various qualification tests imposed under the Code. Greenberg Traurig, LLP will not review compliance with these tests on a continuing basis. See "Failure to Qualify" below.</w:t>
      </w:r>
    </w:p>
    <w:p>
      <w:pPr>
        <w:spacing w:after="0" w:line="174"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general summary of the material Code provisions that govern the federal income tax treatment of a REIT and its stockholders. These provisions of the Code are highly technical and complex.</w:t>
      </w:r>
    </w:p>
    <w:p>
      <w:pPr>
        <w:spacing w:after="0" w:line="174" w:lineRule="exact"/>
        <w:rPr>
          <w:sz w:val="20"/>
          <w:szCs w:val="20"/>
          <w:color w:val="auto"/>
        </w:rPr>
      </w:pPr>
    </w:p>
    <w:p>
      <w:pPr>
        <w:jc w:val="both"/>
        <w:ind w:right="560" w:firstLine="351"/>
        <w:spacing w:after="0" w:line="310" w:lineRule="auto"/>
        <w:rPr>
          <w:sz w:val="20"/>
          <w:szCs w:val="20"/>
          <w:color w:val="auto"/>
        </w:rPr>
      </w:pPr>
      <w:r>
        <w:rPr>
          <w:rFonts w:ascii="Times New Roman" w:cs="Times New Roman" w:eastAsia="Times New Roman" w:hAnsi="Times New Roman"/>
          <w:sz w:val="16"/>
          <w:szCs w:val="16"/>
          <w:color w:val="auto"/>
        </w:rPr>
        <w:t>If we qualify for taxation as a REIT, we generally will not be subject to federal corporate income taxes on net income that we distribute currently to stockholders. This treatment substantially eliminates the double taxation (taxation at both the corporate and stockholder levels) that generally results from investment in a corporation. However, we will be subject to federal income and excise tax in specific circumstances, including the following:</w:t>
      </w:r>
    </w:p>
    <w:p>
      <w:pPr>
        <w:spacing w:after="0" w:line="165"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REIT taxable income, including undistributed net capital gains;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our items of tax preference;</w:t>
      </w:r>
    </w:p>
    <w:p>
      <w:pPr>
        <w:spacing w:after="0" w:line="238" w:lineRule="exact"/>
        <w:rPr>
          <w:rFonts w:ascii="Times New Roman" w:cs="Times New Roman" w:eastAsia="Times New Roman" w:hAnsi="Times New Roman"/>
          <w:sz w:val="18"/>
          <w:szCs w:val="18"/>
          <w:color w:val="auto"/>
        </w:rPr>
      </w:pPr>
    </w:p>
    <w:p>
      <w:pPr>
        <w:ind w:left="1080" w:right="420" w:hanging="532"/>
        <w:spacing w:after="0" w:line="310" w:lineRule="auto"/>
        <w:tabs>
          <w:tab w:leader="none" w:pos="10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have (a) net income from the sale or other disposition of foreclosure property (which is, in general, property acquired by foreclosure or otherwise on default of a loan secured by the property) held primarily for sale to customers in the ordinary course of business or (b) other nonqualifying income from foreclosure property, we will be subject to tax at the highest corporate rate on such income;</w:t>
      </w:r>
    </w:p>
    <w:p>
      <w:pPr>
        <w:spacing w:after="0" w:line="164" w:lineRule="exact"/>
        <w:rPr>
          <w:rFonts w:ascii="Times New Roman" w:cs="Times New Roman" w:eastAsia="Times New Roman" w:hAnsi="Times New Roman"/>
          <w:sz w:val="16"/>
          <w:szCs w:val="16"/>
          <w:color w:val="auto"/>
        </w:rPr>
      </w:pPr>
    </w:p>
    <w:p>
      <w:pPr>
        <w:ind w:left="1080" w:right="62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sales or other dispositions of property held primarily for sale to customers in the ordinary course of business, such income will be subject to a 100% tax;</w:t>
      </w:r>
    </w:p>
    <w:p>
      <w:pPr>
        <w:spacing w:after="0" w:line="200" w:lineRule="exact"/>
        <w:rPr>
          <w:rFonts w:ascii="Times New Roman" w:cs="Times New Roman" w:eastAsia="Times New Roman" w:hAnsi="Times New Roman"/>
          <w:sz w:val="18"/>
          <w:szCs w:val="18"/>
          <w:color w:val="auto"/>
        </w:rPr>
      </w:pPr>
    </w:p>
    <w:p>
      <w:pPr>
        <w:jc w:val="both"/>
        <w:ind w:left="1080" w:right="120" w:hanging="532"/>
        <w:spacing w:after="0" w:line="26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either the 75% gross income test or the 95% gross income test, but nonetheless maintain our qualification as a REIT because other requirements have been met, we will be subject to a 100% tax on (i) the greater of (a) the amount by which we fail the 75% test and (b) the amount by which we fail the 95% test, multiplied by (ii) a fraction intended to reflect our profitability;</w:t>
      </w:r>
    </w:p>
    <w:p>
      <w:pPr>
        <w:spacing w:after="0" w:line="199" w:lineRule="exact"/>
        <w:rPr>
          <w:rFonts w:ascii="Times New Roman" w:cs="Times New Roman" w:eastAsia="Times New Roman" w:hAnsi="Times New Roman"/>
          <w:sz w:val="18"/>
          <w:szCs w:val="18"/>
          <w:color w:val="auto"/>
        </w:rPr>
      </w:pPr>
    </w:p>
    <w:p>
      <w:pPr>
        <w:jc w:val="both"/>
        <w:ind w:left="1080" w:right="380" w:hanging="532"/>
        <w:spacing w:after="0" w:line="26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each calendar year at least the sum of (a) 85% of our REIT ordinary income for such year, (b) 95% of our REIT capital gain net income for such year and (c) any undistributed taxable income from prior years, we will be subject to a 4% excise tax on the excess of such required distribution over the amounts actually distributed;</w:t>
      </w:r>
    </w:p>
    <w:p>
      <w:pPr>
        <w:spacing w:after="0" w:line="197" w:lineRule="exact"/>
        <w:rPr>
          <w:rFonts w:ascii="Times New Roman" w:cs="Times New Roman" w:eastAsia="Times New Roman" w:hAnsi="Times New Roman"/>
          <w:sz w:val="18"/>
          <w:szCs w:val="18"/>
          <w:color w:val="auto"/>
        </w:rPr>
      </w:pPr>
    </w:p>
    <w:p>
      <w:pPr>
        <w:ind w:left="1080" w:right="140" w:hanging="532"/>
        <w:spacing w:after="0" w:line="259"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fail to satisfy any of the REIT asset tests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 to meet the 5% or 10% asset test) due to reasonable cause and not due to willful neglect, and we nonetheless maintain our REIT qualification because of specified cure provisions, we will be required to pay a tax equal to the greater of $50,000 or the highest corporate tax rate multiplied by the net income generated during a certain period by the nonqualifying assets that caused us to fail such test;</w:t>
      </w:r>
    </w:p>
    <w:p>
      <w:pPr>
        <w:spacing w:after="0" w:line="215"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provision of the Code that would result in our failure to qualify as a REIT (other than a violation of the REIT gross income tests or certain violations of the asset tests) and the violation is due to reasonable cause, and not due to willful neglect, we may retain our REIT qualification but we will be required to pay a penalty of $50,000 for each such failure;</w:t>
      </w:r>
    </w:p>
    <w:p>
      <w:pPr>
        <w:spacing w:after="0" w:line="199"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corporation generally subject to full corporate level tax in a transaction in which the basis of the asset in our hands is determined by reference to the basis of the asset in the hands of the corporation and we recognize gain on the disposition of such asset during the ten-year period beginning on the date on which such asset was acquired by us,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60"/>
        <w:spacing w:after="0" w:line="262" w:lineRule="auto"/>
        <w:rPr>
          <w:sz w:val="20"/>
          <w:szCs w:val="20"/>
          <w:color w:val="auto"/>
        </w:rPr>
      </w:pPr>
      <w:r>
        <w:rPr>
          <w:rFonts w:ascii="Times New Roman" w:cs="Times New Roman" w:eastAsia="Times New Roman" w:hAnsi="Times New Roman"/>
          <w:sz w:val="18"/>
          <w:szCs w:val="18"/>
          <w:color w:val="auto"/>
        </w:rPr>
        <w:t>then we will be subject to the built-in gain rule. Built-in gain is the excess of the fair market value of such property at the time of acquisition by us over the adjusted basis in such property at such time. Under the built-in gain rule, we will be subject to tax on such gain at the highest regular corporate rate applicable;</w:t>
      </w:r>
    </w:p>
    <w:p>
      <w:pPr>
        <w:spacing w:after="0" w:line="200" w:lineRule="exact"/>
        <w:rPr>
          <w:sz w:val="20"/>
          <w:szCs w:val="20"/>
          <w:color w:val="auto"/>
        </w:rPr>
      </w:pPr>
    </w:p>
    <w:p>
      <w:pPr>
        <w:ind w:left="1080" w:right="20" w:hanging="532"/>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that amounts of certain income and expense were not allocated between us and a Taxable REIT Subsidiary (as defined herein) on the basis of arm's-length dealing, or to the extent we charge a Taxable REIT Subsidiary interest in excess of a commercially reasonable rate, we will be subject to a tax equal to 100% of those amounts;</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requirement to send annual letters to our stockholders requesting information regarding the actual ownership of our shares, and the failure was not due to reasonable cause or to willful neglect, we will be required to pay a penalty of $25,000, or if the failure is intentional, a $50,000 penalty; and</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are C corporations, the earnings of which will be subject to U.S. federal and state income tax.</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Requirements for Qualification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859 of the Code;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specific provisions of the Code;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half of each taxable year not more than 50% in value of the outstanding stock of which is owned, directly or indirectly, by five or fewer individuals;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Code provides that conditions (a) through (d), inclusive, must be met during the entire taxable year and that condition (e) must be met during at least</w:t>
      </w:r>
    </w:p>
    <w:p>
      <w:pPr>
        <w:spacing w:after="0" w:line="2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335 days of a taxable year of 12 months, or during a proportionate part of a taxable year of less than 12 months. Conditions (e) and (f), however, will not apply until after the first taxable year for which an election is made to be taxed as a REIT. We believe we have issued and have outstanding sufficient shares of stock with sufficient diversity of ownership to allow us to satisfy conditions (e) and (f). In addition, we intend to comply with Treasury regulations requiring us to ascertain the actual ownership of our outstanding shares. Our charter includes restrictions regarding the transfer of shares of capital stock that are intended to assist us in continuing to satisfy the share ownership requirements described in (e) and (f) above. See "Restrictions on Ownership of Capital Stock" discussed in the prior section of this prospectus.</w:t>
      </w:r>
    </w:p>
    <w:p>
      <w:pPr>
        <w:spacing w:after="0" w:line="19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a REIT owns a corporate subsidiary that is a qualified REIT subsidiary (generally, a corporation wholly owned by the REIT), that subsidiary is disregarded for federal income tax purposes and all assets, liabilities and items of income, deduction and credit of the subsidiary are treated as assets, liabilities and items of the REIT itself. Similarly, a single member limited liability company owned by the REIT or by SL Green Operating Partnership is generally disregarded as a separate entity for federal income tax purposes.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the case of a REIT that is a partner in a partnership, Treasury regulations provide that for purposes of the gross income tests and asset tests, the REIT will be deemed to own its proportionate share, based on its interest in partnership capital, of the assets of the partnership and will be deemed to be entitled to the income of the partnership attributable to such share. In addition, the assets and gross income of the partnership will retain the same character in the hands of the REIT for purposes of Section 856 of the Code, including satisfying the gross income tests and asset tests, that they have in the hands of the partnership. Thus, our proportionate share of the assets, liabilities and items of gross income of SL Green Operating Partnership will be treated as our assets, liabilities and items of gross income for purposes of applying the requirements described herein.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Finally, a corporation may not elect to become a REIT unless its taxable year is the calendar year. Our taxable year is the calendar year.</w:t>
      </w:r>
    </w:p>
    <w:p>
      <w:pPr>
        <w:spacing w:after="0" w:line="22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Tests. </w:t>
      </w:r>
      <w:r>
        <w:rPr>
          <w:rFonts w:ascii="Times New Roman" w:cs="Times New Roman" w:eastAsia="Times New Roman" w:hAnsi="Times New Roman"/>
          <w:sz w:val="18"/>
          <w:szCs w:val="18"/>
          <w:color w:val="auto"/>
        </w:rPr>
        <w:t>In order to maintain qualification as a REIT, we must annually satisfy two gross income tests. First, at least 75% of the REIT's gross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gross income from prohibited transactions, certain hedging transactions entered into after July 30, 2008, and certain foreign currency gains recognized after July 30, 2008, for each taxable year must be derived directly or indirectly from investments relating to real property or mortgages on real property, including rents from real property and, in specific circumstances, from certain types of temporary investments. Second, at least 95% of the REIT's gross income, excluding gross income from prohibited transactions, certain hedging transactions, and certain foreign currency gains recognized after July 30, 2008, for each taxable year must be derived from such real property investments described above and from dividends, interest and gain from the sale or disposition of stock or securities, or from any combination of the foregoing. If we fail to satisfy one or both of the 75% or the 95% gross income tests for any taxable year, we nevertheless may qualify as a REIT for such year if we are entitled to relief under specific provisions of the Code. These relief provisions generally are available if our failure to meet any such tests was due to reasonable cause and not due to willful neglect, we attach a schedule of the sources of our income to our federal corporate income tax return and any incorrect information on the schedule was not due to fraud with intent to evade tax. It is not possible, however, to state whether in all circumstances we would be entitled to the benefit of these relief provisions. As discussed above, even if these relief provisions were to apply, a tax would be imposed with respect to the non-qualifying gross income.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the income tests, rents received by a REIT will qualify as rents from real property only if the following conditions are met:</w:t>
      </w:r>
    </w:p>
    <w:p>
      <w:pPr>
        <w:spacing w:after="0" w:line="239" w:lineRule="exact"/>
        <w:rPr>
          <w:sz w:val="20"/>
          <w:szCs w:val="20"/>
          <w:color w:val="auto"/>
        </w:rPr>
      </w:pPr>
    </w:p>
    <w:p>
      <w:pPr>
        <w:ind w:left="1080" w:right="24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must not be based in whole or in part on the income or profits of any person. However, an amount received or accrued generally will not be excluded from rents from real property solely by reason of being based on a fixed percentage or percentages of receipts or sales;</w:t>
      </w:r>
    </w:p>
    <w:p>
      <w:pPr>
        <w:spacing w:after="0" w:line="213"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received from a tenant generally will not qualify as rents from real property in satisfying the gross income tests if the REIT, or a direct or indirect owner of 10% or more of the REIT, directly or constructively, owns 10% or more of such tenant;</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rent attributable to personal property, leased in connection with a lease of real property, is greater than 15% of the total rent received under the lease, then the portion of rent attributable to such personal property will not qualify as rents from real property; and</w:t>
      </w:r>
    </w:p>
    <w:p>
      <w:pPr>
        <w:spacing w:after="0" w:line="187"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REIT generally must not operate or manage the property or furnish or render services to tenants, except through a Taxable REIT Subsidiary (as defined herein) or through an independent contractor who is adequately compensated and from whom the REIT derives no income.</w:t>
      </w:r>
    </w:p>
    <w:p>
      <w:pPr>
        <w:spacing w:after="0" w:line="128"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independent contractor requirement, however, does not apply to the extent the services provided by the REIT are usually or customarily rendered in connection with the rental of space for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 xml:space="preserve">occupancy only and are not otherwise considered rendered to the occupant. Additionally, under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rule for noncustomary services, if the value of the noncustomary service income with respect to a property, valued at no less than 150% of the REIT's direct costs of performing such services, is 1% or less of the total income derived from the property, then the noncustomary service income will not cause other income from the property to fail to qualify as rents from real property (but the noncustomary service income itself will never qualify as rents from real property).</w:t>
      </w:r>
    </w:p>
    <w:p>
      <w:pPr>
        <w:spacing w:after="0" w:line="189"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have received a favorable ruling from the IRS with respect to our provision of telecommunication services, including high-speed Internet access, to our tenants. Under the ruling, providing these services to a property will not disqualify rents received from the property. In addition, amounts that we receive for providing these services will constitute rents from real property.</w:t>
      </w:r>
    </w:p>
    <w:p>
      <w:pPr>
        <w:spacing w:after="0" w:line="186" w:lineRule="exact"/>
        <w:rPr>
          <w:sz w:val="20"/>
          <w:szCs w:val="20"/>
          <w:color w:val="auto"/>
        </w:rPr>
      </w:pPr>
    </w:p>
    <w:p>
      <w:pPr>
        <w:ind w:firstLine="351"/>
        <w:spacing w:after="0" w:line="283" w:lineRule="auto"/>
        <w:rPr>
          <w:sz w:val="20"/>
          <w:szCs w:val="20"/>
          <w:color w:val="auto"/>
        </w:rPr>
      </w:pPr>
      <w:r>
        <w:rPr>
          <w:rFonts w:ascii="Times New Roman" w:cs="Times New Roman" w:eastAsia="Times New Roman" w:hAnsi="Times New Roman"/>
          <w:sz w:val="16"/>
          <w:szCs w:val="16"/>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and thus will be exempt from the 95% gross income test to the extent such a hedging transaction is entered into on or after January 1, 2005, and will not constitute gross income and thus will be exempt from the 75% gross income test as well as the 95% gross income test to the extent such hedging transaction is entered into after July 30, 2008. Income and gain from a hedging transaction, including gain from the sale or disposition of such a transaction, entered into on or prior to July 30, 2008 will be treated as nonqualifying income for purposes of the 75% gross income test. Income and gain from a hedging transaction, including gain from the sale or disposition of such a transaction, entered into prior to January 1, 2005 will be qualifying income for purposes of the 95% gross income test. The term "hedging transaction," as used above, generally means any transaction we enter into in the normal course of our business primarily to manage risk of</w:t>
      </w:r>
    </w:p>
    <w:p>
      <w:pPr>
        <w:spacing w:after="0" w:line="5" w:lineRule="exact"/>
        <w:rPr>
          <w:sz w:val="20"/>
          <w:szCs w:val="20"/>
          <w:color w:val="auto"/>
        </w:rPr>
      </w:pPr>
    </w:p>
    <w:p>
      <w:pPr>
        <w:ind w:right="40" w:firstLine="8"/>
        <w:spacing w:after="0" w:line="253"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or fluctuations with respect to borrowings made or to be made by us to acquire or carry real estate assets, or (2) for hedging transactions entered into after July 30, 2008, currency fluctuations with respect to an item of qualifying income under the 75% or 95% gross income test.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91" w:lineRule="exact"/>
        <w:rPr>
          <w:sz w:val="20"/>
          <w:szCs w:val="20"/>
          <w:color w:val="auto"/>
        </w:rPr>
      </w:pPr>
    </w:p>
    <w:p>
      <w:pPr>
        <w:ind w:right="14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Prohibited Transaction Income. </w:t>
      </w:r>
      <w:r>
        <w:rPr>
          <w:rFonts w:ascii="Times New Roman" w:cs="Times New Roman" w:eastAsia="Times New Roman" w:hAnsi="Times New Roman"/>
          <w:sz w:val="18"/>
          <w:szCs w:val="18"/>
          <w:color w:val="auto"/>
        </w:rPr>
        <w:t>Any gain that we realize (including any net foreign currency gain recognized after July 30, 2008) on the sale of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as inventory or otherwise held primarily for sale to customers in the ordinary course of business (other than foreclosure property) will be treated as income from a prohibited transaction that is subject to a 100% penalty tax. This prohibited transaction income may also adversely affect our ability to satisfy the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We intend to hold our properties for investment with a view to long-term appreciation, to engage in the business of acquiring, developing and owning our properties and to make occasional sales of the properties as are consistent with our investment objectives. We do not intend to enter into any sales that are prohibited transactions. However, the IRS may successfully contend that some or all of our sales are prohibited transactions, and we would be required to pay the 100% penalty tax on the gains resulting from any such sales.</w:t>
      </w:r>
    </w:p>
    <w:p>
      <w:pPr>
        <w:spacing w:after="0" w:line="197" w:lineRule="exact"/>
        <w:rPr>
          <w:sz w:val="20"/>
          <w:szCs w:val="20"/>
          <w:color w:val="auto"/>
        </w:rPr>
      </w:pPr>
    </w:p>
    <w:p>
      <w:pPr>
        <w:ind w:right="2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Penalty Tax. </w:t>
      </w:r>
      <w:r>
        <w:rPr>
          <w:rFonts w:ascii="Times New Roman" w:cs="Times New Roman" w:eastAsia="Times New Roman" w:hAnsi="Times New Roman"/>
          <w:sz w:val="18"/>
          <w:szCs w:val="18"/>
          <w:color w:val="auto"/>
        </w:rPr>
        <w:t>Any redetermined rents, redetermined deductions or excess interest we generate will be subject to a 100% penalty tax.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redetermined rents are rents from real property that are overstated as a result of any services furnished to any of our tenants by one of our taxable REIT subsidiaries, and redetermined deductions and excess interest represent any amounts that are deducted by a taxable REIT subsidiary for amounts paid to us that are in excess of the amounts that would have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been deducted based on arm's-length negotiations. Rents we receive will not constitute redetermined rents if they qualify for certain safe harbor provisions contained in the Code.</w:t>
      </w:r>
    </w:p>
    <w:p>
      <w:pPr>
        <w:spacing w:after="0" w:line="174"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our taxable REIT subsidiaries may provide services to our tenants. We intend to set any fees paid to our taxable REIT subsidiaries for such services at arm's-length rates, although the fees paid may not satisfy the safe-harbor provisions described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191" w:lineRule="exact"/>
        <w:rPr>
          <w:sz w:val="20"/>
          <w:szCs w:val="20"/>
          <w:color w:val="auto"/>
        </w:rPr>
      </w:pPr>
    </w:p>
    <w:p>
      <w:pPr>
        <w:ind w:right="40" w:firstLine="3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Asset Tests. </w:t>
      </w:r>
      <w:r>
        <w:rPr>
          <w:rFonts w:ascii="Times New Roman" w:cs="Times New Roman" w:eastAsia="Times New Roman" w:hAnsi="Times New Roman"/>
          <w:sz w:val="18"/>
          <w:szCs w:val="18"/>
          <w:color w:val="auto"/>
        </w:rPr>
        <w:t>In order to maintain qualification as a REIT, we must also satisfy, at the close of each quarter of our taxable year, the following tests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our assets:</w:t>
      </w:r>
    </w:p>
    <w:p>
      <w:pPr>
        <w:spacing w:after="0" w:line="186" w:lineRule="exact"/>
        <w:rPr>
          <w:sz w:val="20"/>
          <w:szCs w:val="20"/>
          <w:color w:val="auto"/>
        </w:rPr>
      </w:pPr>
    </w:p>
    <w:p>
      <w:pPr>
        <w:ind w:left="1080" w:right="140" w:hanging="532"/>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be represented by real estate assets, including (a) our allocable share of real estate assets held by SL Green Operating Partnership or any partnerships in which SL Green Operating Partnership owns an interest and (b) stock or debt instruments held for not more than one year purchased with the proceeds of a stock offering or long-term (i.e., at least five-year) public debt offering by us, cash, cash items and government securities;</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total assets may consist of securities other than those that qualify under the 75% test described above;</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(20% for our taxable years beginning before January 1, 2009) of the value of our total assets may be securities of one or more Taxable REIT Subsidiaries;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securities in the 75% asset class and securities of a Taxable REIT Subsidiary or a qualified REIT subsidiary: (a) the value of any one issuer's securities owned by us may not exceed 5% of the value of our total assets; (b) we may not own more than 10% of the total voting power of any one issuer's outstanding securities; and (c) we may not own more than 10% of the total value of any one issuer's outstanding securities (other than certain "straight debt" securities).</w:t>
      </w:r>
    </w:p>
    <w:p>
      <w:pPr>
        <w:spacing w:after="0" w:line="190" w:lineRule="exact"/>
        <w:rPr>
          <w:sz w:val="20"/>
          <w:szCs w:val="20"/>
          <w:color w:val="auto"/>
        </w:rPr>
      </w:pPr>
    </w:p>
    <w:p>
      <w:pPr>
        <w:ind w:right="160" w:firstLine="348"/>
        <w:spacing w:after="0" w:line="293" w:lineRule="auto"/>
        <w:rPr>
          <w:sz w:val="20"/>
          <w:szCs w:val="20"/>
          <w:color w:val="auto"/>
        </w:rPr>
      </w:pPr>
      <w:r>
        <w:rPr>
          <w:rFonts w:ascii="Times New Roman" w:cs="Times New Roman" w:eastAsia="Times New Roman" w:hAnsi="Times New Roman"/>
          <w:sz w:val="16"/>
          <w:szCs w:val="16"/>
          <w:color w:val="auto"/>
        </w:rPr>
        <w:t>We own in excess of 10% of the stock of a number of private REITs, each of which has elected to be taxed as a REIT for federal income tax purposes. As a REIT, each of these companies is subject to the various REIT qualification requirements. We believe that each of these companies has been organized and has operated in a manner to qualify for taxation as a REIT for federal income tax purposes and will continue to be organized and operated in this manner. If any of these companies were to fail to qualify as a REIT, our interest in the stock of such company could cease to be a qualifying real estate asset for purposes of the 75% asset test and could thus become subject to the 5% asset test, the 10% voting stock limitation and the 10% value limitation applicable to our ownership in corporations generally (other than REITs, qualified REIT subsidiaries and Taxable REIT Subsidiaries). As a result, we could fail to qualify as a REIT.</w:t>
      </w:r>
    </w:p>
    <w:p>
      <w:pPr>
        <w:spacing w:after="0" w:line="163"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Taxable REIT Subsidiary</w:t>
      </w:r>
      <w:r>
        <w:rPr>
          <w:rFonts w:ascii="Times New Roman" w:cs="Times New Roman" w:eastAsia="Times New Roman" w:hAnsi="Times New Roman"/>
          <w:sz w:val="18"/>
          <w:szCs w:val="18"/>
          <w:color w:val="auto"/>
        </w:rPr>
        <w:t>" is a corporation in which we own an interest that may earn income that would not be qualifying income if we earned it directly and may hold assets that would not be qualifying assets if we held them directly. We may hold up to 100% of the stock in a Taxable REIT Subsidiary. To treat a corporation as a Taxable REIT Subsidiary, we and the corporation must make a joint election by filing a Form 8875 with the IRS. A Taxable REIT Subsidiary will be liable for tax at corporate rates on any income it earns. Moreover, to prevent shifting of income and expenses between us and a Taxable REIT Subsidiary, the Code imposes on us a tax equal to 100% of certain items of income and expense that are not allocated between us and the Taxable REIT Subsidiary at arm's length (as described above). The 100% tax is also imposed to the extent we charge a Taxable REIT Subsidiary interest in excess of a commercially reasonable rate (as described above).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After initially meeting an asset test at the close of any quarter, we will not lose our status as a REIT for failure to satisfy that asset test at the end of a later quarter solely by reason of changes in asset values (including, for tax years beginning after July 30, 2008, a discrepancy caused solely by the change in the foreign currency exchange rate used to value a foreign asset). If the failure to satisfy the asset test results from an acquisition of securities or other property during a quarter, the failure can be cured by disposition of sufficient nonqualifying assets within 30 days after the close of that quarter.</w:t>
      </w:r>
    </w:p>
    <w:p>
      <w:pPr>
        <w:spacing w:after="0" w:line="19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Effective beginning with our 2005 taxable year, we would not lose our REIT status as the result of a failure to meet the 5% test, the 10% vote test or the 10% value test if the value of the assets causing the violation did not exceed the lesser of 1% of the value of our assets at the end of the quarter in which the violation occurred or $10,000,000 and we were to cure the violation by disposing of assets within six months of the end of the quarter in which we identified the failure. In addition, for a failure to meet the 5% test, the 10% vote test or the 10% value test that is larger than this amount, and for a failure to meet the 75% test, the 25% test, or the 25% (20% for our taxable years beginning before January 1, 2009) taxable REIT subsidiary asset test, we would not lose our REIT status if the failure were for reasonable cause and not due to willful neglect and we were to (i) file a schedule with the IRS describing the assets causing the violation, (ii) cure the violation by disposing of assets within six months of the end of the quarter in which we identified the failure and (iii) pay a tax equal to the greater of $50,000 or the product derived by multiplying the highest federal corporate income tax rate by the net income generated by the non-qualifying assets during the period of the failure. It is not possible, however, to state whether in all cases we would be entitled to these relief provisions.</w:t>
      </w:r>
    </w:p>
    <w:p>
      <w:pPr>
        <w:spacing w:after="0" w:line="195"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Annual Distribution Requirements. </w:t>
      </w:r>
      <w:r>
        <w:rPr>
          <w:rFonts w:ascii="Times New Roman" w:cs="Times New Roman" w:eastAsia="Times New Roman" w:hAnsi="Times New Roman"/>
          <w:sz w:val="16"/>
          <w:szCs w:val="16"/>
          <w:color w:val="auto"/>
        </w:rPr>
        <w:t>In order to qualify as a REIT, we are required to distribute dividends, other than capital gain dividends,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in an amount at least equal to (a) the sum of (A) 90% of our REIT taxable income (computed without regard to the dividends paid deduction and our net capital gain) and (B) 90% of the net income, after tax, if any, from foreclosure property, minus (b) the sum of specific items of non-cash income. We must pay the distribution during the taxable year to which the distributions relate, or during the following taxable year, if declared before we timely file our tax return for the preceding year and paid on or before the first regular dividend payment after the declaration. In addition, a dividend declared and payable to a stockholder of record in October, November or December of any year may be treated as paid and received on December 31 of such year even if paid in January of the following year. To the extent that we do not distribute all of our net capital gain or distribute at least 90%, but less than 100%, of our REIT ordinary taxable income, we will be subject to tax on the undistributed amount at regular corporate capital gain and ordinary income rates, respectively. Furthermore, if we fail to distribute during each calendar year at least the sum of (a) 85% of our REIT ordinary income for such year, (b) 95% of our REIT capital gain income for such year and (c) any undistributed taxable income from prior periods, we will be subject to a 4% excise tax on the excess of such amounts over the amounts actually distributed.</w:t>
      </w:r>
    </w:p>
    <w:p>
      <w:pPr>
        <w:spacing w:after="0" w:line="171"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intend to make timely distributions sufficient to satisfy the annual distribution requirements. In this regard, it is expected that our REIT taxable income will be less than our cash flow due to the allowance of depreciation and other non-cash charges in computing REIT taxable income. Moreover, the partnership agreement of SL Green Operating Partnership authorizes us, as general partner, to take such steps as may be necessary to cause SL Green Operating Partnership to make distributions to its partners in amounts sufficient to permit us to meet these distribution requirements. It is possible, however, that we may not have sufficient cash or other liquid assets to meet the 90% distribution requirement. In the event that such circumstances do occur, then in order to meet the 90% distribution requirement, we may cause SL Green Operating Partnership to arrange for short-term, or possibly long-term, borrowings to permit the payment of required distributions.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The decision to authorize and pay dividends on our common stock in the future, as well as the timing, amount and composition of any such dividends, is at the sole discretion of our board of directors.</w:t>
      </w:r>
    </w:p>
    <w:p>
      <w:pPr>
        <w:spacing w:after="0" w:line="195" w:lineRule="exact"/>
        <w:rPr>
          <w:sz w:val="20"/>
          <w:szCs w:val="20"/>
          <w:color w:val="auto"/>
        </w:rPr>
      </w:pPr>
    </w:p>
    <w:p>
      <w:pPr>
        <w:ind w:right="280" w:firstLine="351"/>
        <w:spacing w:after="0" w:line="310" w:lineRule="auto"/>
        <w:rPr>
          <w:sz w:val="20"/>
          <w:szCs w:val="20"/>
          <w:color w:val="auto"/>
        </w:rPr>
      </w:pPr>
      <w:r>
        <w:rPr>
          <w:rFonts w:ascii="Times New Roman" w:cs="Times New Roman" w:eastAsia="Times New Roman" w:hAnsi="Times New Roman"/>
          <w:sz w:val="16"/>
          <w:szCs w:val="16"/>
          <w:color w:val="auto"/>
        </w:rPr>
        <w:t>Under specific circumstances, we may rectify a failure to meet the distribution requirement for a year by paying deficiency dividends to stockholders in a later year that may be included in our deduction for dividends paid for the earlier year. Thus, we may be able to avoid being taxed on amounts distributed as deficiency dividends. However, we would be required to pay to the IRS interest based upon the amount of any deduction taken for deficiency dividends.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Failure to Qualify</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If we fail to qualify for taxation as a REIT in any taxable year and certain relief provisions do not apply, we will be subject to tax, including any applicable alternative minimum tax, on our taxable income at regular corporate rates. Distributions to stockholders in any year in which we fail to qualify as a REIT will not be deductible by us, nor will we be required to make distributions. Unless entitled to relief under specific statutory provisions, we also will be disqualified from taxation as a REIT for the four taxable years following the year during which qualification was lost. It is not possible to state whether in all circumstances we would be entitled to such statutory relief.</w:t>
      </w:r>
    </w:p>
    <w:p>
      <w:pPr>
        <w:spacing w:after="0" w:line="193"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Effective beginning with our 2005 taxable year, we would not lose our REIT status as the result of a failure to satisfy certain REIT requirements, such as requirements involving our organizational structure, if the failure was due to reasonable cause and not due to willful neglect and we were to pay a tax of $50,000. It is not possible, however, to state whether in all cases we would be entitled to this statutory relief.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Effect of Tax Status of SL Green Operating Partnership and Other Entities on REIT Qualification</w:t>
      </w:r>
    </w:p>
    <w:p>
      <w:pPr>
        <w:spacing w:after="0" w:line="227" w:lineRule="exact"/>
        <w:rPr>
          <w:sz w:val="20"/>
          <w:szCs w:val="20"/>
          <w:color w:val="auto"/>
        </w:rPr>
      </w:pPr>
    </w:p>
    <w:p>
      <w:pPr>
        <w:ind w:firstLine="341"/>
        <w:spacing w:after="0" w:line="339" w:lineRule="auto"/>
        <w:rPr>
          <w:sz w:val="20"/>
          <w:szCs w:val="20"/>
          <w:color w:val="auto"/>
        </w:rPr>
      </w:pPr>
      <w:r>
        <w:rPr>
          <w:rFonts w:ascii="Times New Roman" w:cs="Times New Roman" w:eastAsia="Times New Roman" w:hAnsi="Times New Roman"/>
          <w:sz w:val="16"/>
          <w:szCs w:val="16"/>
          <w:color w:val="auto"/>
        </w:rPr>
        <w:t>All of our significant investments are held through SL Green Operating Partnership. SL Green Operating Partnership may hold interests in properties through property-owning entities. SL Green Operating Partnership and the property-owning entities involve special tax considerations. These tax considerations include:</w:t>
      </w:r>
    </w:p>
    <w:p>
      <w:pPr>
        <w:spacing w:after="0" w:line="142" w:lineRule="exact"/>
        <w:rPr>
          <w:sz w:val="20"/>
          <w:szCs w:val="20"/>
          <w:color w:val="auto"/>
        </w:rPr>
      </w:pPr>
    </w:p>
    <w:p>
      <w:pPr>
        <w:ind w:left="1080" w:right="10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income and expense items of SL Green Operating Partnership and the property owning entities, which could affect the computation of our taxable income;</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SL Green Operating Partnership and the property-owning entities as partnerships or entities that are disregarded as entities separate from their owners, as opposed to associations taxable as corporations, for income tax purposes; and</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actions by SL Green Operating Partnership or any of the property-owning entities that could adversely affect our qualification as a REIT.</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 the opinion of Greenberg Traurig, LLP, based on the factual representations by us and SL Green Operating Partnership, as set forth in the first paragraph of this section, for federal income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tax purposes SL Green Operating Partnership will be treated as a partnership and none of the property-owning entities (other than a Taxable REIT Subsidiary or an entity that is a REIT) will be treated as an association taxable as a corporation. If, however, SL Green Operating Partnership or any of such other entities were treated as an association taxable as a corporation, we would fail to qualify as a REIT for a number of reasons.</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partnership agreement requires that SL Green Operating Partnership be operated in a manner that will enable us to satisfy the requirements for classification as a REIT. In this regard, we will control the operation of SL Green Operating Partnership through our rights as the sole general partner of SL Green Operating Partnership.</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 Allocations with respect to the Properties</w:t>
      </w:r>
    </w:p>
    <w:p>
      <w:pPr>
        <w:spacing w:after="0" w:line="227"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6"/>
          <w:szCs w:val="16"/>
          <w:color w:val="auto"/>
        </w:rPr>
        <w:t>When property is contributed to a partnership in exchange for an interest in the partnership, the partnership generally takes a carryover basis in that property for tax purposes. Therefore, the partnership's basis is equal to the adjusted basis of the contributing partner in the property, rather than a basis equal to the fair market value of the property at the time of contribution. Pursuant to Section 704(c) of the Code, income, gain, loss and deductions attributable to such contributed property must be allocated in a manner such that the contributing partner is charged with, or benefits from, respectively, the unrealized gain or unrealized loss associated with the property at the time of the contribution. The amount of unrealized gain or unrealized loss is generally equal to the difference between the fair market value of the contributed property at the time of contribution and the adjusted tax basis of such property at the time of contribution, which we refer to as a "Book-Tax Difference." Such allocations are solely for federal income tax purposes and do not affect the book capital accounts or other economic or legal arrangements among the partners. SL Green Operating Partnership has acquired properties in connection with its formation and subsequent thereto by way of contributions of appreciated property to SL Green Operating Partnership in the transactions leading to its formation. Consequently, the partnership agreement requires these allocations to be made in a manner consistent with Section 704(c) of the Code and the Treasury regulations thereunder, which we refer to as the "Section 704(c) Regulations." The Section 704(c) Regulations require partnerships to use a "reasonable method" for allocation of items affected by Section 704(c) of the Code and they outline three methods which may be considered reasonable for these purposes. SL Green Operating Partnership generally uses the "traditional method" of Section 704(c) allocations, which is the least favorable method from our perspective because of technical limitations. Under the traditional method, depreciation with respect to a contributed property for which there is a Book-Tax Difference first will be allocated to us and other partners that did not have an interest in the property until they have been allocated an amount of depreciation equal to what they would have been allocated if SL Green Operating Partnership had purchased such property for its fair market value at the time of contribution. In addition, if this property is sold, gain equal to the Book-Tax Difference at the time of sale will be specially allocated to the contributor of the property. These allocations tend to eliminate the Book-Tax Differences with respect to the contributed properties over the depreciable lives of the contributed property. However, they may not always entirely eliminate the Book-Tax Difference on an annual basis or with respect to a specific taxable transaction such as a sale. This could cause us (a) to be allocated lower depreciation deductions for tax purposes than would be allocated to us if all properties were to have a tax basis equal to their fair market value at the time of contribution and (b) to be allocated lower amounts of taxable loss in the event of a sale of interests in such contributed properties at a book loss, than the economic or book loss allocated to us as a result of such sale, with a corresponding benefit to the other partners in SL Green Operating Partnership. These allocations might adversely affect our ability to comply with REIT distribution requirements, although we do not anticipate that this will occur. These allocations may also affect our earnings and profits for purposes of determining the portion of distributions taxable as dividend income. The application of these rules over time may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result in a higher portion of distributions being taxed as dividends than would have occurred had we purchased our interests in the properties at their agreed values.</w:t>
      </w:r>
    </w:p>
    <w:p>
      <w:pPr>
        <w:spacing w:after="0" w:line="174"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Interests in properties purchased by SL Green Operating Partnership for cash will initially have a tax basis equal to their fair market values. Thus, Section 704(c) of the Code will not apply to such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Stockholders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discussion does not address all of the tax consequences that may be relevant to particular stockholders in light of their particular circumstances.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consult their own tax advisors for a complete description of the tax consequences of investing in our stock.</w:t>
      </w:r>
    </w:p>
    <w:p>
      <w:pPr>
        <w:spacing w:after="0" w:line="213"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As used herein, the term "U.S. Stockholder" means a stockholder who is a U.S. Person. A U.S. Person means any beneficial owner of our stock or notes, other than an entity or arrangement treated as a partnership for U.S. federal income tax purposes, that is, for U.S. federal income tax purposes (i) a citizen or resident of the United States, (ii) a corporation (or 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(iv) a trust if (A) a court within the United States is able to exercise primary supervision over the administration of the trust and (B) one or more U.S. persons have the authority to control all substantial decisions of the trust, or (v) an eligible trust that elects to be taxed as a U.S. person under applicable Treasury Regulations.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used herein, the term "Non-U.S. Stockholder" means a beneficial owner of our stock, other than an entity or arrangement treated as a partnership for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that is not a U.S. Stockholder.</w:t>
      </w:r>
    </w:p>
    <w:p>
      <w:pPr>
        <w:spacing w:after="0" w:line="213"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is a beneficial owner of our common stock, the treatment of a partner in the partnership will generally depend upon the status of the partner, the activities of the partnership and certain determinations made at the partner level. A beneficial owner of our common stock that is a partnership and partners in such partnership should consult their tax advisors about the U.S. federal income tax consequences of owning and disposing of our common stock.</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Stockholders</w:t>
      </w:r>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As long as we qualify as a REIT, distributions made to our taxable U.S. Stockholders out of current or accumulated earnings and profits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designated as capital gain dividends will be taken into account by them as ordinary income. Corporate stockholders will not be eligible for the dividends received deduction as to such amounts. Earnings and profits are allocated to distributions with respect to preferred stock before they are allocated to distributions with respect to common stock. Distributions that are designated as capital gain dividends will be taxed as capital gains to the extent they do not exceed our actual net capital gain for the taxable year without regard to the period for which the stockholder has held our stock. If we elect to retain and pay income tax on any net capital gain, a U.S. Stockholder would include in its income as capital gain its proportionate share of such net capital gain. A U.S. Stockholder would also receive the right to claim a refundable tax credit for such stockholder's proportionate share of the tax paid by us on such retained capital gains and an increase in its basis in our stock. This increase in basis will be in an amount equal to the excess of the undistributed capital gains over the amount of tax paid thereon by us. Distributions in excess of current and accumulated earnings and profits will not be taxable to a U.S. Stockholder to the extent that they do not exceed the adjusted basis of the stock, but rather will reduce the adjusted basis of such U.S. Stockholder's stock. To the extent that such distributions exceed a U.S. Stockholder's adjusted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in the stock, such distributions will be included in income as capital gain, assuming the stock is a capital asset in the hands of the stockholder.</w:t>
      </w:r>
    </w:p>
    <w:p>
      <w:pPr>
        <w:spacing w:after="0" w:line="225"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Any dividend declared by us in October, November or December of any year payable to a stockholder of record on a specific date in any such month shall be treated as both paid by us and received by the stockholder on December 31 of such year, provided the dividend is actually paid by us during January of the following calendar year.</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pay such a dividend, taxable U.S. Stockholders would generally be required to report the full amount of the dividend, including fair market value of any stock distributed, as ordinary income. The decision to authorize and pay dividends on our common stock in the future, as well as the timing, amount and composition of any such dividends, is at the sole discretion of our board of directors.</w:t>
      </w:r>
    </w:p>
    <w:p>
      <w:pPr>
        <w:spacing w:after="0" w:line="190" w:lineRule="exact"/>
        <w:rPr>
          <w:sz w:val="20"/>
          <w:szCs w:val="20"/>
          <w:color w:val="auto"/>
        </w:rPr>
      </w:pPr>
    </w:p>
    <w:p>
      <w:pPr>
        <w:ind w:right="2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Sale or Exchange. </w:t>
      </w:r>
      <w:r>
        <w:rPr>
          <w:rFonts w:ascii="Times New Roman" w:cs="Times New Roman" w:eastAsia="Times New Roman" w:hAnsi="Times New Roman"/>
          <w:sz w:val="16"/>
          <w:szCs w:val="16"/>
          <w:color w:val="auto"/>
        </w:rPr>
        <w:t>In general, a taxable U.S. Stockholder recognizes capital gain or loss on the sale or exchange of our stock equal to the difference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between (a) the amount of cash and the fair market value of any property received on such disposition, and (b) the stockholder's adjusted basis in the stock. To the extent a U.S. Stockholder who is an individual, a trust or an estate holds the stock for more than one year, any gain recognized would be subject to tax rates applicable to long-term capital gains. However, any loss recognized by a U.S. Stockholder from selling or otherwise disposing of our stock held for six months or less will be treated as long-term capital loss to the extent of dividends received by the stockholder that were required to be treated as long-term capital gains.</w:t>
      </w:r>
    </w:p>
    <w:p>
      <w:pPr>
        <w:spacing w:after="0" w:line="158"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Rates. </w:t>
      </w:r>
      <w:r>
        <w:rPr>
          <w:rFonts w:ascii="Times New Roman" w:cs="Times New Roman" w:eastAsia="Times New Roman" w:hAnsi="Times New Roman"/>
          <w:sz w:val="18"/>
          <w:szCs w:val="18"/>
          <w:color w:val="auto"/>
        </w:rPr>
        <w:t>For taxable years beginning on or after January 1, 2013, the highest tax rate on capital gains of non-corporate U.S. Stockholders and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U.S. Stockholders is 20% and the highest marginal tax rate on ordinary income of individuals that are U.S. Stockholders is 39.6%.</w:t>
      </w:r>
    </w:p>
    <w:p>
      <w:pPr>
        <w:spacing w:after="0" w:line="17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Certain U.S. Stockholders who are individuals, estates or trusts are required to pay a 3.8% Medicare tax on, among other things, dividends on and capital gains from the sale or other disposition of our stock, subject to certain exceptions. U.S. Stockholders should consult their tax advisors regarding the effect, if any, of this tax on their ownership and disposition of our stock.</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be required to withhold a portion of capital gain distributions made to any stockholders who fail to certify their U.S. status to us.</w:t>
      </w:r>
    </w:p>
    <w:p>
      <w:pPr>
        <w:spacing w:after="0" w:line="223" w:lineRule="exact"/>
        <w:rPr>
          <w:sz w:val="20"/>
          <w:szCs w:val="20"/>
          <w:color w:val="auto"/>
        </w:rPr>
      </w:pPr>
    </w:p>
    <w:p>
      <w:pPr>
        <w:jc w:val="both"/>
        <w:ind w:right="220" w:firstLine="351"/>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Backup Withholding. </w:t>
      </w:r>
      <w:r>
        <w:rPr>
          <w:rFonts w:ascii="Times New Roman" w:cs="Times New Roman" w:eastAsia="Times New Roman" w:hAnsi="Times New Roman"/>
          <w:sz w:val="16"/>
          <w:szCs w:val="16"/>
          <w:color w:val="auto"/>
        </w:rPr>
        <w:t>We will report to our U.S. Stockholders and the IRS the amount of dividends paid during each calendar year and the amount of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withheld, if any, with respect thereto. Under the backup withholding rules, a stockholder may be subject to backup withholding currently at a rate of 28% with respect to dividends paid unless the stockholder (a) is a corporation or comes within other exempt categories and, when required, demonstrates this fact, or</w:t>
      </w:r>
    </w:p>
    <w:p>
      <w:pPr>
        <w:ind w:right="60" w:firstLine="8"/>
        <w:spacing w:after="0" w:line="261"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and certifies with respect to certain matters, and otherwise complies with the applicable requirements of the backup withholding rules.</w:t>
      </w:r>
    </w:p>
    <w:p>
      <w:pPr>
        <w:spacing w:after="0" w:line="186"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An individual who is a U.S. Stockholder may satisfy the requirements for avoiding backup withholding by providing us with an appropriately prepared IRS Form W-9. If a U.S. Stockholder does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provide us with its correct taxpayer identification number, then the U.S. Stockholder may also be subject to penalties imposed by the IRS.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refunded or credited against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federal income tax liability, provided the U.S. Stockholder timely furnishes the required information to the IRS.</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Tax-Exempt Stockholders</w:t>
      </w:r>
    </w:p>
    <w:p>
      <w:pPr>
        <w:spacing w:after="0" w:line="227" w:lineRule="exact"/>
        <w:rPr>
          <w:sz w:val="20"/>
          <w:szCs w:val="20"/>
          <w:color w:val="auto"/>
        </w:rPr>
      </w:pPr>
    </w:p>
    <w:p>
      <w:pPr>
        <w:ind w:right="140" w:firstLine="348"/>
        <w:spacing w:after="0" w:line="296" w:lineRule="auto"/>
        <w:rPr>
          <w:sz w:val="20"/>
          <w:szCs w:val="20"/>
          <w:color w:val="auto"/>
        </w:rPr>
      </w:pPr>
      <w:r>
        <w:rPr>
          <w:rFonts w:ascii="Times New Roman" w:cs="Times New Roman" w:eastAsia="Times New Roman" w:hAnsi="Times New Roman"/>
          <w:sz w:val="16"/>
          <w:szCs w:val="16"/>
          <w:color w:val="auto"/>
        </w:rPr>
        <w:t>The IRS has ruled that amounts distributed as dividends by a REIT generally do not constitute unrelated business taxable income, or UBTI, when received by a U.S. tax-exempt entity. Based on that ruling, the dividend income from our stock will not be UBTI to a U.S. tax-exempt stockholder, provided that the U.S. tax-exempt stockholder has not held stock as debt financed property within the meaning of the Code and such stock is not otherwise used in a trade or business unrelated to the U.S. tax-exempt stockholder's exempt purpose. Similarly, income from the sale of the stock will not constitute UBTI unless such tax-exempt stockholder has held such stock as debt financed property within the meaning of the Code or has used the stock in a trade or business.</w:t>
      </w:r>
    </w:p>
    <w:p>
      <w:pPr>
        <w:spacing w:after="0" w:line="162"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Notwithstanding the above paragraph, if we are a pension-held REIT, then any qualified pension trust that holds more than 10% of our stock will have to treat dividends as UBTI in the same proportion that our gross income would be UBTI. A qualified pension trust is any trust described in Section 401(a) of the Code that is exempt from tax under Section 501(a) of the Code. In general, we will be treated as a pension-held REIT if both (a) we are predominantly owned by qualified pension trusts (i.e., if one such trust holds more than 25% of the value of our stock or one or more such trusts, each holding more than 10% of the value of our stock, collectively hold more than 50% of the value of our stock) and (b) we would not be a REIT if we had to treat our stock held by qualified pension trust as owned by the qualified pension trust (instead of treating such stock as owned by the qualified pension trust's multiple beneficiaries). Although we do not anticipate being classified as a pension-held REIT, we cannot assume that this will always be the case.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addition, if you are a tax-exempt stockholder described in Section 512(a)(3) of the Code, then distributions received from us may also constitute UBTI.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described in Section 512(a)(3) of the Code if you qualify for exemption under Sections 501(c)(7), (9), (17), or (20) of the Code.</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Non-U.S. Stockholders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rules governing the U.S. federal income taxation of a Non-U.S. Stockholder are complex and no attempt will be made herein to provide more than a summary of such rules. Non-U.S. Stockholders should consult with their own tax advisors to determine the impact of U.S. federal, state and local income tax laws with regard to an investment in our stock, including any reporting requirements.</w:t>
      </w:r>
    </w:p>
    <w:p>
      <w:pPr>
        <w:spacing w:after="0" w:line="18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Ordinary Dividends. </w:t>
      </w:r>
      <w:r>
        <w:rPr>
          <w:rFonts w:ascii="Times New Roman" w:cs="Times New Roman" w:eastAsia="Times New Roman" w:hAnsi="Times New Roman"/>
          <w:sz w:val="18"/>
          <w:szCs w:val="18"/>
          <w:color w:val="auto"/>
        </w:rPr>
        <w:t>Distributions, other than distributions that are treated as attributable to gain from sales or exchanges by us of U.S.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and other than distributions designated by us as capital gain dividends, will be treated as ordinary income to the extent that they are made out of our current or accumulated earnings and profits. Such distributions to Non-U.S. Stockholders will ordinarily be subject to a withholding of U.S. federal income tax equal to 30% of the gross amount of the distribution, unless an applicable tax treaty reduces that tax rate. However, if income from the investment in the shares of our stock is treated as effectively connected with the Non-U.S. Stockholder's conduct of a U.S. trade or business, the Non-U.S. Stockholder generally will be subject to a tax at graduated rates in the same manner as U.S. stockholders are taxed with respect to such dividends and may also be subject to the 30% branch profits tax if the stockholder is a foreign 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were to pay such a dividend, we generally would be required to withhold U.S. federal income tax with respect to such dividends paid to Non-U.S. Stockholders, including in respect of all or a portion of such dividend that is payable in stock. The decision to authorize and pay dividends on our common stock in the future, as well as the timing, amount and composition of any such dividends, is at the sole discretion of our board of directors.</w:t>
      </w:r>
    </w:p>
    <w:p>
      <w:pPr>
        <w:spacing w:after="0" w:line="19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Dividends paid to an address in a country outside the United States are not presumed to be paid to a resident of such country for purposes of determining the applicability of withholding discussed above and the applicability of a tax treaty rate. A Non-U.S. Stockholder who wishes to claim the benefit of an applicable treaty rate generally will need to satisfy certification and other requirements, such as providing an IRS Form W-8BEN or W-8BEN-E, as applicable. A Non-U.S. Stockholder who wishes to claim that distributions are effectively connected with a United States trade or business, generally will need to satisfy certification and other requirements in order to avoid withholding, such as providing IRS Form W-8ECI. Other requirements may apply to Non-U.S. Stockholders that hold their shares through a financial intermediary or foreign partnership.</w:t>
      </w:r>
    </w:p>
    <w:p>
      <w:pPr>
        <w:spacing w:after="0" w:line="191" w:lineRule="exact"/>
        <w:rPr>
          <w:sz w:val="20"/>
          <w:szCs w:val="20"/>
          <w:color w:val="auto"/>
        </w:rPr>
      </w:pPr>
    </w:p>
    <w:p>
      <w:pPr>
        <w:ind w:right="12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Return of Capital. </w:t>
      </w:r>
      <w:r>
        <w:rPr>
          <w:rFonts w:ascii="Times New Roman" w:cs="Times New Roman" w:eastAsia="Times New Roman" w:hAnsi="Times New Roman"/>
          <w:sz w:val="16"/>
          <w:szCs w:val="16"/>
          <w:color w:val="auto"/>
        </w:rPr>
        <w:t>Distributions in excess of our current and accumulated earnings and profits, which are not treated as attributable to the gain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disposition by us of a U.S. real property interest, will not be taxable to a Non-U.S. Stockholder to the extent that they do not exceed the adjusted basis of our stock, but rather will reduce the adjusted basis of such stock. To the extent that such distributions exceed the adjusted basis of the stock, they will give rise to tax liability if the Non-U.S. Stockholder otherwise would be subject to tax on any gain from the sale or disposition of its stock, as described below. If it cannot be determined at the time a distribution is made whether such distribution will be in excess of current and accumulated earnings and profits, the distribution will be subject to withholding of U.S. federal income tax at the rate applicable to dividends. However, the Non-U.S. Stockholder may seek a refund of such amounts from the IRS to the extent it is subsequently determined that such distribution was, in fact, in excess of our current and accumulated earnings and profits.</w:t>
      </w:r>
    </w:p>
    <w:p>
      <w:pPr>
        <w:spacing w:after="0" w:line="16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Gain Dividends. </w:t>
      </w:r>
      <w:r>
        <w:rPr>
          <w:rFonts w:ascii="Times New Roman" w:cs="Times New Roman" w:eastAsia="Times New Roman" w:hAnsi="Times New Roman"/>
          <w:sz w:val="18"/>
          <w:szCs w:val="18"/>
          <w:color w:val="auto"/>
        </w:rPr>
        <w:t>For any year in which we qualify as a REIT, distributions that are attributable to gain from sales or exchanges by us of U.S.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interests will be taxed to a Non-U.S. Stockholder under the provisions of the Foreign Investment in Real Property Tax Act of 1980, as amended, or FIRPTA. Under FIRPTA, these distributions are taxed to a Non-U.S. Stockholder as if such gain were effectively connected with a U.S. business. Thus, Non-U.S. Stockholders will be taxed on such distributions at the same capital gain rates applicable to U.S. stockholders, subject to any applicable alternative minimum tax and special alternative minimum tax (in the case of nonresident alien individuals), without regard to whether such distributions are designated by us as capital gain dividends. Also, distributions subject to FIRPTA may be subject to a 30% branch profits tax in the hands of a corporate Non-U.S. Stockholder not entitled to treaty relief or exemption. We are required by applicable Treasury Regulations under FIRPTA to withhold 35% of any distribution that could be designated by us as a capital gain dividend. However, capital gain dividends paid to a Non-U.S. Stockholder with respect to a class of REIT stock that is regularly traded on an established securities market in the United States will be treated as ordinary dividends, and not as capital gain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dividends subject to FIRPTA, if the Non-U.S. Stockholder owns no more than 5% of the class of stock at any time during the one-year period ending on the dividend payment date.</w:t>
      </w:r>
    </w:p>
    <w:p>
      <w:pPr>
        <w:spacing w:after="0" w:line="17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or Exchange of Stock. </w:t>
      </w:r>
      <w:r>
        <w:rPr>
          <w:rFonts w:ascii="Times New Roman" w:cs="Times New Roman" w:eastAsia="Times New Roman" w:hAnsi="Times New Roman"/>
          <w:sz w:val="18"/>
          <w:szCs w:val="18"/>
          <w:color w:val="auto"/>
        </w:rPr>
        <w:t>Gain recognized by a Non-U.S. Stockholder upon a sale or exchange of stock, including a redemption that is treated as a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not be taxed under the provisions of FIRPTA if we are a domestically controlled qualified investment entity. A REIT is a "domestically controlled qualified investment entity" if at all times during a specified testing period less than 50% in value of its stock is held directly or indirectly by non-U.S. persons. However, gain not subject to FIRPTA will be taxable to a Non-U.S. Stockholder if (a) investment in the stock is treated as effectively connected with the Non-U.S. Stockholder's U.S. trade or business, in which case the Non-U.S. Stockholder will be subject to the same treatment as U.S. stockholders with respect to such gain, or (b) the Non-U.S. Stockholder is a nonresident alien individual who was present in the United States for 183 days or more during the taxable year (and certain other requirements are met), in which case the nonresident alien individual will be subject to a 30% tax on the individual's capital gains. A similar rule will apply to capital gain dividends not subject to FIRPTA.</w:t>
      </w:r>
    </w:p>
    <w:p>
      <w:pPr>
        <w:spacing w:after="0" w:line="194"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We will be a domestically controlled qualified investment entity if at all times during a specified testing period we are a REIT and less than 50% in value of our common stock is held, directly or indirectly, by non-U.S. persons. We believe that we currently are a domestically controlled qualified investment entity and, therefore, that the sale of our common stock would not be subject to taxation under FIRPTA. However, because our common stock is publicly traded, no assurance can be given that we are or will continue to be a domestically controlled qualified investment entity. If we were not a domestically controlled qualified investment entity, whether or not a Non-U.S. Stockholder's sale of stock would be subject to tax under FIRPTA would depend on whether or not the stock was regularly traded on an established securities market and on the size of the selling Non-U.S. Stockholder's interest in us. Currently, our stock is regularly traded on an established securities market. However, we cannot assure you that our stock will be so traded at the time you may wish to dispose of our stock. If the gain on the sale of the stock were to be subject to tax under FIRPTA, the Non-U.S. Stockholder would be subject to the same treatment as U.S. stockholders with respect to such gain, subject to any applicable alternative minimum tax and a special alternative minimum tax (in the case of nonresident alien individuals) and the purchaser of such stock may be required to withhold 10% of the gross purchase price.</w:t>
      </w:r>
    </w:p>
    <w:p>
      <w:pPr>
        <w:spacing w:after="0" w:line="193"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Backup Withholding. </w:t>
      </w:r>
      <w:r>
        <w:rPr>
          <w:rFonts w:ascii="Times New Roman" w:cs="Times New Roman" w:eastAsia="Times New Roman" w:hAnsi="Times New Roman"/>
          <w:sz w:val="18"/>
          <w:szCs w:val="18"/>
          <w:color w:val="auto"/>
        </w:rPr>
        <w:t>Backup withholding tax will not apply to payments made by us or our agent on stock to a Non-U.S. Stockholder if an IRS Form W-8BEN or W-8BEN-E (or a suitable substitute form) is provided by such holder. Backup withholding is not an additional tax. Any amounts withheld under the backup withholding rules from a payment to a Non-U.S. Stockholder may be refunded or credited against the Non-U.S. Stockholder's federal income tax liability, provided the Non-U.S. Stockholder furnishes the required information timely to the IRS. For additional information on backup withholding See "—Taxation of Noteholders—Non-U.S. Noteholders—Backup Withholding and Information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Shelter Reporting</w:t>
      </w:r>
    </w:p>
    <w:p>
      <w:pPr>
        <w:spacing w:after="0" w:line="22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If a stockholder recognizes a loss with respect to the shares of (i) $2 million or more in a single taxable year or $4 million or more in a combination of taxable years, for a holder that is an individual, S corporation, trust, or a partnership with at least one noncorporate partner, or (ii) $10 million or more in a single taxable year or $20 million or more in a combination of taxable years, for a holder that is either a corporation or a partnership with only corporate partners, the stockholder may be required to file a disclosure statement with the Internal Revenue Service on Form 8886. Direct stockholders of portfolio securities are in many cases exempt from this reporting requirement, but stockholders of a REIT currently are not excepted. The fact that a loss is reportable under these regulations does not affect the legal determination of whether the taxpayer's treatment of the loss 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 Stockholders should consult their tax advisors to determine the applicability of these regulations in light of their individual circumstances.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Noteholders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United States federal income tax consequences of owning fixed rate notes that SL Green Operating Partnership or Reckson Operating Partnership may offer. It is not tax advice. It applies to you only if you purchase the notes in the initial offering at the offering price. If you purchase fixed rate notes at other than the offering price, the amortizable bond premium or market discount rules may apply to you. You should consult your own tax advisor regarding this possibility. The tax consequences of owning any floating rate debt securities, convertible or exchangeable debt securities or indexed debt securities will be discussed in the applicable prospectus supplement.</w:t>
      </w:r>
    </w:p>
    <w:p>
      <w:pPr>
        <w:spacing w:after="0" w:line="193"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used herein, the term "U.S. Noteholder" means any beneficial owner of a note that is, for U.S. federal income tax purposes, a U.S. Person. See "— Taxation of Stockholders" above. As used herein, the term "Non-U.S. Noteholder" means a beneficial owner of a note, other than an entity or arrangement treated as a partnership for U.S. federal income tax purposes, that is not a U.S. Noteholder.</w:t>
      </w:r>
    </w:p>
    <w:p>
      <w:pPr>
        <w:spacing w:after="0" w:line="186"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treated as a partnership for U.S. federal income tax purposes) is a beneficial owner of notes, the treatment of a partner in the partnership will generally depend upon the status of the partner and upon the activities of the partnership. A partner of a partnership holding a note should consult its tax advisor regarding U.S. federal, state, local and non-U.S. income tax considerations of the purchase, ownership and disposition of the notes.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U.S. Noteholders</w:t>
      </w:r>
    </w:p>
    <w:p>
      <w:pPr>
        <w:spacing w:after="0" w:line="225"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Stated Interest. </w:t>
      </w:r>
      <w:r>
        <w:rPr>
          <w:rFonts w:ascii="Times New Roman" w:cs="Times New Roman" w:eastAsia="Times New Roman" w:hAnsi="Times New Roman"/>
          <w:sz w:val="18"/>
          <w:szCs w:val="18"/>
          <w:color w:val="auto"/>
        </w:rPr>
        <w:t>The stated interest on a note generally will be taxable to a U.S. Noteholder as ordinary interest income either at the time it accrues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depending on such U.S. Noteholder's method of accounting for federal income tax purposes.</w:t>
      </w:r>
    </w:p>
    <w:p>
      <w:pPr>
        <w:spacing w:after="0" w:line="17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 </w:t>
      </w:r>
      <w:r>
        <w:rPr>
          <w:rFonts w:ascii="Times New Roman" w:cs="Times New Roman" w:eastAsia="Times New Roman" w:hAnsi="Times New Roman"/>
          <w:sz w:val="18"/>
          <w:szCs w:val="18"/>
          <w:color w:val="auto"/>
        </w:rPr>
        <w:t>It is possible that notes will be issued with original issue discount, or OID, for U.S. federal income tax purposes.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OID on a note will generally equal the excess of the "stated redemption price at maturity" of a note over its "issue price." A note will not be treated as issued with OID for U.S. federal income tax purposes, however, if the stated redemption price at maturity exceeds the issue price by less than .25% of the stated redemption price at maturity multiplied by the number of complete years to maturity. The stated redemption price at maturity of a note will equal the sum of its principal amount and all other payments thereunder, other than payments of "qualified stated interest," defined generally as stated interest that is unconditionally payable in cash or other property, other than our debt instruments, at least annually at a single fixed rate. The "issue price" of a note will equal the first price at which a substantial amount of notes are sold for money, excluding sales to underwriters, placement agents or wholesalers. The stated interest on the notes will constitute qualified stated interest.</w:t>
      </w:r>
    </w:p>
    <w:p>
      <w:pPr>
        <w:spacing w:after="0" w:line="19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If notes are issued with OID, a U.S. Noteholder will be required to include in taxable income for any particular taxable year the daily portion of the OID described in the preceding paragraph that accrues on the note for each day during the taxable year on which such holder holds the note, whether reporting on the cash or accrual basis of accounting for U.S. federal income tax purposes. Thus, a U.S. Noteholder will be required to include OID in income in advance of the receipt of the cash to which such OID is attributable. The daily portion is determined by allocating to each day of an accrual period (generally, the period between interest payments or compounding dates) a pro rata portion of the OID allocable to such accrual period. The amount of OID that will accrue during an accrual period is the product of the "adjusted issue price" of the note at the beginning of the accrual period multiplied by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yield to maturity of the note less the amount of any qualified stated interest allocable to such accrual period. The "adjusted issue price" of a note at the beginning of an accrual period will equal its issue price, increased by the aggregate amount of OID that has accrued on the note in all prior accrual periods, and decreased by any payments made during all prior accrual periods on the notes other than qualified stated interest.</w:t>
      </w:r>
    </w:p>
    <w:p>
      <w:pPr>
        <w:spacing w:after="0" w:line="186"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 U.S. Noteholder may elect to treat all interest on a note as OID and calculate the amount includible in gross income under the constant yield method described above. The election is to be made for the taxable year in which a U.S. Noteholder acquires a note and may not be revoked without the consent of the IRS. U.S. Noteholders should consult with their tax advisors about this election.</w:t>
      </w:r>
    </w:p>
    <w:p>
      <w:pPr>
        <w:spacing w:after="0" w:line="18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 Exchange, Retirement or Other Disposition. </w:t>
      </w:r>
      <w:r>
        <w:rPr>
          <w:rFonts w:ascii="Times New Roman" w:cs="Times New Roman" w:eastAsia="Times New Roman" w:hAnsi="Times New Roman"/>
          <w:sz w:val="18"/>
          <w:szCs w:val="18"/>
          <w:color w:val="auto"/>
        </w:rPr>
        <w:t>A U.S. Noteholder generally will recognize capital gain or loss upon the sale, exchange,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disposition of the notes in an amount equal to the difference, if any, between the amount realized on the disposition, other than any amount attributable to accrued but unpaid interest, and the U.S. Noteholder's adjusted tax basis in the notes. A U.S. Noteholder's adjusted tax basis in a note will generally be equal to the purchase price of such note, increased by any OID included in the U.S. Noteholder's income prior to the disposition of the note (if any) and decreased by any payments received on the note other than qualified stated interest. Any such gain or loss will be long-term if the notes have been held for more than one year. The claim of a deduction in respect of a capital loss, for U.S. federal income tax purposes, is subject to limitations.</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Backup Withholding and Information Reporting. </w:t>
      </w:r>
      <w:r>
        <w:rPr>
          <w:rFonts w:ascii="Times New Roman" w:cs="Times New Roman" w:eastAsia="Times New Roman" w:hAnsi="Times New Roman"/>
          <w:sz w:val="18"/>
          <w:szCs w:val="18"/>
          <w:color w:val="auto"/>
        </w:rPr>
        <w:t>U.S. Noteholders may be subject to information reporting and backup withholding with respect to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during each calendar year and the amount of tax withheld, if any, with respect thereto. Under the backup withholding rules, a U.S. Noteholder may be subject to backup withholding currently at a rate of 28% with respect to interest paid unless the holder (a) is a corporation or comes within other exempt categories and, when required, demonstrates this fact, or (b) provides a taxpayer identification number and certifies as to no loss of exemption, and otherwise complies with the applicable requirements of the backup withholding rules. In addition, we may be required to withhold a portion of capital gain distributions made to any stockholders who fail to certify their non-foreign status to us.</w:t>
      </w:r>
    </w:p>
    <w:p>
      <w:pPr>
        <w:spacing w:after="0" w:line="195"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An individual who is a U.S. Noteholder may satisfy the requirements for avoiding backup withholding by providing us with an appropriately prepared IRS Form W-9. If a U.S. Noteholder does not provide us with its correct taxpayer identification number, then the U.S. Noteholder may also be subject to penalties imposed by the IRS.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Backup withholding tax is not an additional tax. Any amounts withheld under the backup withholding tax rules will be refunded or credited against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Noteholder's federal income tax liability, provided the U.S. Noteholder furnishes the required information to the IRS.</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Taxation of Non-U.S. Noteholders</w:t>
      </w:r>
    </w:p>
    <w:p>
      <w:pPr>
        <w:spacing w:after="0" w:line="22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Payments of interest (including OID, if any) on notes made to a Non-U.S. Noteholder generally will not be subject to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withholding tax provided that (i) such holder (A) does not actually or constructively own 10% or more of the total combined voting power of all classes of our stock entitled to vote, (B) is not a controlled foreign corporation that is related to us through stock ownership for U.S. federal income tax purposes and (C) is not a bank receiving certain types of interest and (ii) the requirements described below under the heading "Backup Withholding and Information Reporting" are satisfied. If a Non-U.S. Noteholder does not satisfy the preceding requirements, payments of interest on the notes held by such holder will generally be subject to U.S. withholding tax at a 30% rate (or a lower applicable treaty rate).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 Exchange, Retirement or Other Disposition. </w:t>
      </w:r>
      <w:r>
        <w:rPr>
          <w:rFonts w:ascii="Times New Roman" w:cs="Times New Roman" w:eastAsia="Times New Roman" w:hAnsi="Times New Roman"/>
          <w:sz w:val="18"/>
          <w:szCs w:val="18"/>
          <w:color w:val="auto"/>
        </w:rPr>
        <w:t>A Non-U.S. Noteholder generally will not be subject to U.S. federal income tax on gain recognized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redemption or other disposition of a note.</w:t>
      </w:r>
    </w:p>
    <w:p>
      <w:pPr>
        <w:spacing w:after="0" w:line="170"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Backup Withholding and Information Reporting. </w:t>
      </w:r>
      <w:r>
        <w:rPr>
          <w:rFonts w:ascii="Times New Roman" w:cs="Times New Roman" w:eastAsia="Times New Roman" w:hAnsi="Times New Roman"/>
          <w:sz w:val="18"/>
          <w:szCs w:val="18"/>
          <w:color w:val="auto"/>
        </w:rPr>
        <w:t>Information reporting requirements and backup withholding generally will not apply to payments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to a Non-U.S. Noteholder if IRS Form W-8BEN or W-8BEN-E, as applicable is duly provided by such holder, provided that the withholding agent does not have actual knowledge that the holder is a U.S. person.</w:t>
      </w:r>
    </w:p>
    <w:p>
      <w:pPr>
        <w:spacing w:after="0" w:line="18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and backup withholding will not apply to any payment of the proceeds of the sale of a note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Noteholder and certain other conditions are met, or the beneficial owner otherwise establishes an exemption.</w:t>
      </w:r>
    </w:p>
    <w:p>
      <w:pPr>
        <w:spacing w:after="0" w:line="195" w:lineRule="exact"/>
        <w:rPr>
          <w:sz w:val="20"/>
          <w:szCs w:val="20"/>
          <w:color w:val="auto"/>
        </w:rPr>
      </w:pPr>
    </w:p>
    <w:p>
      <w:pPr>
        <w:ind w:right="480" w:firstLine="351"/>
        <w:spacing w:after="0" w:line="339" w:lineRule="auto"/>
        <w:rPr>
          <w:sz w:val="20"/>
          <w:szCs w:val="20"/>
          <w:color w:val="auto"/>
        </w:rPr>
      </w:pPr>
      <w:r>
        <w:rPr>
          <w:rFonts w:ascii="Times New Roman" w:cs="Times New Roman" w:eastAsia="Times New Roman" w:hAnsi="Times New Roman"/>
          <w:sz w:val="16"/>
          <w:szCs w:val="16"/>
          <w:color w:val="auto"/>
        </w:rPr>
        <w:t>Payment of the proceeds of any such sale to or through the United States office of a broker is subject to information reporting and backup withholding requirements, unless the beneficial owner of the note provides IRS Form W-8BEN or W-8BEN-E, as applicable or otherwise establishes an exemption.</w:t>
      </w:r>
    </w:p>
    <w:p>
      <w:pPr>
        <w:spacing w:after="0" w:line="128"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Any amount withheld from a payment to a holder of a note under the backup withholding rules is allowable as a credit against such holder's U.S. federal income tax liability (which might entitle such holder to a refund), provided that such holder furnishes the required information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Foreign Account Tax Compliance Act, which is referred to herein as FATCA, was originally enacted in 2010. Based on recent Internal Revenue Service guidance, the FATCA rules currently impose a U.S. federal withholding tax of 30% on (i) interest, dividends, and certain other withholdable payments from U.S. sources made after June 30, 2014, and (ii) the gross proceeds from the disposition of any property of the type that can produce interest or dividends from U.S. sources occurring after December 31, 2018. FATCA withholding generally applies to the payments or proceeds paid to certain non-U.S. entities (including, in some circumstances, where such an entity is receiving payment as an intermediary) that fail to comply with certain certification and information reporting requirements. Prospective investors should consult their own tax advisors regarding the effect, if any, of the FATCA rules for them based on their particular circumstances.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227" w:lineRule="exact"/>
        <w:rPr>
          <w:sz w:val="20"/>
          <w:szCs w:val="20"/>
          <w:color w:val="auto"/>
        </w:rPr>
      </w:pPr>
    </w:p>
    <w:p>
      <w:pPr>
        <w:ind w:firstLine="351"/>
        <w:spacing w:after="0" w:line="339" w:lineRule="auto"/>
        <w:rPr>
          <w:sz w:val="20"/>
          <w:szCs w:val="20"/>
          <w:color w:val="auto"/>
        </w:rPr>
      </w:pPr>
      <w:r>
        <w:rPr>
          <w:rFonts w:ascii="Times New Roman" w:cs="Times New Roman" w:eastAsia="Times New Roman" w:hAnsi="Times New Roman"/>
          <w:sz w:val="16"/>
          <w:szCs w:val="16"/>
          <w:color w:val="auto"/>
        </w:rPr>
        <w:t>In general, if an individual who is not a citizen or resident (as defined in the Code) of the United States owns (or is treated as owning) our stock at the date of death, such stock will be included in the individual's estate for U.S. federal estate tax purposes, unless an applicable estate tax treaty provides otherwise.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Local Tax</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and our stockholders may be subject to state and local tax in states and localities in which we and/or they do business or own property. Our tax treatment and the tax treatment of our stockholders in such jurisdictions may differ from the U.S. federal income tax treatment described above.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7"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Selling stockholders include certain persons or entities that, directly or indirectly, have acquired or may from time to time acquire from us, shares of SL Green's common stock in various private transactions. Such selling stockholders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stockholders," may from time to time offer and sell the securities pursuant to this prospectus and any applicable prospectus supplement.</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of the selling stockholders and the number of shares of SL Green's common stock beneficially owned by such selling stockholders that are covered by such prospectus supplement. The applicable prospectus supplement will also disclose whether any of the selling stockholders has held any position or office with us, has been employed by us or otherwise has had a material relationship with us during the three years prior to the date of the prospectus supplement.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right="60" w:firstLine="348"/>
        <w:spacing w:after="0" w:line="339" w:lineRule="auto"/>
        <w:rPr>
          <w:sz w:val="20"/>
          <w:szCs w:val="20"/>
          <w:color w:val="auto"/>
        </w:rPr>
      </w:pPr>
      <w:r>
        <w:rPr>
          <w:rFonts w:ascii="Times New Roman" w:cs="Times New Roman" w:eastAsia="Times New Roman" w:hAnsi="Times New Roman"/>
          <w:sz w:val="16"/>
          <w:szCs w:val="16"/>
          <w:color w:val="auto"/>
        </w:rPr>
        <w:t>We may sell the securities to one or more underwriters for public offering and sale by them, to investors directly or through agents or through a combination of any of these methods of sale. Any underwriter or agent involved in the offer and sale of the securities will be named in the applicable prospectus supplement.</w:t>
      </w:r>
    </w:p>
    <w:p>
      <w:pPr>
        <w:spacing w:after="0" w:line="128"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 We may engage in at-the-market offerings in an existing trading market in accordance with Rule 415(a)(4) of the Securities Act. We also may, from time to time, authorize underwriters acting as an agent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67" w:lineRule="exact"/>
        <w:rPr>
          <w:sz w:val="20"/>
          <w:szCs w:val="20"/>
          <w:color w:val="auto"/>
        </w:rPr>
      </w:pPr>
    </w:p>
    <w:p>
      <w:pPr>
        <w:ind w:firstLine="341"/>
        <w:spacing w:after="0" w:line="293" w:lineRule="auto"/>
        <w:rPr>
          <w:sz w:val="20"/>
          <w:szCs w:val="20"/>
          <w:color w:val="auto"/>
        </w:rPr>
      </w:pPr>
      <w:r>
        <w:rPr>
          <w:rFonts w:ascii="Times New Roman" w:cs="Times New Roman" w:eastAsia="Times New Roman" w:hAnsi="Times New Roman"/>
          <w:sz w:val="16"/>
          <w:szCs w:val="16"/>
          <w:color w:val="auto"/>
        </w:rPr>
        <w:t>Any underwriting compensation paid by us to underwriters or agents in connection with the offering of securities offered by means of this prospectus, and any discounts, concessions or commissions allowed by underwriters to participating dealers, will be set forth in the applicable prospectus supplement. Underwriters,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SL Green, SL Green Operating Partnership and/or Reckson Operating Partnership, as applicable, to indemnification against and contribution toward civil liabilities, including liabilities under the Securities Act.</w:t>
      </w:r>
    </w:p>
    <w:p>
      <w:pPr>
        <w:spacing w:after="0" w:line="16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any securities issued hereunder (other than SL Green's common stock and Series I Preferred Stock) will be new issues of securities with no established trading market. Any underwriters or agents to or through whom such securities are sold by us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90"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or a post-effective amendment.</w:t>
      </w:r>
    </w:p>
    <w:p>
      <w:pPr>
        <w:spacing w:after="0" w:line="193"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an offering of securities, the underwriters may engage in stabilizing and syndicate covering transactions. These transactions may include over-allotments or short sales of the securities, which involves sales of securities in excess of the principal amount of securities to be purchased by the underwriters in an offering, which creates a short position for the underwriters. Covering transactions involve purchases of the securities in the open market after the distribution has been completed in order to cover short positions. Stabilizing transactions consist of certain bids 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purchases of securities made for the purpose of preventing or retarding a decline in the market price of the securities while the offering is in progress. Any of these activities may have the effect of preventing or retarding a decline in the market price of the securities being offered. They may also cause the price of the securities being offered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93"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underwriters, dealers and agents and their affiliates may be customers of, engage in transactions with and perform services for us in the ordinary course of business.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validity of the issuance of the securities of SL Green Operating Partnership and Reckson Operating Partnership offered hereby and certain matters related to SL Green will be passed upon by Skadden, Arps, Slate, Meagher &amp; Flom LLP, New York, New York. The validity of the issuance of the shares of capital stock of SL Green offered hereby and certain other legal matters relating to Maryland law will be passed upon by Ballard Spahr LLP, Baltimore, Maryland. Legal matters described under "Material United States Federal Income Tax Consequences" will be passed upon by Greenberg Traurig, LLP, New York, New York.</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SL Green Realty Corp., appearing in SL Green Realty Corp.'s Annual Report (Form 10-K) for the year ended December 31, 2014 including schedules appearing therein, and the effectiveness of SL Green Realty Corp.'s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SL Green Operating Partnership, L.P. appearing in SL Green Operating Partnership, L.P.'s Annual Report (Form 10-</w:t>
      </w:r>
    </w:p>
    <w:p>
      <w:pPr>
        <w:spacing w:after="0" w:line="44" w:lineRule="exact"/>
        <w:rPr>
          <w:sz w:val="20"/>
          <w:szCs w:val="20"/>
          <w:color w:val="auto"/>
        </w:rPr>
      </w:pPr>
    </w:p>
    <w:p>
      <w:pPr>
        <w:ind w:right="40" w:firstLine="8"/>
        <w:spacing w:after="0" w:line="252" w:lineRule="auto"/>
        <w:tabs>
          <w:tab w:leader="none" w:pos="2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2014 including schedules appearing therein, and the effectiveness of SL Green Operating Partnership, L.P.'s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Reckson Operating Partnership, L.P. appearing in Reckson Operating Partnership, L.P.'s Annual Report (Form 10-</w:t>
      </w:r>
    </w:p>
    <w:p>
      <w:pPr>
        <w:spacing w:after="0" w:line="44" w:lineRule="exact"/>
        <w:rPr>
          <w:sz w:val="20"/>
          <w:szCs w:val="20"/>
          <w:color w:val="auto"/>
        </w:rPr>
      </w:pPr>
    </w:p>
    <w:p>
      <w:pPr>
        <w:ind w:right="40" w:firstLine="8"/>
        <w:spacing w:after="0" w:line="253" w:lineRule="auto"/>
        <w:tabs>
          <w:tab w:leader="none" w:pos="2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2014 including the schedules appearing therein,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statement of revenues and certain expenses (Historical Summary) of 11 Madison Avenue Owner LLC appearing in SL Green Realty Corp.'s Form 8-K/A dated October 30, 2015, for the year ended December 31, 2014,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7"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SL Green, SL Green Operating Partnership and Reckson Operating Partnership are subject to the informational requirements of the Exchange Act and, in accordance therewith, each files annual, quarterly and current reports, and other information with the SEC. In addition, SL Green files proxy statements with the SEC. You may read and copy any reports, statements or other information we file with the SEC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SL Green's common stock and Series I Preferred Stock are listed on the NYSE and all such material filed by us with the NYSE also can be inspected at the offices of the NYSE, 20 Broad Street, New York, New York 10005.</w:t>
      </w:r>
    </w:p>
    <w:p>
      <w:pPr>
        <w:spacing w:after="0" w:line="166" w:lineRule="exact"/>
        <w:rPr>
          <w:sz w:val="20"/>
          <w:szCs w:val="20"/>
          <w:color w:val="auto"/>
        </w:rPr>
      </w:pPr>
    </w:p>
    <w:p>
      <w:pPr>
        <w:jc w:val="both"/>
        <w:ind w:right="100" w:firstLine="348"/>
        <w:spacing w:after="0" w:line="296"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of which this prospectus is a part, under the Securities Act, with respect to the securities. This prospectus does not contain all of the information set forth in the registration statement, certain parts of which are omitted in accordance with the rules and regulations of the SEC. For further information concerning our company and the securities, reference is made to the registration statement. Statements contained in this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162"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in this prospectus or any document that we file in the future with the SEC. This prospectus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prospectus from their respective filing dates. These documents contain important information about us, our business and our finances.</w:t>
      </w:r>
    </w:p>
    <w:p>
      <w:pPr>
        <w:sectPr>
          <w:pgSz w:w="11900" w:h="16838" w:orient="portrait"/>
          <w:cols w:equalWidth="0" w:num="1">
            <w:col w:w="11420"/>
          </w:cols>
          <w:pgMar w:left="240" w:top="125" w:right="239" w:bottom="1440" w:gutter="0" w:footer="0" w:header="0"/>
        </w:sectPr>
      </w:pPr>
    </w:p>
    <w:p>
      <w:pPr>
        <w:spacing w:after="0" w:line="24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7134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SL Green Realty Corp.'s Annual Report on Form 10-K (File No. 1-13199)</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SL Green Realty Corp.'s Quarterly Report on Form 10-Q (File No. 1-13199)</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9812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Year ended December 31, 2014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ended September 30, 2015</w:t>
      </w:r>
    </w:p>
    <w:p>
      <w:pPr>
        <w:spacing w:after="0" w:line="200" w:lineRule="exact"/>
        <w:rPr>
          <w:sz w:val="20"/>
          <w:szCs w:val="20"/>
          <w:color w:val="auto"/>
        </w:rPr>
      </w:pPr>
    </w:p>
    <w:p>
      <w:pPr>
        <w:sectPr>
          <w:pgSz w:w="11900" w:h="16838" w:orient="portrait"/>
          <w:cols w:equalWidth="0" w:num="2">
            <w:col w:w="6520" w:space="640"/>
            <w:col w:w="4260"/>
          </w:cols>
          <w:pgMar w:left="240" w:top="125" w:right="239" w:bottom="1440" w:gutter="0" w:footer="0" w:header="0"/>
          <w:type w:val="continuous"/>
        </w:sectPr>
      </w:pP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rPr>
              <w:t>SL Green Realty Corp.'s Current Reports on Form 8-K (File No. 1-13199)</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January 6, 2015</w:t>
            </w:r>
          </w:p>
        </w:tc>
        <w:tc>
          <w:tcPr>
            <w:tcW w:w="1140" w:type="dxa"/>
            <w:vAlign w:val="bottom"/>
          </w:tcPr>
          <w:p>
            <w:pPr>
              <w:spacing w:after="0"/>
              <w:rPr>
                <w:sz w:val="17"/>
                <w:szCs w:val="17"/>
                <w:color w:val="auto"/>
              </w:rPr>
            </w:pP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January 8,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13,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20,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April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9,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22,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24,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21,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21, 2015 (as amended by Form 8-</w:t>
            </w:r>
          </w:p>
        </w:tc>
      </w:tr>
      <w:tr>
        <w:trPr>
          <w:trHeight w:val="228"/>
        </w:trPr>
        <w:tc>
          <w:tcPr>
            <w:tcW w:w="7060" w:type="dxa"/>
            <w:vAlign w:val="bottom"/>
          </w:tcPr>
          <w:p>
            <w:pPr>
              <w:spacing w:after="0"/>
              <w:rPr>
                <w:sz w:val="19"/>
                <w:szCs w:val="19"/>
                <w:color w:val="auto"/>
              </w:rPr>
            </w:pP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K/A on October 30, 2015)</w:t>
            </w: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w w:val="99"/>
              </w:rPr>
              <w:t>SL Green Realty Corp.'s Definitive Proxy Statement on Schedule 14A (File No. 1-</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April 24, 2015</w:t>
            </w:r>
          </w:p>
        </w:tc>
        <w:tc>
          <w:tcPr>
            <w:tcW w:w="1140" w:type="dxa"/>
            <w:vAlign w:val="bottom"/>
          </w:tcPr>
          <w:p>
            <w:pPr>
              <w:spacing w:after="0"/>
              <w:rPr>
                <w:sz w:val="17"/>
                <w:szCs w:val="17"/>
                <w:color w:val="auto"/>
              </w:rPr>
            </w:pPr>
          </w:p>
        </w:tc>
      </w:tr>
      <w:tr>
        <w:trPr>
          <w:trHeight w:val="228"/>
        </w:trPr>
        <w:tc>
          <w:tcPr>
            <w:tcW w:w="7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7060" w:type="dxa"/>
            <w:vAlign w:val="bottom"/>
          </w:tcPr>
          <w:p>
            <w:pPr>
              <w:ind w:left="1140"/>
              <w:spacing w:after="0" w:line="201" w:lineRule="exact"/>
              <w:rPr>
                <w:sz w:val="20"/>
                <w:szCs w:val="20"/>
                <w:color w:val="auto"/>
              </w:rPr>
            </w:pPr>
            <w:r>
              <w:rPr>
                <w:rFonts w:ascii="Times New Roman" w:cs="Times New Roman" w:eastAsia="Times New Roman" w:hAnsi="Times New Roman"/>
                <w:sz w:val="18"/>
                <w:szCs w:val="18"/>
                <w:color w:val="auto"/>
              </w:rPr>
              <w:t>Description of SL Green Realty Corp.'s common stock contained in our</w:t>
            </w:r>
          </w:p>
        </w:tc>
        <w:tc>
          <w:tcPr>
            <w:tcW w:w="10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July 21, 1997</w:t>
            </w:r>
          </w:p>
        </w:tc>
        <w:tc>
          <w:tcPr>
            <w:tcW w:w="1140" w:type="dxa"/>
            <w:vAlign w:val="bottom"/>
          </w:tcPr>
          <w:p>
            <w:pPr>
              <w:spacing w:after="0"/>
              <w:rPr>
                <w:sz w:val="17"/>
                <w:szCs w:val="17"/>
                <w:color w:val="auto"/>
              </w:rPr>
            </w:pPr>
          </w:p>
        </w:tc>
      </w:tr>
      <w:tr>
        <w:trPr>
          <w:trHeight w:val="228"/>
        </w:trPr>
        <w:tc>
          <w:tcPr>
            <w:tcW w:w="70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Registration Statement on Form 8-A (File No. 1-13199)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7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7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353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1320" w:hanging="179"/>
        <w:spacing w:after="0" w:line="249" w:lineRule="auto"/>
        <w:rPr>
          <w:sz w:val="20"/>
          <w:szCs w:val="20"/>
          <w:color w:val="auto"/>
        </w:rPr>
      </w:pPr>
      <w:r>
        <w:rPr>
          <w:rFonts w:ascii="Times New Roman" w:cs="Times New Roman" w:eastAsia="Times New Roman" w:hAnsi="Times New Roman"/>
          <w:sz w:val="18"/>
          <w:szCs w:val="18"/>
          <w:color w:val="auto"/>
        </w:rPr>
        <w:t>SL Green Operating Partnership, L.P.'s Annual Report on Form 10-K (File No. 333-167793-02)</w:t>
      </w:r>
    </w:p>
    <w:p>
      <w:pPr>
        <w:spacing w:after="0" w:line="1" w:lineRule="exact"/>
        <w:rPr>
          <w:sz w:val="20"/>
          <w:szCs w:val="20"/>
          <w:color w:val="auto"/>
        </w:rPr>
      </w:pPr>
    </w:p>
    <w:p>
      <w:pPr>
        <w:ind w:left="1320" w:right="220" w:hanging="179"/>
        <w:spacing w:after="0" w:line="261" w:lineRule="auto"/>
        <w:rPr>
          <w:sz w:val="20"/>
          <w:szCs w:val="20"/>
          <w:color w:val="auto"/>
        </w:rPr>
      </w:pPr>
      <w:r>
        <w:rPr>
          <w:rFonts w:ascii="Times New Roman" w:cs="Times New Roman" w:eastAsia="Times New Roman" w:hAnsi="Times New Roman"/>
          <w:sz w:val="18"/>
          <w:szCs w:val="18"/>
          <w:color w:val="auto"/>
        </w:rPr>
        <w:t>SL Green Operating Partnership, L.P.'s Quarterly Report on Form 10-Q (File No. 333-167793-02)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300" w:hanging="143"/>
        <w:spacing w:after="0" w:line="275" w:lineRule="auto"/>
        <w:rPr>
          <w:sz w:val="20"/>
          <w:szCs w:val="20"/>
          <w:color w:val="auto"/>
        </w:rPr>
      </w:pPr>
      <w:r>
        <w:rPr>
          <w:rFonts w:ascii="Times New Roman" w:cs="Times New Roman" w:eastAsia="Times New Roman" w:hAnsi="Times New Roman"/>
          <w:sz w:val="18"/>
          <w:szCs w:val="18"/>
          <w:color w:val="auto"/>
        </w:rPr>
        <w:t>SL Green Operating Partnership, L.P.'s Current Reports on Forms 8-K (File No. 333-167793-02)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3412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Year ended December 31,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September 30, 2015</w:t>
      </w:r>
    </w:p>
    <w:p>
      <w:pPr>
        <w:spacing w:after="0" w:line="2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3412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2015</w:t>
      </w:r>
    </w:p>
    <w:p>
      <w:pPr>
        <w:spacing w:after="0" w:line="9" w:lineRule="exact"/>
        <w:rPr>
          <w:sz w:val="20"/>
          <w:szCs w:val="20"/>
          <w:color w:val="auto"/>
        </w:rPr>
      </w:pPr>
    </w:p>
    <w:p>
      <w:pPr>
        <w:ind w:right="1140"/>
        <w:spacing w:after="0" w:line="261" w:lineRule="auto"/>
        <w:rPr>
          <w:sz w:val="20"/>
          <w:szCs w:val="20"/>
          <w:color w:val="auto"/>
        </w:rPr>
      </w:pPr>
      <w:r>
        <w:rPr>
          <w:rFonts w:ascii="Times New Roman" w:cs="Times New Roman" w:eastAsia="Times New Roman" w:hAnsi="Times New Roman"/>
          <w:sz w:val="18"/>
          <w:szCs w:val="18"/>
          <w:color w:val="auto"/>
        </w:rPr>
        <w:t>August 21, 2015 (as amended by Form 8-K/A on October 30, 2015)</w:t>
      </w:r>
    </w:p>
    <w:p>
      <w:pPr>
        <w:spacing w:after="0" w:line="590" w:lineRule="exact"/>
        <w:rPr>
          <w:sz w:val="20"/>
          <w:szCs w:val="20"/>
          <w:color w:val="auto"/>
        </w:rPr>
      </w:pPr>
    </w:p>
    <w:p>
      <w:pPr>
        <w:sectPr>
          <w:pgSz w:w="11900" w:h="16838" w:orient="portrait"/>
          <w:cols w:equalWidth="0" w:num="2">
            <w:col w:w="6380" w:space="220"/>
            <w:col w:w="4580"/>
          </w:cols>
          <w:pgMar w:left="240" w:top="125" w:right="479" w:bottom="1440" w:gutter="0" w:footer="0" w:header="0"/>
        </w:sectPr>
      </w:pPr>
    </w:p>
    <w:p>
      <w:pPr>
        <w:spacing w:after="0" w:line="2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160" w:type="dxa"/>
            <w:vAlign w:val="bottom"/>
          </w:tcPr>
          <w:p>
            <w:pPr>
              <w:spacing w:after="0"/>
              <w:rPr>
                <w:sz w:val="14"/>
                <w:szCs w:val="14"/>
                <w:color w:val="auto"/>
              </w:rPr>
            </w:pPr>
          </w:p>
        </w:tc>
        <w:tc>
          <w:tcPr>
            <w:tcW w:w="38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5"/>
        </w:trPr>
        <w:tc>
          <w:tcPr>
            <w:tcW w:w="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Reckson Operating Partnership, L.P.'s Annual Report on Form 10-K</w:t>
            </w:r>
          </w:p>
        </w:tc>
        <w:tc>
          <w:tcPr>
            <w:tcW w:w="16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Year ended December 31, 2014</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No. 033-84580)</w:t>
            </w:r>
          </w:p>
        </w:tc>
        <w:tc>
          <w:tcPr>
            <w:tcW w:w="1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Reckson Operating Partnership, L.P.'s Quarterly Report on Form 10-Q</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March 31, 2015</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No. 033-84580)</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June 30, 2015</w:t>
            </w: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 ended September 30, 2015</w:t>
            </w:r>
          </w:p>
        </w:tc>
      </w:tr>
      <w:tr>
        <w:trPr>
          <w:trHeight w:val="45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2"/>
        </w:trPr>
        <w:tc>
          <w:tcPr>
            <w:tcW w:w="51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Reckson Operating Partnership, L.P.'s Current Reports on Forms 8-K</w:t>
            </w:r>
          </w:p>
        </w:tc>
        <w:tc>
          <w:tcPr>
            <w:tcW w:w="1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January 6, 2015</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 No. 033-84580)</w:t>
            </w: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8,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1,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9,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2,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 5,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August 21, 2015 (as amended by Form 8-K/A on</w:t>
            </w: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30, 2015)</w:t>
            </w:r>
          </w:p>
        </w:tc>
      </w:tr>
    </w:tbl>
    <w:p>
      <w:pPr>
        <w:spacing w:after="0" w:line="204" w:lineRule="exact"/>
        <w:rPr>
          <w:sz w:val="20"/>
          <w:szCs w:val="20"/>
          <w:color w:val="auto"/>
        </w:rPr>
      </w:pPr>
    </w:p>
    <w:p>
      <w:pPr>
        <w:jc w:val="both"/>
        <w:ind w:firstLine="341"/>
        <w:spacing w:after="0" w:line="258" w:lineRule="auto"/>
        <w:rPr>
          <w:sz w:val="20"/>
          <w:szCs w:val="20"/>
          <w:color w:val="auto"/>
        </w:rPr>
      </w:pPr>
      <w:r>
        <w:rPr>
          <w:rFonts w:ascii="Times New Roman" w:cs="Times New Roman" w:eastAsia="Times New Roman" w:hAnsi="Times New Roman"/>
          <w:sz w:val="18"/>
          <w:szCs w:val="18"/>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Andrew S. Levine, Esq., SL Green Realty Corp., 420 Lexington Avenue, New York, NY 10170, telephone number (212) 594-2700.</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165100</wp:posOffset>
            </wp:positionV>
            <wp:extent cx="2272665" cy="651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3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Reckson Operating Partnership, L.P.</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4"/>
          <w:szCs w:val="24"/>
          <w:b w:val="1"/>
          <w:bCs w:val="1"/>
          <w:color w:val="auto"/>
        </w:rPr>
        <w:t>4.50%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162560</wp:posOffset>
            </wp:positionV>
            <wp:extent cx="16897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153670</wp:posOffset>
            </wp:positionV>
            <wp:extent cx="16897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Wells Fargo Securities</w:t>
      </w:r>
    </w:p>
    <w:p>
      <w:pPr>
        <w:spacing w:after="0" w:line="22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BofA Merrill Lynch</w:t>
      </w:r>
    </w:p>
    <w:p>
      <w:pPr>
        <w:spacing w:after="0" w:line="22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Roman"/>
      <w:start w:val="2"/>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1)"/>
      <w:numFmt w:val="upperLetter"/>
      <w:start w:val="1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3"/>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lowerRoman"/>
      <w:start w:val="10"/>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lowerLetter"/>
      <w:start w:val="2"/>
    </w:lvl>
  </w:abstractNum>
  <w:abstractNum w:abstractNumId="67">
    <w:nsid w:val="100F8FCA"/>
    <w:multiLevelType w:val="hybridMultilevel"/>
    <w:lvl w:ilvl="0">
      <w:lvlJc w:val="left"/>
      <w:lvlText w:val="%1)"/>
      <w:numFmt w:val="upperLetter"/>
      <w:start w:val="11"/>
    </w:lvl>
  </w:abstractNum>
  <w:abstractNum w:abstractNumId="68">
    <w:nsid w:val="6590700B"/>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2019-12-06T07:24:04Z</dcterms:created>
  <dcterms:modified xsi:type="dcterms:W3CDTF">2019-12-06T07:24:04Z</dcterms:modified>
</cp:coreProperties>
</file>